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LOI Feature Ablation Report</w:t>
      </w:r>
    </w:p>
    <w:p>
      <w:pPr>
        <w:pStyle w:val="Heading1"/>
      </w:pPr>
      <w:r>
        <w:t>Executive summary</w:t>
      </w:r>
    </w:p>
    <w:p>
      <w:r>
        <w:t>Four leave-one-IN configurations: each retains a single sequence-side feature block plus the full context branch. References (Full CARCM, sequence_only, context_only) are reused from the parent context-ablation study without retraining. Each configuration trained with 10 seeds × 150 epochs × patience 25. Test set n = 4451.</w:t>
      </w:r>
    </w:p>
    <w:p>
      <w:pPr>
        <w:pStyle w:val="Heading1"/>
      </w:pPr>
      <w:r>
        <w:t>Table — Single-feature + context (LOI)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Ensemble 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AUC mean [95% CI]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ΔAUC vs Full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ΔAUC vs context_only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DeLong p vs Full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DeLong p vs context_only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(all 4 features + context)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0.8531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0.8129 [0.8096, 0.8162]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+0.0000 [+0.0000, +0.0000]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+0.1326 [+0.1297, +0.1354]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n/a n.s.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 + Binned Motif Counts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0.8484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0.8139 [0.8105, 0.8172]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+0.0010 [-0.0043, +0.0063]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+0.1336 [+0.1295, +0.1376]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0.1051 n.s.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 + Positional Features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0.8135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0.7846 [0.7812, 0.7881]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-0.0282 [-0.0324, -0.0240]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+0.1043 [+0.1012, +0.1074]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 + Global Motif Counts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0.8389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0.7978 [0.7955, 0.8001]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-0.0151 [-0.0190, -0.0111]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+0.1175 [+0.1145, +0.1205]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0.0007 ***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 + Co-occurrence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0.7569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0.7364 [0.7318, 0.7409]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-0.0765 [-0.0829, -0.0701]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+0.0561 [+0.0509, +0.0612]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Sequence-only (no context)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0.6211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0.6107 [0.6076, 0.6139]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-0.2021 [-0.2077, -0.1966]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-0.0696 [-0.0734, -0.0657]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2.01e-07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Context-only (no sequence features)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0.6811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0.6803 [0.6790, 0.6817]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-0.1326 [-0.1354, -0.1297]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+0.0000 [+0.0000, +0.0000]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n/a n.s.</w:t>
            </w:r>
          </w:p>
        </w:tc>
      </w:tr>
    </w:tbl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943600" cy="1785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i_delta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81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i_metric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6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