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CARCM Ablation Study</w:t>
      </w:r>
    </w:p>
    <w:p>
      <w:pPr>
        <w:pStyle w:val="Heading1"/>
      </w:pPr>
      <w:r>
        <w:t>Executive summary</w:t>
      </w:r>
    </w:p>
    <w:p>
      <w:r>
        <w:t>Two complementary ablations on the same architecture, training regime, and random-split test set (n = 4451). The context ablation (8 configs) removes or perturbs the (Variety, Tissue, Stage) context branch to isolate its contribution. The feature-block ablation (4 configs) keeps the context branch intact and removes one of the four sequence-side feature blocks (Binned Motif Counts, Positional Features, Global Motif Counts, Co-occurrence) at a time. Each configuration was trained with 10 seeds; metrics are reported as mean [95% CI] across seeds. DeLong p-values are computed against Full CARCM on the simple-mean ensemble of seeds.</w:t>
      </w:r>
    </w:p>
    <w:p>
      <w:pPr>
        <w:pStyle w:val="Heading1"/>
      </w:pPr>
      <w:r>
        <w:t>Table 1 — Context ablation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AUC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PR-AUC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F1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MCC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ΔAUC vs Seq-only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DeLong p vs Full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Full CARCM (sequence + variety + tissue + stage)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0.8129 [0.8096, 0.8162]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0.8354 [0.8313, 0.8395]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0.7610 [0.7564, 0.7656]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0.4533 [0.4437, 0.4629]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+0.2021 [+0.1966, +0.2077]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n/a n.s.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Sequence-only (context branch removed)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0.6107 [0.6076, 0.6139]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0.6410 [0.6371, 0.6450]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0.6665 [0.6617, 0.6713]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0.1202 [0.1117, 0.1286]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+0.0000 [+0.0000, +0.0000]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Sequence + variety only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0.6657 [0.6629, 0.6685]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0.6982 [0.6948, 0.7016]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0.7033 [0.6990, 0.7075]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0.2174 [0.2067, 0.2281]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+0.0549 [+0.0501, +0.0597]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Sequence + tissue only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0.7307 [0.7280, 0.7334]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0.7590 [0.7564, 0.7617]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0.7195 [0.7164, 0.7227]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0.3130 [0.3038, 0.3222]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+0.1199 [+0.1163, +0.1236]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Sequence + stage only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0.6689 [0.6644, 0.6735]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0.7147 [0.7106, 0.7188]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0.6919 [0.6884, 0.6954]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0.1731 [0.1610, 0.1853]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+0.0582 [+0.0537, +0.0627]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Full CARCM with context labels permuted (negative control)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0.5830 [0.5777, 0.5883]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0.6278 [0.6234, 0.6322]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0.6860 [0.6801, 0.6918]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0.0377 [0.0253, 0.0501]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-0.0278 [-0.0316, -0.0239]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Context-only (no sequence features)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0.6803 [0.6790, 0.6817]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0.7222 [0.7215, 0.7229]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0.7043 [0.7033, 0.7053]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0.1677 [0.1579, 0.1775]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+0.0696 [+0.0657, +0.0734]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Full CARCM with context branch replaced by param-matched bias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0.6091 [0.6055, 0.6127]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0.6408 [0.6369, 0.6448]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0.6723 [0.6666, 0.6781]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0.1074 [0.0958, 0.1191]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-0.0016 [-0.0048, +0.0015]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</w:tbl>
    <w:p>
      <w:pPr>
        <w:pStyle w:val="Heading1"/>
      </w:pPr>
      <w:r>
        <w:t>Table 2 — Feature-block ablation (LOO, full context retained)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Configuration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AUC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PR-AUC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F1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MCC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ΔAUC vs Full</w:t>
            </w:r>
          </w:p>
        </w:tc>
        <w:tc>
          <w:tcPr>
            <w:tcW w:type="dxa" w:w="1080"/>
          </w:tcPr>
          <w:p>
            <w:r/>
            <w:r>
              <w:rPr>
                <w:b/>
                <w:sz w:val="20"/>
              </w:rPr>
              <w:t>DeLong p vs Full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Full CARCM (sequence + variety + tissue + stage)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0.8129 [0.8096, 0.8162]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0.8354 [0.8313, 0.8395]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0.7610 [0.7564, 0.7656]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0.4533 [0.4437, 0.4629]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+0.0000 [+0.0000, +0.0000]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n/a n.s.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Sequence-only (context branch removed)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0.6107 [0.6076, 0.6139]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0.6410 [0.6371, 0.6450]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0.6665 [0.6617, 0.6713]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0.1202 [0.1117, 0.1286]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-0.2021 [-0.2077, -0.1966]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Context-only (no sequence features)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0.6803 [0.6790, 0.6817]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0.7222 [0.7215, 0.7229]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0.7043 [0.7033, 0.7053]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0.1677 [0.1579, 0.1775]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-0.1326 [-0.1354, -0.1297]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&lt;1e-300 ****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Full CARCM minus Binned Motif Counts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0.7998 [0.7969, 0.8028]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0.8184 [0.8141, 0.8226]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0.7482 [0.7447, 0.7517]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0.4375 [0.4306, 0.4444]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-0.0130 [-0.0176, -0.0084]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0.0001 ***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Full CARCM minus Positional Features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0.8076 [0.8045, 0.8108]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0.8303 [0.8269, 0.8337]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0.7572 [0.7527, 0.7618]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0.4456 [0.4333, 0.4579]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-0.0052 [-0.0099, -0.0006]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0.2645 n.s.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Full CARCM minus Global Motif Counts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0.8228 [0.8198, 0.8257]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0.8426 [0.8393, 0.8460]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0.7662 [0.7642, 0.7682]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0.4710 [0.4620, 0.4801]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+0.0099 [+0.0052, +0.0147]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0.4783 n.s.</w:t>
            </w:r>
          </w:p>
        </w:tc>
      </w:tr>
      <w:tr>
        <w:tc>
          <w:tcPr>
            <w:tcW w:type="dxa" w:w="108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Full CARCM minus Co-occurrence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0.8105 [0.8067, 0.8142]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0.8327 [0.8298, 0.8357]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0.7580 [0.7539, 0.7621]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0.4497 [0.4343, 0.4651]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-0.0024 [-0.0088, +0.0041]</w:t>
            </w:r>
          </w:p>
        </w:tc>
        <w:tc>
          <w:tcPr>
            <w:tcW w:type="dxa" w:w="1080"/>
          </w:tcPr>
          <w:p>
            <w:r/>
            <w:r>
              <w:rPr>
                <w:sz w:val="18"/>
              </w:rPr>
              <w:t>0.7091 n.s.</w:t>
            </w:r>
          </w:p>
        </w:tc>
      </w:tr>
    </w:tbl>
    <w:p>
      <w:r>
        <w:rPr>
          <w:i/>
        </w:rPr>
        <w:t>Significance markers: **** p&lt;1e-4, *** p&lt;1e-3, ** p&lt;1e-2, * p&lt;5e-2, n.s. otherwise.</w:t>
      </w:r>
    </w:p>
    <w:p>
      <w:pPr>
        <w:pStyle w:val="Heading1"/>
      </w:pPr>
      <w:r>
        <w:t>Conclusions</w:t>
      </w:r>
    </w:p>
    <w:p>
      <w:r>
        <w:t>Full vs. sequence-only: Full CARCM yields AUC = 0.8129 vs. 0.6107 for the sequence-only baseline, ΔAUC = +0.2021 (95% CI [+0.1966, +0.2077]; DeLong p = n/a).</w:t>
      </w:r>
    </w:p>
    <w:p>
      <w:r>
        <w:t>Permuted-label control (row #6): Permuting variety/tissue/stage labels independently in train and test drops AUC to 0.5830 (ΔAUC vs sequence-only = -0.0278; DeLong p vs Full = &lt;1e-300). This is the critical row: a substantial drop confirms the context branch is carrying real signal rather than acting as decorative capacity.</w:t>
      </w:r>
    </w:p>
    <w:p>
      <w:r>
        <w:t>Parameter-matched bias (row #8): Replacing the context branch with a learnable bias vector of equivalent parameter count yields AUC = 0.6091 (ΔAUC vs sequence-only = -0.0016; DeLong p vs Full = &lt;1e-300). The Full CARCM gain is therefore not attributable to extra parameters.</w:t>
      </w:r>
    </w:p>
    <w:p>
      <w:pPr>
        <w:pStyle w:val="Heading1"/>
      </w:pPr>
      <w:r>
        <w:t>Figures</w:t>
      </w:r>
    </w:p>
    <w:p>
      <w:r>
        <w:drawing>
          <wp:inline xmlns:a="http://schemas.openxmlformats.org/drawingml/2006/main" xmlns:pic="http://schemas.openxmlformats.org/drawingml/2006/picture">
            <wp:extent cx="5943600" cy="294030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delta_a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03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1. Context ablation — horizontal bar chart of ΔAUC vs. the sequence-only baseline for each context configuration. Bars are paired-seed mean ± 95% CI across 10 seeds. Significance markers (****/***/**/*/n.s.) are DeLong p-values vs. Full CARCM computed on the simple-mean ensemble.</w:t>
      </w:r>
    </w:p>
    <w:p>
      <w:r>
        <w:drawing>
          <wp:inline xmlns:a="http://schemas.openxmlformats.org/drawingml/2006/main" xmlns:pic="http://schemas.openxmlformats.org/drawingml/2006/picture">
            <wp:extent cx="5943600" cy="37550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lation_metric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50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2. Context ablation — per-configuration mean ± 95% CI for AUC, PR-AUC, F1 and MCC.</w:t>
      </w:r>
    </w:p>
    <w:p>
      <w:r>
        <w:drawing>
          <wp:inline xmlns:a="http://schemas.openxmlformats.org/drawingml/2006/main" xmlns:pic="http://schemas.openxmlformats.org/drawingml/2006/picture">
            <wp:extent cx="5943600" cy="31217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ablation_delta_auc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17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3. Feature-block ablation — ΔAUC vs. Full CARCM for the four leave-one-out configurations, with sequence-only and context-only anchors. Bars are paired-seed mean ± 95% CI; markers are DeLong p vs. Full.</w:t>
      </w:r>
    </w:p>
    <w:p>
      <w:r>
        <w:drawing>
          <wp:inline xmlns:a="http://schemas.openxmlformats.org/drawingml/2006/main" xmlns:pic="http://schemas.openxmlformats.org/drawingml/2006/picture">
            <wp:extent cx="5943600" cy="35074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ablation_metric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74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18"/>
        </w:rPr>
        <w:t>Figure 4. Feature-block ablation — per-configuration mean ± 95% CI for AUC, PR-AUC, F1 and MCC, including Full and the two anchors.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