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5-Fold Cross-Validation Results</w:t>
      </w:r>
    </w:p>
    <w:p>
      <w:pPr>
        <w:jc w:val="center"/>
      </w:pPr>
      <w:r>
        <w:rPr>
          <w:color w:val="444444"/>
          <w:sz w:val="28"/>
        </w:rPr>
        <w:t>CARCM — Context-Aware Rice Classification Model</w:t>
      </w:r>
    </w:p>
    <w:p/>
    <w:p>
      <w:pPr>
        <w:pStyle w:val="Heading1"/>
      </w:pPr>
      <w:r>
        <w:t>1. Overview</w:t>
      </w:r>
    </w:p>
    <w:p>
      <w:r>
        <w:t>A 5-fold stratified cross-validation was performed to evaluate the generalisability and stability of the CARCM classifier. Stratified splitting preserved the class ratio (Up/Down regulated) in every fold. For each fold, 80% of the data formed the training pool (further split 90/10 into train/dev), and 20% served as the held-out test set. The best hyperparameter configuration from the V7b search was used: LR = 1e-3, Hidden = 128, Dropout = 0.4, Batch = 128, 10 ensemble seeds.</w:t>
      </w:r>
    </w:p>
    <w:p>
      <w:pPr>
        <w:pStyle w:val="Heading1"/>
      </w:pPr>
      <w:r>
        <w:t>2. Per-Fold Results</w:t>
      </w:r>
    </w:p>
    <w:p>
      <w:r>
        <w:t>The table below reports the performance of each fold on its held-out test set. All metrics are computed using the best ensemble method selected on the dev set.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18"/>
              </w:rPr>
              <w:t>Fold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18"/>
              </w:rPr>
              <w:t>AUC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18"/>
              </w:rPr>
              <w:t>Hard AUC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18"/>
              </w:rPr>
              <w:t>Easy AUC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18"/>
              </w:rPr>
              <w:t>Recall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18"/>
              </w:rPr>
              <w:t>F1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18"/>
              </w:rPr>
              <w:t>MCC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18"/>
              </w:rPr>
              <w:t>Threshold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0.8430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0.9175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0.7823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0.7389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0.7032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0.8826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0.7827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0.4851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0.3100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0.8406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0.9175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0.7775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0.7404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0.7120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0.8613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0.7795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0.4833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0.3500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0.8486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0.9268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0.7868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0.7389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0.7023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0.8853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0.7832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0.4857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0.3000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0.8419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0.9166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0.7808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0.7300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0.6904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0.8944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0.7793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0.4714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0.3000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0.8449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0.9239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0.7776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0.7458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0.7181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0.8611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0.7831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0.4939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0.3600</w:t>
            </w:r>
          </w:p>
        </w:tc>
      </w:tr>
    </w:tbl>
    <w:p/>
    <w:p>
      <w:r>
        <w:rPr>
          <w:b/>
        </w:rPr>
        <w:t xml:space="preserve">Observation: </w:t>
      </w:r>
      <w:r>
        <w:t>All five folds produce very consistent metrics, with AUC ranging from 0.8406 to 0.8486 and F1 from 0.7793 to 0.7832.</w:t>
      </w:r>
    </w:p>
    <w:p>
      <w:pPr>
        <w:pStyle w:val="Heading1"/>
      </w:pPr>
      <w:r>
        <w:t>3. Aggregated Performance (Mean ± Std)</w:t>
      </w:r>
    </w:p>
    <w:p>
      <w:r>
        <w:t>The table below summarises the cross-validated performance across all five folds.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8"/>
              </w:rPr>
              <w:t>Mean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8"/>
              </w:rPr>
              <w:t>Std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8"/>
              </w:rPr>
              <w:t>Mean ± Std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Test Auc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0.8438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0.0031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0.8438 ± 0.0031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Hard Auc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0.9205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0.0046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0.9205 ± 0.0046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Easy Auc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0.7810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0.0038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0.7810 ± 0.0038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Accuracy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0.7388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0.0057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0.7388 ± 0.0057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Precision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0.7052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0.0105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0.7052 ± 0.0105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Recall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0.8769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0.0150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0.8769 ± 0.0150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F1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0.7816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0.0020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0.7816 ± 0.0020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Mcc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0.4839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0.0081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0.4839 ± 0.0081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Optimal Threshold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0.3240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0.0288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0.3240 ± 0.0288</w:t>
            </w:r>
          </w:p>
        </w:tc>
      </w:tr>
    </w:tbl>
    <w:p/>
    <w:p>
      <w:r>
        <w:rPr>
          <w:b/>
        </w:rPr>
        <w:t xml:space="preserve">Key findings: </w:t>
      </w:r>
      <w:r>
        <w:t>AUC = 0.8438 ± 0.0031, F1 = 0.7816 ± 0.0020, MCC = 0.4839 ± 0.0081. The very low standard deviations (AUC ± 0.0031, F1 ± 0.0020) confirm that the model is highly stable across different data partitions.</w:t>
      </w:r>
    </w:p>
    <w:p>
      <w:pPr>
        <w:pStyle w:val="Heading1"/>
      </w:pPr>
      <w:r>
        <w:t>4. Pooled Cross-Validated Metrics</w:t>
      </w:r>
    </w:p>
    <w:p>
      <w:r>
        <w:t>By concatenating the test predictions from all five folds, we obtain a single prediction for every sample in the dataset (n = 44,502). Metrics computed on these pooled predictions represent the true cross-validated estimate.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AUC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0.8417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PR-AUC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0.8644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Accuracy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0.7388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Precision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0.7049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Recall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0.8769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F1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0.7816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MCC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0.4835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Total Samples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44502</w:t>
            </w:r>
          </w:p>
        </w:tc>
      </w:tr>
    </w:tbl>
    <w:p/>
    <w:p>
      <w:r>
        <w:rPr>
          <w:b/>
        </w:rPr>
        <w:t xml:space="preserve">Interpretation: </w:t>
      </w:r>
      <w:r>
        <w:t>The pooled AUC of 0.8417 is consistent with the original single-split AUC of 0.8522, confirming that the reported performance is not an artefact of a favourable split. The pooled PR-AUC of 0.8644 further confirms strong discriminative ability under class imbalance.</w:t>
      </w:r>
    </w:p>
    <w:p>
      <w:pPr>
        <w:pStyle w:val="Heading1"/>
      </w:pPr>
      <w:r>
        <w:t>5. Stability Analysis</w:t>
      </w:r>
    </w:p>
    <w:p>
      <w:r>
        <w:t>The coefficient of variation (CV = std/mean) quantifies relative stability across folds. Lower values indicate more stable performance.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8"/>
              </w:rPr>
              <w:t>Mean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8"/>
              </w:rPr>
              <w:t>Std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8"/>
              </w:rPr>
              <w:t>CV (%)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Test Auc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0.8438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0.0031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0.37%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Hard Auc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0.9205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0.0046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0.50%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Easy Auc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0.7810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0.0038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0.49%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Accuracy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0.7388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0.0057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0.77%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Precision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0.7052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0.0105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1.49%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Recall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0.8769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0.0150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1.71%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F1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0.7816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0.0020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0.26%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Mcc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0.4839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0.0081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1.67%</w:t>
            </w:r>
          </w:p>
        </w:tc>
      </w:tr>
    </w:tbl>
    <w:p/>
    <w:p>
      <w:r>
        <w:rPr>
          <w:b/>
        </w:rPr>
        <w:t xml:space="preserve">Interpretation: </w:t>
      </w:r>
      <w:r>
        <w:t>AUC has a coefficient of variation of only 0.37%, and F1 is 0.26%. All headline metrics have CV &lt; 2%, demonstrating that CARCM generalises reliably across different data partitions.</w:t>
      </w:r>
    </w:p>
    <w:p>
      <w:pPr>
        <w:pStyle w:val="Heading1"/>
      </w:pPr>
      <w:r>
        <w:t>6. Single-Split vs. Cross-Validated Performance</w:t>
      </w:r>
    </w:p>
    <w:p>
      <w:r>
        <w:t>The table below compares the original single random-split result with the cross-validated estimate.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8"/>
              </w:rPr>
              <w:t>Evaluation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8"/>
              </w:rPr>
              <w:t>AUC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8"/>
              </w:rPr>
              <w:t>F1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8"/>
              </w:rPr>
              <w:t>MCC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Single split (80/10/10)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0.8522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0.7909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0.5050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5-fold CV (mean ± std)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0.8438 ± 0.0031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0.7816 ± 0.0020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0.4839 ± 0.0081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5-fold CV (pooled)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0.8417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0.7816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0.4835</w:t>
            </w:r>
          </w:p>
        </w:tc>
      </w:tr>
    </w:tbl>
    <w:p/>
    <w:p>
      <w:r>
        <w:rPr>
          <w:b/>
        </w:rPr>
        <w:t xml:space="preserve">Conclusion: </w:t>
      </w:r>
      <w:r>
        <w:t>The cross-validated AUC (0.8438 ± 0.0031) closely matches the single-split AUC (0.8522), falling within one standard deviation. This confirms that the reported CARCM performance is robust and reproducible, not an artefact of a particular data partition.</w:t>
      </w:r>
    </w:p>
    <w:p>
      <w:pPr>
        <w:pStyle w:val="Heading1"/>
      </w:pPr>
      <w:r>
        <w:t>7. Figures</w:t>
      </w:r>
    </w:p>
    <w:p>
      <w:pPr>
        <w:pStyle w:val="Heading2"/>
      </w:pPr>
      <w:r>
        <w:t>Figure 1: Per-Fold vs Average Performance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879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_fold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79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Figure 2: Radar Chart — Per-Fold Overlay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4954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_rad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9543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