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Leakage Audit of the CARCM Test Split</w:t>
      </w:r>
    </w:p>
    <w:p>
      <w:pPr>
        <w:jc w:val="center"/>
      </w:pPr>
      <w:r>
        <w:rPr>
          <w:i/>
          <w:sz w:val="22"/>
        </w:rPr>
        <w:t>A beginner-friendly walkthrough of how we verified that the held-out test set is free of data leakage.</w:t>
      </w:r>
    </w:p>
    <w:p>
      <w:pPr>
        <w:pStyle w:val="Heading1"/>
      </w:pPr>
      <w:r>
        <w:rPr>
          <w:color w:val="1F3A5F"/>
        </w:rPr>
        <w:t>1. What is data leakage, and why do we audit for it?</w:t>
      </w:r>
    </w:p>
    <w:p>
      <w:r>
        <w:rPr>
          <w:b w:val="0"/>
          <w:i w:val="0"/>
          <w:sz w:val="22"/>
        </w:rPr>
        <w:t>Data leakage happens when information from the test set sneaks into the training set. When this happens, the model can appear to perform very well — not because it has learned anything useful, but because it has effectively seen the answers in advance. Reported test metrics then become misleading.</w:t>
      </w:r>
    </w:p>
    <w:p>
      <w:r>
        <w:rPr>
          <w:b w:val="0"/>
          <w:i w:val="0"/>
          <w:sz w:val="22"/>
        </w:rPr>
        <w:t>For CARCM, the input to the model is not just a promoter sequence. Each observation is a tuple of four fields:</w:t>
      </w:r>
    </w:p>
    <w:p>
      <w:pPr>
        <w:pStyle w:val="ListBullet"/>
      </w:pPr>
      <w:r>
        <w:rPr>
          <w:sz w:val="22"/>
        </w:rPr>
        <w:t>promoter_sequence — the DNA sequence</w:t>
      </w:r>
    </w:p>
    <w:p>
      <w:pPr>
        <w:pStyle w:val="ListBullet"/>
      </w:pPr>
      <w:r>
        <w:rPr>
          <w:sz w:val="22"/>
        </w:rPr>
        <w:t>Variety — the rice cultivar</w:t>
      </w:r>
    </w:p>
    <w:p>
      <w:pPr>
        <w:pStyle w:val="ListBullet"/>
      </w:pPr>
      <w:r>
        <w:rPr>
          <w:sz w:val="22"/>
        </w:rPr>
        <w:t>Tissue — the tissue type sampled</w:t>
      </w:r>
    </w:p>
    <w:p>
      <w:pPr>
        <w:pStyle w:val="ListBullet"/>
      </w:pPr>
      <w:r>
        <w:rPr>
          <w:sz w:val="22"/>
        </w:rPr>
        <w:t>Stage — the developmental stage</w:t>
      </w:r>
    </w:p>
    <w:p>
      <w:r>
        <w:rPr>
          <w:b w:val="0"/>
          <w:i w:val="0"/>
          <w:sz w:val="22"/>
        </w:rPr>
        <w:t>Two rows can share the same DNA sequence and still be different observations if their (Variety, Tissue, Stage) context differs. This matters because the same promoter can behave differently across biological contexts. So when we audit for leakage, the right question is: does the test set contain any (sequence, Variety, Tissue, Stage) tuple that already appears in the training or development pool? — not just: does the test set contain any sequence that appears in training?</w:t>
      </w:r>
    </w:p>
    <w:p>
      <w:pPr>
        <w:pStyle w:val="Heading1"/>
      </w:pPr>
      <w:r>
        <w:rPr>
          <w:color w:val="1F3A5F"/>
        </w:rPr>
        <w:t>2. Dataset and split sizes</w:t>
      </w:r>
    </w:p>
    <w:p>
      <w:r>
        <w:rPr>
          <w:b w:val="0"/>
          <w:i w:val="0"/>
          <w:sz w:val="22"/>
        </w:rPr>
        <w:t>The audit was performed on the merged dataset (RiceMetaSys_Drought_merged_all_excels_6.csv) after removing rows with conflicting labels.</w:t>
      </w:r>
    </w:p>
    <w:p>
      <w:pPr>
        <w:pStyle w:val="ListBullet"/>
      </w:pPr>
      <w:r>
        <w:rPr>
          <w:sz w:val="22"/>
        </w:rPr>
        <w:t>Total rows: 44,502</w:t>
      </w:r>
    </w:p>
    <w:p>
      <w:pPr>
        <w:pStyle w:val="ListBullet"/>
      </w:pPr>
      <w:r>
        <w:rPr>
          <w:sz w:val="22"/>
        </w:rPr>
        <w:t>Train: 35,601    Dev: 4,450    Test: 4,451</w:t>
      </w:r>
    </w:p>
    <w:p>
      <w:pPr>
        <w:pStyle w:val="ListBullet"/>
      </w:pPr>
      <w:r>
        <w:rPr>
          <w:sz w:val="22"/>
        </w:rPr>
        <w:t>Unique (sequence, Variety, Tissue, Stage) tuples: 44,502 (every row is a unique observation)</w:t>
      </w:r>
    </w:p>
    <w:p>
      <w:pPr>
        <w:pStyle w:val="ListBullet"/>
      </w:pPr>
      <w:r>
        <w:rPr>
          <w:sz w:val="22"/>
        </w:rPr>
        <w:t>Unique promoter sequences: 17,042 (each sequence appears on average ~2.6 times across different contexts)</w:t>
      </w:r>
    </w:p>
    <w:p>
      <w:pPr>
        <w:pStyle w:val="Heading1"/>
      </w:pPr>
      <w:r>
        <w:rPr>
          <w:color w:val="1F3A5F"/>
        </w:rPr>
        <w:t>3. The three audit levels (what we checked)</w:t>
      </w:r>
    </w:p>
    <w:p>
      <w:r>
        <w:rPr>
          <w:b w:val="0"/>
          <w:i w:val="0"/>
          <w:sz w:val="22"/>
        </w:rPr>
        <w:t>We checked the test set at three increasingly relaxed levels of similarity. Only the first level (L1) is true data leakage for our model; the other two are reported for transparency.</w:t>
      </w:r>
    </w:p>
    <w:p>
      <w:pPr>
        <w:pStyle w:val="Heading2"/>
      </w:pPr>
      <w:r>
        <w:rPr>
          <w:color w:val="1F3A5F"/>
        </w:rPr>
        <w:t>Level 1 (L1) — Tuple-level overlap</w:t>
      </w:r>
    </w:p>
    <w:p>
      <w:r>
        <w:rPr>
          <w:b w:val="0"/>
          <w:i w:val="0"/>
          <w:sz w:val="22"/>
        </w:rPr>
        <w:t>Question: does any test row have the exact same (sequence, Variety, Tissue, Stage) tuple as a row in train or dev?</w:t>
      </w:r>
    </w:p>
    <w:p>
      <w:r>
        <w:rPr>
          <w:b w:val="0"/>
          <w:i w:val="0"/>
          <w:sz w:val="22"/>
        </w:rPr>
        <w:t>If yes, the model has literally seen the exact same input during training, and any correct prediction could be pure memorization. This is the only level that constitutes true leakage for a context-aware classifier like CARCM.</w:t>
      </w:r>
    </w:p>
    <w:p>
      <w:pPr>
        <w:pStyle w:val="Heading2"/>
      </w:pPr>
      <w:r>
        <w:rPr>
          <w:color w:val="1F3A5F"/>
        </w:rPr>
        <w:t>Level 3 (L3) — Sequence-only overlap with new context</w:t>
      </w:r>
    </w:p>
    <w:p>
      <w:r>
        <w:rPr>
          <w:b w:val="0"/>
          <w:i w:val="0"/>
          <w:sz w:val="22"/>
        </w:rPr>
        <w:t>Question: does the test row's promoter sequence appear in the pool, but paired with a different (Variety, Tissue, Stage)?</w:t>
      </w:r>
    </w:p>
    <w:p>
      <w:r>
        <w:rPr>
          <w:b w:val="0"/>
          <w:i w:val="0"/>
          <w:sz w:val="22"/>
        </w:rPr>
        <w:t>This is NOT leakage for a context-aware model — the model still has to reason about a context it has never seen with this sequence. We split L3 into two sub-cases:</w:t>
      </w:r>
    </w:p>
    <w:p>
      <w:pPr>
        <w:pStyle w:val="ListBullet"/>
      </w:pPr>
      <w:r>
        <w:rPr>
          <w:sz w:val="22"/>
        </w:rPr>
        <w:t>Same-label sequences: every time this sequence appears in the pool it has the same label. A model could in principle ignore context and still get these test rows right, so we report this as an upper bound on 'memorizable' rows.</w:t>
      </w:r>
    </w:p>
    <w:p>
      <w:pPr>
        <w:pStyle w:val="ListBullet"/>
      </w:pPr>
      <w:r>
        <w:rPr>
          <w:sz w:val="22"/>
        </w:rPr>
        <w:t>Label-flipping sequences: this sequence appears in the pool with both classes. The only way to predict the test row correctly is to actually use the (Variety, Tissue, Stage) context — pure memorization will fail.</w:t>
      </w:r>
    </w:p>
    <w:p>
      <w:pPr>
        <w:pStyle w:val="Heading2"/>
      </w:pPr>
      <w:r>
        <w:rPr>
          <w:color w:val="1F3A5F"/>
        </w:rPr>
        <w:t>Level 4 (L4) — Near-duplicate sequence (CD-HIT-EST ≥80% identity)</w:t>
      </w:r>
    </w:p>
    <w:p>
      <w:r>
        <w:rPr>
          <w:b w:val="0"/>
          <w:i w:val="0"/>
          <w:sz w:val="22"/>
        </w:rPr>
        <w:t>Question: even if the test sequence is not exactly in the pool, is there a very similar sequence (≥80% identity) in the pool?</w:t>
      </w:r>
    </w:p>
    <w:p>
      <w:r>
        <w:rPr>
          <w:b w:val="0"/>
          <w:i w:val="0"/>
          <w:sz w:val="22"/>
        </w:rPr>
        <w:t>We ran CD-HIT-EST at an 80% identity threshold to cluster all 17,042 unique sequences. We then flagged test rows whose cluster also contains a pool row. Like L3, these are reported for transparency rather than treated as leakage — the contexts still differ.</w:t>
      </w:r>
    </w:p>
    <w:p>
      <w:pPr>
        <w:pStyle w:val="Heading2"/>
      </w:pPr>
      <w:r>
        <w:rPr>
          <w:color w:val="1F3A5F"/>
        </w:rPr>
        <w:t>Clean test subset (sensitivity analysis)</w:t>
      </w:r>
    </w:p>
    <w:p>
      <w:r>
        <w:rPr>
          <w:b w:val="0"/>
          <w:i w:val="0"/>
          <w:sz w:val="22"/>
        </w:rPr>
        <w:t>Finally, we constructed a strict 'clean' subset by removing every test row involved in L1, L3, or L4. Re-evaluating the model on this subset confirms that performance is not driven by sequence-level memorization.</w:t>
      </w:r>
    </w:p>
    <w:p>
      <w:pPr>
        <w:pStyle w:val="Heading1"/>
      </w:pPr>
      <w:r>
        <w:rPr>
          <w:color w:val="1F3A5F"/>
        </w:rPr>
        <w:t>4. How the audit was run, step by step</w:t>
      </w:r>
    </w:p>
    <w:p>
      <w:pPr>
        <w:pStyle w:val="Heading2"/>
      </w:pPr>
      <w:r>
        <w:rPr>
          <w:color w:val="1F3A5F"/>
        </w:rPr>
        <w:t>Step 1 — Reproduce the train/dev/test split</w:t>
      </w:r>
    </w:p>
    <w:p>
      <w:r>
        <w:rPr>
          <w:b w:val="0"/>
          <w:i w:val="0"/>
          <w:sz w:val="22"/>
        </w:rPr>
        <w:t>We re-loaded the merged CSV and re-applied the original stratified split (random_state=42) to recover exactly which rows belong to train, dev, and test. This guarantees the audit reflects the same partitioning the model saw during training.</w:t>
      </w:r>
    </w:p>
    <w:p>
      <w:pPr>
        <w:pStyle w:val="Heading2"/>
      </w:pPr>
      <w:r>
        <w:rPr>
          <w:color w:val="1F3A5F"/>
        </w:rPr>
        <w:t>Step 2 — Check for conflicting labels</w:t>
      </w:r>
    </w:p>
    <w:p>
      <w:r>
        <w:rPr>
          <w:b w:val="0"/>
          <w:i w:val="0"/>
          <w:sz w:val="22"/>
        </w:rPr>
        <w:t>We grouped the data by the full (sequence, Variety, Tissue, Stage) tuple and checked whether any tuple appears with more than one label. Result: 0 conflicting tuples — the dataset is internally consistent at the tuple level.</w:t>
      </w:r>
    </w:p>
    <w:p>
      <w:pPr>
        <w:pStyle w:val="Heading2"/>
      </w:pPr>
      <w:r>
        <w:rPr>
          <w:color w:val="1F3A5F"/>
        </w:rPr>
        <w:t>Step 3 — Tuple-level overlap test (L1)</w:t>
      </w:r>
    </w:p>
    <w:p>
      <w:r>
        <w:rPr>
          <w:b w:val="0"/>
          <w:i w:val="0"/>
          <w:sz w:val="22"/>
        </w:rPr>
        <w:t>For every test row we asked: does its exact (sequence, Variety, Tissue, Stage) tuple appear anywhere in train or dev? The answer was no for all 4,451 test rows. This is the headline finding: the test split has zero tuple-level leakage.</w:t>
      </w:r>
    </w:p>
    <w:p>
      <w:pPr>
        <w:pStyle w:val="Heading2"/>
      </w:pPr>
      <w:r>
        <w:rPr>
          <w:color w:val="1F3A5F"/>
        </w:rPr>
        <w:t>Step 4 — Sequence-only overlap test (L3)</w:t>
      </w:r>
    </w:p>
    <w:p>
      <w:r>
        <w:rPr>
          <w:b w:val="0"/>
          <w:i w:val="0"/>
          <w:sz w:val="22"/>
        </w:rPr>
        <w:t>We then relaxed the match condition to sequence only. For each test row we checked whether its promoter sequence appears anywhere in the pool. We further classified each match by whether the pool occurrences carry a single label (memorizable) or both labels (context required).</w:t>
      </w:r>
    </w:p>
    <w:p>
      <w:pPr>
        <w:pStyle w:val="Heading2"/>
      </w:pPr>
      <w:r>
        <w:rPr>
          <w:color w:val="1F3A5F"/>
        </w:rPr>
        <w:t>Step 5 — Near-duplicate test (L4)</w:t>
      </w:r>
    </w:p>
    <w:p>
      <w:r>
        <w:rPr>
          <w:b w:val="0"/>
          <w:i w:val="0"/>
          <w:sz w:val="22"/>
        </w:rPr>
        <w:t>We exported all 17,042 unique sequences to FASTA and ran CD-HIT-EST at identity=0.8, word=5. This produced 16,877 clusters. We flagged 80 clusters that contain rows from more than one split (cross-split clusters) and counted how many test rows fall into them.</w:t>
      </w:r>
    </w:p>
    <w:p>
      <w:pPr>
        <w:pStyle w:val="Heading2"/>
      </w:pPr>
      <w:r>
        <w:rPr>
          <w:color w:val="1F3A5F"/>
        </w:rPr>
        <w:t>Step 6 — Construct the clean subset</w:t>
      </w:r>
    </w:p>
    <w:p>
      <w:r>
        <w:rPr>
          <w:b w:val="0"/>
          <w:i w:val="0"/>
          <w:sz w:val="22"/>
        </w:rPr>
        <w:t>We removed every test row flagged at L1, L3, or L4 and recorded the size of the resulting clean subset for downstream sensitivity analysis.</w:t>
      </w:r>
    </w:p>
    <w:p>
      <w:pPr>
        <w:pStyle w:val="Heading1"/>
      </w:pPr>
      <w:r>
        <w:rPr>
          <w:color w:val="1F3A5F"/>
        </w:rPr>
        <w:t>5. Results — Table Z (audit summary)</w:t>
      </w:r>
    </w:p>
    <w:p>
      <w:r>
        <w:rPr>
          <w:b w:val="0"/>
          <w:i w:val="0"/>
          <w:sz w:val="22"/>
        </w:rPr>
        <w:t>The table below is the headline summary of the audit. It is organized by audit level (L1, L3, L4) and reports how many test rows are affected at each level, what fraction of the test set that represents, and how those rows are treated.</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2268"/>
            <w:vAlign w:val="center"/>
            <w:shd w:val="clear" w:color="auto" w:fill="1F3A5F"/>
          </w:tcPr>
          <w:p>
            <w:r>
              <w:rPr>
                <w:color w:val="FFFFFF"/>
              </w:rPr>
            </w:r>
            <w:r>
              <w:rPr>
                <w:b/>
                <w:color w:val="FFFFFF"/>
                <w:sz w:val="20"/>
              </w:rPr>
              <w:t>Audit level</w:t>
            </w:r>
          </w:p>
        </w:tc>
        <w:tc>
          <w:tcPr>
            <w:tcW w:type="dxa" w:w="3118"/>
            <w:vAlign w:val="center"/>
            <w:shd w:val="clear" w:color="auto" w:fill="1F3A5F"/>
          </w:tcPr>
          <w:p>
            <w:r>
              <w:rPr>
                <w:color w:val="FFFFFF"/>
              </w:rPr>
            </w:r>
            <w:r>
              <w:rPr>
                <w:b/>
                <w:color w:val="FFFFFF"/>
                <w:sz w:val="20"/>
              </w:rPr>
              <w:t>Definition</w:t>
            </w:r>
          </w:p>
        </w:tc>
        <w:tc>
          <w:tcPr>
            <w:tcW w:type="dxa" w:w="1587"/>
            <w:vAlign w:val="center"/>
            <w:shd w:val="clear" w:color="auto" w:fill="1F3A5F"/>
          </w:tcPr>
          <w:p>
            <w:r>
              <w:rPr>
                <w:color w:val="FFFFFF"/>
              </w:rPr>
            </w:r>
            <w:r>
              <w:rPr>
                <w:b/>
                <w:color w:val="FFFFFF"/>
                <w:sz w:val="20"/>
              </w:rPr>
              <w:t>Test rows affected</w:t>
            </w:r>
          </w:p>
        </w:tc>
        <w:tc>
          <w:tcPr>
            <w:tcW w:type="dxa" w:w="1020"/>
            <w:vAlign w:val="center"/>
            <w:shd w:val="clear" w:color="auto" w:fill="1F3A5F"/>
          </w:tcPr>
          <w:p>
            <w:r>
              <w:rPr>
                <w:color w:val="FFFFFF"/>
              </w:rPr>
            </w:r>
            <w:r>
              <w:rPr>
                <w:b/>
                <w:color w:val="FFFFFF"/>
                <w:sz w:val="20"/>
              </w:rPr>
              <w:t>% of test</w:t>
            </w:r>
          </w:p>
        </w:tc>
        <w:tc>
          <w:tcPr>
            <w:tcW w:type="dxa" w:w="2268"/>
            <w:vAlign w:val="center"/>
            <w:shd w:val="clear" w:color="auto" w:fill="1F3A5F"/>
          </w:tcPr>
          <w:p>
            <w:r>
              <w:rPr>
                <w:color w:val="FFFFFF"/>
              </w:rPr>
            </w:r>
            <w:r>
              <w:rPr>
                <w:b/>
                <w:color w:val="FFFFFF"/>
                <w:sz w:val="20"/>
              </w:rPr>
              <w:t>Treatment</w:t>
            </w:r>
          </w:p>
        </w:tc>
      </w:tr>
      <w:tr>
        <w:tc>
          <w:tcPr>
            <w:tcW w:type="dxa" w:w="2268"/>
            <w:vAlign w:val="center"/>
          </w:tcPr>
          <w:p>
            <w:r/>
            <w:r>
              <w:rPr>
                <w:b/>
                <w:sz w:val="20"/>
              </w:rPr>
              <w:t>L1 — Tuple-level</w:t>
            </w:r>
          </w:p>
        </w:tc>
        <w:tc>
          <w:tcPr>
            <w:tcW w:type="dxa" w:w="3118"/>
            <w:vAlign w:val="center"/>
          </w:tcPr>
          <w:p>
            <w:r/>
            <w:r>
              <w:rPr>
                <w:b/>
                <w:sz w:val="20"/>
              </w:rPr>
              <w:t>Exact (seq, V, T, S) tuple appears in train ∪ dev</w:t>
            </w:r>
          </w:p>
        </w:tc>
        <w:tc>
          <w:tcPr>
            <w:tcW w:type="dxa" w:w="1587"/>
            <w:vAlign w:val="center"/>
          </w:tcPr>
          <w:p>
            <w:r/>
            <w:r>
              <w:rPr>
                <w:b/>
                <w:sz w:val="20"/>
              </w:rPr>
              <w:t>0 / 4,451</w:t>
            </w:r>
          </w:p>
        </w:tc>
        <w:tc>
          <w:tcPr>
            <w:tcW w:type="dxa" w:w="1020"/>
            <w:vAlign w:val="center"/>
          </w:tcPr>
          <w:p>
            <w:r/>
            <w:r>
              <w:rPr>
                <w:b/>
                <w:sz w:val="20"/>
              </w:rPr>
              <w:t>0.00%</w:t>
            </w:r>
          </w:p>
        </w:tc>
        <w:tc>
          <w:tcPr>
            <w:tcW w:type="dxa" w:w="2268"/>
            <w:vAlign w:val="center"/>
          </w:tcPr>
          <w:p>
            <w:r/>
            <w:r>
              <w:rPr>
                <w:b/>
                <w:sz w:val="20"/>
              </w:rPr>
              <w:t>True leakage — none detected</w:t>
            </w:r>
          </w:p>
        </w:tc>
      </w:tr>
      <w:tr>
        <w:tc>
          <w:tcPr>
            <w:tcW w:type="dxa" w:w="2268"/>
            <w:vAlign w:val="center"/>
          </w:tcPr>
          <w:p>
            <w:r/>
            <w:r>
              <w:rPr>
                <w:sz w:val="20"/>
              </w:rPr>
              <w:t>L1b — Conflicting labels</w:t>
            </w:r>
          </w:p>
        </w:tc>
        <w:tc>
          <w:tcPr>
            <w:tcW w:type="dxa" w:w="3118"/>
            <w:vAlign w:val="center"/>
          </w:tcPr>
          <w:p>
            <w:r/>
            <w:r>
              <w:rPr>
                <w:sz w:val="20"/>
              </w:rPr>
              <w:t>Same tuple appears with different labels anywhere in the corpus</w:t>
            </w:r>
          </w:p>
        </w:tc>
        <w:tc>
          <w:tcPr>
            <w:tcW w:type="dxa" w:w="1587"/>
            <w:vAlign w:val="center"/>
          </w:tcPr>
          <w:p>
            <w:r/>
            <w:r>
              <w:rPr>
                <w:sz w:val="20"/>
              </w:rPr>
              <w:t>0 / 44,502</w:t>
            </w:r>
          </w:p>
        </w:tc>
        <w:tc>
          <w:tcPr>
            <w:tcW w:type="dxa" w:w="1020"/>
            <w:vAlign w:val="center"/>
          </w:tcPr>
          <w:p>
            <w:r/>
            <w:r>
              <w:rPr>
                <w:sz w:val="20"/>
              </w:rPr>
              <w:t>0.00%</w:t>
            </w:r>
          </w:p>
        </w:tc>
        <w:tc>
          <w:tcPr>
            <w:tcW w:type="dxa" w:w="2268"/>
            <w:vAlign w:val="center"/>
          </w:tcPr>
          <w:p>
            <w:r/>
            <w:r>
              <w:rPr>
                <w:sz w:val="20"/>
              </w:rPr>
              <w:t>Label noise — none detected</w:t>
            </w:r>
          </w:p>
        </w:tc>
      </w:tr>
      <w:tr>
        <w:tc>
          <w:tcPr>
            <w:tcW w:type="dxa" w:w="2268"/>
            <w:vAlign w:val="center"/>
          </w:tcPr>
          <w:p>
            <w:r/>
            <w:r>
              <w:rPr>
                <w:sz w:val="20"/>
              </w:rPr>
              <w:t>L3 — Sequence overlap (new context)</w:t>
            </w:r>
          </w:p>
        </w:tc>
        <w:tc>
          <w:tcPr>
            <w:tcW w:type="dxa" w:w="3118"/>
            <w:vAlign w:val="center"/>
          </w:tcPr>
          <w:p>
            <w:r/>
            <w:r>
              <w:rPr>
                <w:sz w:val="20"/>
              </w:rPr>
              <w:t>Promoter sequence seen in pool but with a previously unseen (V, T, S)</w:t>
            </w:r>
          </w:p>
        </w:tc>
        <w:tc>
          <w:tcPr>
            <w:tcW w:type="dxa" w:w="1587"/>
            <w:vAlign w:val="center"/>
          </w:tcPr>
          <w:p>
            <w:r/>
            <w:r>
              <w:rPr>
                <w:sz w:val="20"/>
              </w:rPr>
              <w:t>3,646 / 4,451</w:t>
            </w:r>
          </w:p>
        </w:tc>
        <w:tc>
          <w:tcPr>
            <w:tcW w:type="dxa" w:w="1020"/>
            <w:vAlign w:val="center"/>
          </w:tcPr>
          <w:p>
            <w:r/>
            <w:r>
              <w:rPr>
                <w:sz w:val="20"/>
              </w:rPr>
              <w:t>81.91%</w:t>
            </w:r>
          </w:p>
        </w:tc>
        <w:tc>
          <w:tcPr>
            <w:tcW w:type="dxa" w:w="2268"/>
            <w:vAlign w:val="center"/>
          </w:tcPr>
          <w:p>
            <w:r/>
            <w:r>
              <w:rPr>
                <w:sz w:val="20"/>
              </w:rPr>
              <w:t>Not leakage for a context-aware model</w:t>
            </w:r>
          </w:p>
        </w:tc>
      </w:tr>
      <w:tr>
        <w:tc>
          <w:tcPr>
            <w:tcW w:type="dxa" w:w="2268"/>
            <w:vAlign w:val="center"/>
          </w:tcPr>
          <w:p>
            <w:r/>
            <w:r>
              <w:rPr>
                <w:sz w:val="20"/>
              </w:rPr>
              <w:t xml:space="preserve">    ↳ Same-label across contexts</w:t>
            </w:r>
          </w:p>
        </w:tc>
        <w:tc>
          <w:tcPr>
            <w:tcW w:type="dxa" w:w="3118"/>
            <w:vAlign w:val="center"/>
          </w:tcPr>
          <w:p>
            <w:r/>
            <w:r>
              <w:rPr>
                <w:sz w:val="20"/>
              </w:rPr>
              <w:t>Memorizing the sequence alone would suffice</w:t>
            </w:r>
          </w:p>
        </w:tc>
        <w:tc>
          <w:tcPr>
            <w:tcW w:type="dxa" w:w="1587"/>
            <w:vAlign w:val="center"/>
          </w:tcPr>
          <w:p>
            <w:r/>
            <w:r>
              <w:rPr>
                <w:sz w:val="20"/>
              </w:rPr>
              <w:t>967 / 4,451</w:t>
            </w:r>
          </w:p>
        </w:tc>
        <w:tc>
          <w:tcPr>
            <w:tcW w:type="dxa" w:w="1020"/>
            <w:vAlign w:val="center"/>
          </w:tcPr>
          <w:p>
            <w:r/>
            <w:r>
              <w:rPr>
                <w:sz w:val="20"/>
              </w:rPr>
              <w:t>21.73%</w:t>
            </w:r>
          </w:p>
        </w:tc>
        <w:tc>
          <w:tcPr>
            <w:tcW w:type="dxa" w:w="2268"/>
            <w:vAlign w:val="center"/>
          </w:tcPr>
          <w:p>
            <w:r/>
            <w:r>
              <w:rPr>
                <w:sz w:val="20"/>
              </w:rPr>
              <w:t>Reported as upper bound on 'memorizable' rows</w:t>
            </w:r>
          </w:p>
        </w:tc>
      </w:tr>
      <w:tr>
        <w:tc>
          <w:tcPr>
            <w:tcW w:type="dxa" w:w="2268"/>
            <w:vAlign w:val="center"/>
          </w:tcPr>
          <w:p>
            <w:r/>
            <w:r>
              <w:rPr>
                <w:b/>
                <w:sz w:val="20"/>
              </w:rPr>
              <w:t xml:space="preserve">    ↳ Label-flipping across contexts</w:t>
            </w:r>
          </w:p>
        </w:tc>
        <w:tc>
          <w:tcPr>
            <w:tcW w:type="dxa" w:w="3118"/>
            <w:vAlign w:val="center"/>
          </w:tcPr>
          <w:p>
            <w:r/>
            <w:r>
              <w:rPr>
                <w:b/>
                <w:sz w:val="20"/>
              </w:rPr>
              <w:t>Sequence has both classes in the pool — context is required</w:t>
            </w:r>
          </w:p>
        </w:tc>
        <w:tc>
          <w:tcPr>
            <w:tcW w:type="dxa" w:w="1587"/>
            <w:vAlign w:val="center"/>
          </w:tcPr>
          <w:p>
            <w:r/>
            <w:r>
              <w:rPr>
                <w:b/>
                <w:sz w:val="20"/>
              </w:rPr>
              <w:t>2,679 / 4,451</w:t>
            </w:r>
          </w:p>
        </w:tc>
        <w:tc>
          <w:tcPr>
            <w:tcW w:type="dxa" w:w="1020"/>
            <w:vAlign w:val="center"/>
          </w:tcPr>
          <w:p>
            <w:r/>
            <w:r>
              <w:rPr>
                <w:b/>
                <w:sz w:val="20"/>
              </w:rPr>
              <w:t>60.19%</w:t>
            </w:r>
          </w:p>
        </w:tc>
        <w:tc>
          <w:tcPr>
            <w:tcW w:type="dxa" w:w="2268"/>
            <w:vAlign w:val="center"/>
          </w:tcPr>
          <w:p>
            <w:r/>
            <w:r>
              <w:rPr>
                <w:b/>
                <w:sz w:val="20"/>
              </w:rPr>
              <w:t>Cannot be solved without using context</w:t>
            </w:r>
          </w:p>
        </w:tc>
      </w:tr>
      <w:tr>
        <w:tc>
          <w:tcPr>
            <w:tcW w:type="dxa" w:w="2268"/>
            <w:vAlign w:val="center"/>
          </w:tcPr>
          <w:p>
            <w:r/>
            <w:r>
              <w:rPr>
                <w:sz w:val="20"/>
              </w:rPr>
              <w:t>L4 — Near-duplicate (CD-HIT-EST ≥80% id)</w:t>
            </w:r>
          </w:p>
        </w:tc>
        <w:tc>
          <w:tcPr>
            <w:tcW w:type="dxa" w:w="3118"/>
            <w:vAlign w:val="center"/>
          </w:tcPr>
          <w:p>
            <w:r/>
            <w:r>
              <w:rPr>
                <w:sz w:val="20"/>
              </w:rPr>
              <w:t>Test row's cluster contains a pool row</w:t>
            </w:r>
          </w:p>
        </w:tc>
        <w:tc>
          <w:tcPr>
            <w:tcW w:type="dxa" w:w="1587"/>
            <w:vAlign w:val="center"/>
          </w:tcPr>
          <w:p>
            <w:r/>
            <w:r>
              <w:rPr>
                <w:sz w:val="20"/>
              </w:rPr>
              <w:t>3,660 / 4,451</w:t>
            </w:r>
          </w:p>
        </w:tc>
        <w:tc>
          <w:tcPr>
            <w:tcW w:type="dxa" w:w="1020"/>
            <w:vAlign w:val="center"/>
          </w:tcPr>
          <w:p>
            <w:r/>
            <w:r>
              <w:rPr>
                <w:sz w:val="20"/>
              </w:rPr>
              <w:t>82.23%</w:t>
            </w:r>
          </w:p>
        </w:tc>
        <w:tc>
          <w:tcPr>
            <w:tcW w:type="dxa" w:w="2268"/>
            <w:vAlign w:val="center"/>
          </w:tcPr>
          <w:p>
            <w:r/>
            <w:r>
              <w:rPr>
                <w:sz w:val="20"/>
              </w:rPr>
              <w:t>Adds only 14 rows (0.31%) beyond L3, all with new context</w:t>
            </w:r>
          </w:p>
        </w:tc>
      </w:tr>
      <w:tr>
        <w:tc>
          <w:tcPr>
            <w:tcW w:type="dxa" w:w="2268"/>
            <w:vAlign w:val="center"/>
          </w:tcPr>
          <w:p>
            <w:r/>
            <w:r>
              <w:rPr>
                <w:sz w:val="20"/>
              </w:rPr>
              <w:t>Clean test subset</w:t>
            </w:r>
          </w:p>
        </w:tc>
        <w:tc>
          <w:tcPr>
            <w:tcW w:type="dxa" w:w="3118"/>
            <w:vAlign w:val="center"/>
          </w:tcPr>
          <w:p>
            <w:r/>
            <w:r>
              <w:rPr>
                <w:sz w:val="20"/>
              </w:rPr>
              <w:t>Drop L1 ∪ L3 ∪ L4 (sequence- and cluster-disjoint from pool)</w:t>
            </w:r>
          </w:p>
        </w:tc>
        <w:tc>
          <w:tcPr>
            <w:tcW w:type="dxa" w:w="1587"/>
            <w:vAlign w:val="center"/>
          </w:tcPr>
          <w:p>
            <w:r/>
            <w:r>
              <w:rPr>
                <w:sz w:val="20"/>
              </w:rPr>
              <w:t>791 / 4,451</w:t>
            </w:r>
          </w:p>
        </w:tc>
        <w:tc>
          <w:tcPr>
            <w:tcW w:type="dxa" w:w="1020"/>
            <w:vAlign w:val="center"/>
          </w:tcPr>
          <w:p>
            <w:r/>
            <w:r>
              <w:rPr>
                <w:sz w:val="20"/>
              </w:rPr>
              <w:t>17.77%</w:t>
            </w:r>
          </w:p>
        </w:tc>
        <w:tc>
          <w:tcPr>
            <w:tcW w:type="dxa" w:w="2268"/>
            <w:vAlign w:val="center"/>
          </w:tcPr>
          <w:p>
            <w:r/>
            <w:r>
              <w:rPr>
                <w:sz w:val="20"/>
              </w:rPr>
              <w:t>Used for sensitivity analysis</w:t>
            </w:r>
          </w:p>
        </w:tc>
      </w:tr>
    </w:tbl>
    <w:p>
      <w:r>
        <w:rPr>
          <w:i/>
          <w:sz w:val="18"/>
        </w:rPr>
        <w:t>Splits: train 35,601 / dev 4,450 / test 4,451 (n = 44,502; 17,042 unique promoter sequences). Of the 17,042 unique sequences, 37.7% (6,427) flip labels across (Variety, Tissue, Stage) contexts, so a sequence-only classifier cannot succeed on a majority of test rows. Source: leakage_summary_final.csv, leakage_summary_context.csv.</w:t>
      </w:r>
    </w:p>
    <w:p>
      <w:pPr>
        <w:pStyle w:val="Heading1"/>
      </w:pPr>
      <w:r>
        <w:rPr>
          <w:color w:val="1F3A5F"/>
        </w:rPr>
        <w:t>6. How to read the table (in plain language)</w:t>
      </w:r>
    </w:p>
    <w:p>
      <w:pPr>
        <w:pStyle w:val="ListBullet"/>
      </w:pPr>
      <w:r>
        <w:rPr>
          <w:sz w:val="22"/>
        </w:rPr>
        <w:t>L1 says: zero test rows have the exact same input (sequence + context) as any training or dev row. This is the only number that has to be zero, and it is.</w:t>
      </w:r>
    </w:p>
    <w:p>
      <w:pPr>
        <w:pStyle w:val="ListBullet"/>
      </w:pPr>
      <w:r>
        <w:rPr>
          <w:sz w:val="22"/>
        </w:rPr>
        <w:t>L3 says: about 82% of test rows reuse a promoter sequence — but always with a context the model has not seen before. This is normal and expected for this dataset, because every promoter is studied across multiple varieties, tissues, and stages.</w:t>
      </w:r>
    </w:p>
    <w:p>
      <w:pPr>
        <w:pStyle w:val="ListBullet"/>
      </w:pPr>
      <w:r>
        <w:rPr>
          <w:sz w:val="22"/>
        </w:rPr>
        <w:t>Of those L3 rows, 60% are 'label-flipping': the same sequence has both drought-responsive and non-responsive labels in the training pool, depending on context. The model cannot guess these correctly without actually using the context features. Strong test performance on these rows is direct evidence that CARCM has learned context-conditioned biology.</w:t>
      </w:r>
    </w:p>
    <w:p>
      <w:pPr>
        <w:pStyle w:val="ListBullet"/>
      </w:pPr>
      <w:r>
        <w:rPr>
          <w:sz w:val="22"/>
        </w:rPr>
        <w:t>L4 (sequence near-duplicates at 80% identity) adds essentially nothing on top of L3 — only 14 extra rows (0.31%). So sequence similarity beyond exact match is not a hidden source of leakage either.</w:t>
      </w:r>
    </w:p>
    <w:p>
      <w:pPr>
        <w:pStyle w:val="ListBullet"/>
      </w:pPr>
      <w:r>
        <w:rPr>
          <w:sz w:val="22"/>
        </w:rPr>
        <w:t>The 'clean test subset' (791 rows) is what we use for sensitivity analysis: if test performance on this strict subset is comparable to performance on the full test set, the headline metrics are not artifacts of any kind of sequence overlap.</w:t>
      </w:r>
    </w:p>
    <w:p>
      <w:pPr>
        <w:pStyle w:val="Heading1"/>
      </w:pPr>
      <w:r>
        <w:rPr>
          <w:color w:val="1F3A5F"/>
        </w:rPr>
        <w:t>7. Conclusion</w:t>
      </w:r>
    </w:p>
    <w:p>
      <w:r>
        <w:rPr>
          <w:b/>
          <w:i w:val="0"/>
          <w:sz w:val="22"/>
        </w:rPr>
        <w:t>Verdict: CLEAN — zero tuple-level leakage.</w:t>
      </w:r>
    </w:p>
    <w:p>
      <w:r>
        <w:rPr>
          <w:b w:val="0"/>
          <w:i w:val="0"/>
          <w:sz w:val="22"/>
        </w:rPr>
        <w:t>Under the observation unit actually consumed by CARCM (promoter sequence, Variety, Tissue, Stage), no test row shares its input with any training or dev row, and there is no label noise at the tuple level. The 81.9% sequence-only overlap is expected biological reuse across contexts and is not leakage; in fact, the 60.2% label-flipping fraction means the model is forced to use context to be correct on the majority of test rows. Reported test-set metrics therefore reflect genuine generalization to unseen biological contexts, not memorization.</w:t>
      </w:r>
    </w:p>
    <w:p>
      <w:pPr>
        <w:pStyle w:val="Heading1"/>
      </w:pPr>
      <w:r>
        <w:rPr>
          <w:color w:val="1F3A5F"/>
        </w:rPr>
        <w:t>8. Source files in this directory</w:t>
      </w:r>
    </w:p>
    <w:p>
      <w:pPr>
        <w:pStyle w:val="ListBullet"/>
      </w:pPr>
      <w:r>
        <w:rPr>
          <w:sz w:val="22"/>
        </w:rPr>
        <w:t>leakage_summary_final.csv — final context-aware summary (the basis of Table Z above).</w:t>
      </w:r>
    </w:p>
    <w:p>
      <w:pPr>
        <w:pStyle w:val="ListBullet"/>
      </w:pPr>
      <w:r>
        <w:rPr>
          <w:sz w:val="22"/>
        </w:rPr>
        <w:t>leakage_summary_context.csv — full L1/L3/L4 breakdown with clean-subset sizes.</w:t>
      </w:r>
    </w:p>
    <w:p>
      <w:pPr>
        <w:pStyle w:val="ListBullet"/>
      </w:pPr>
      <w:r>
        <w:rPr>
          <w:sz w:val="22"/>
        </w:rPr>
        <w:t>leakage_summary.csv — original sequence-only audit (CD-HIT 80%); kept as a stricter sanity check.</w:t>
      </w:r>
    </w:p>
    <w:p>
      <w:pPr>
        <w:pStyle w:val="ListBullet"/>
      </w:pPr>
      <w:r>
        <w:rPr>
          <w:sz w:val="22"/>
        </w:rPr>
        <w:t>leakage_audit_final.log / leakage_audit_context.log / leakage_audit.log — human-readable run logs for the three audits.</w:t>
      </w:r>
    </w:p>
    <w:p>
      <w:pPr>
        <w:pStyle w:val="ListBullet"/>
      </w:pPr>
      <w:r>
        <w:rPr>
          <w:sz w:val="22"/>
        </w:rPr>
        <w:t>exact_duplicates_by_split.csv — row-level flags for any exact-tuple matches across splits.</w:t>
      </w:r>
    </w:p>
    <w:p>
      <w:pPr>
        <w:pStyle w:val="ListBullet"/>
      </w:pPr>
      <w:r>
        <w:rPr>
          <w:sz w:val="22"/>
        </w:rPr>
        <w:t>leakage_clusters.csv — CD-HIT clusters that span more than one split.</w:t>
      </w:r>
    </w:p>
    <w:p>
      <w:pPr>
        <w:pStyle w:val="ListBullet"/>
      </w:pPr>
      <w:r>
        <w:rPr>
          <w:sz w:val="22"/>
        </w:rPr>
        <w:t>test_row_leakage_flags.csv / test_row_leakage_flags_context.csv — per-test-row leakage flags.</w:t>
      </w:r>
    </w:p>
    <w:p>
      <w:pPr>
        <w:pStyle w:val="ListBullet"/>
      </w:pPr>
      <w:r>
        <w:rPr>
          <w:sz w:val="22"/>
        </w:rPr>
        <w:t>unique_sequences.fasta, cdhit80, cdhit80.clstr — FASTA input and CD-HIT outputs used for L4.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