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D6EA6D" w14:textId="77777777" w:rsidR="00720786" w:rsidRPr="00720786" w:rsidRDefault="00720786" w:rsidP="00720786">
      <w:pPr>
        <w:rPr>
          <w:b/>
          <w:bCs/>
        </w:rPr>
      </w:pPr>
      <w:r w:rsidRPr="00720786">
        <w:rPr>
          <w:b/>
          <w:bCs/>
        </w:rPr>
        <w:t>COVID-19 Update: Global Overview for the Past Week</w:t>
      </w:r>
    </w:p>
    <w:p w14:paraId="1DEC2BF8" w14:textId="77777777" w:rsidR="00720786" w:rsidRPr="00720786" w:rsidRDefault="00720786" w:rsidP="00720786">
      <w:r w:rsidRPr="00720786">
        <w:t>This report presents an overview of COVID-19 statistics across various countries and regions, highlighting new deaths, recoveries, and the changes over the past week. The data reflects confirmed cases, deaths, and recoveries as well as the weekly changes for each country. Key trends, including the regions most affected by the virus, are also discussed.</w:t>
      </w:r>
    </w:p>
    <w:p w14:paraId="085F90CE" w14:textId="77777777" w:rsidR="00720786" w:rsidRPr="00720786" w:rsidRDefault="00720786" w:rsidP="00720786">
      <w:pPr>
        <w:rPr>
          <w:b/>
          <w:bCs/>
        </w:rPr>
      </w:pPr>
      <w:r w:rsidRPr="00720786">
        <w:rPr>
          <w:b/>
          <w:bCs/>
        </w:rPr>
        <w:t>Key Highlights:</w:t>
      </w:r>
    </w:p>
    <w:p w14:paraId="5542DBCB" w14:textId="77777777" w:rsidR="00720786" w:rsidRPr="00720786" w:rsidRDefault="00720786" w:rsidP="00720786">
      <w:pPr>
        <w:numPr>
          <w:ilvl w:val="0"/>
          <w:numId w:val="2"/>
        </w:numPr>
      </w:pPr>
      <w:r w:rsidRPr="00720786">
        <w:rPr>
          <w:b/>
          <w:bCs/>
        </w:rPr>
        <w:t>Countries with significant weekly increases</w:t>
      </w:r>
      <w:r w:rsidRPr="00720786">
        <w:t xml:space="preserve">: Countries such as </w:t>
      </w:r>
      <w:r w:rsidRPr="00720786">
        <w:rPr>
          <w:i/>
          <w:iCs/>
        </w:rPr>
        <w:t>Brazil</w:t>
      </w:r>
      <w:r w:rsidRPr="00720786">
        <w:t xml:space="preserve">, </w:t>
      </w:r>
      <w:r w:rsidRPr="00720786">
        <w:rPr>
          <w:i/>
          <w:iCs/>
        </w:rPr>
        <w:t>Argentina</w:t>
      </w:r>
      <w:r w:rsidRPr="00720786">
        <w:t xml:space="preserve">, and </w:t>
      </w:r>
      <w:r w:rsidRPr="00720786">
        <w:rPr>
          <w:i/>
          <w:iCs/>
        </w:rPr>
        <w:t>Colombia</w:t>
      </w:r>
      <w:r w:rsidRPr="00720786">
        <w:t xml:space="preserve"> saw substantial increases in confirmed cases, with percentage changes above 15%.</w:t>
      </w:r>
    </w:p>
    <w:p w14:paraId="00F6D3FD" w14:textId="77777777" w:rsidR="00720786" w:rsidRPr="00720786" w:rsidRDefault="00720786" w:rsidP="00720786">
      <w:pPr>
        <w:numPr>
          <w:ilvl w:val="0"/>
          <w:numId w:val="2"/>
        </w:numPr>
      </w:pPr>
      <w:r w:rsidRPr="00720786">
        <w:rPr>
          <w:b/>
          <w:bCs/>
        </w:rPr>
        <w:t>High recovery rates</w:t>
      </w:r>
      <w:r w:rsidRPr="00720786">
        <w:t xml:space="preserve">: </w:t>
      </w:r>
      <w:r w:rsidRPr="00720786">
        <w:rPr>
          <w:i/>
          <w:iCs/>
        </w:rPr>
        <w:t>Australia</w:t>
      </w:r>
      <w:r w:rsidRPr="00720786">
        <w:t xml:space="preserve"> and </w:t>
      </w:r>
      <w:r w:rsidRPr="00720786">
        <w:rPr>
          <w:i/>
          <w:iCs/>
        </w:rPr>
        <w:t>Belgium</w:t>
      </w:r>
      <w:r w:rsidRPr="00720786">
        <w:t xml:space="preserve"> show impressive recovery rates with more than 80% of cases recovered.</w:t>
      </w:r>
    </w:p>
    <w:p w14:paraId="182F5134" w14:textId="77777777" w:rsidR="00720786" w:rsidRPr="00720786" w:rsidRDefault="00720786" w:rsidP="00720786">
      <w:pPr>
        <w:numPr>
          <w:ilvl w:val="0"/>
          <w:numId w:val="2"/>
        </w:numPr>
      </w:pPr>
      <w:r w:rsidRPr="00720786">
        <w:rPr>
          <w:b/>
          <w:bCs/>
        </w:rPr>
        <w:t>Deaths per 100 cases</w:t>
      </w:r>
      <w:r w:rsidRPr="00720786">
        <w:t xml:space="preserve">: Some countries such as </w:t>
      </w:r>
      <w:r w:rsidRPr="00720786">
        <w:rPr>
          <w:i/>
          <w:iCs/>
        </w:rPr>
        <w:t>Mauritius</w:t>
      </w:r>
      <w:r w:rsidRPr="00720786">
        <w:t xml:space="preserve"> and </w:t>
      </w:r>
      <w:r w:rsidRPr="00720786">
        <w:rPr>
          <w:i/>
          <w:iCs/>
        </w:rPr>
        <w:t>Japan</w:t>
      </w:r>
      <w:r w:rsidRPr="00720786">
        <w:t xml:space="preserve"> have maintained low death rates relative to their confirmed cases, with deaths per 100 cases below 1%.</w:t>
      </w:r>
    </w:p>
    <w:p w14:paraId="6A4AE585" w14:textId="77777777" w:rsidR="00720786" w:rsidRPr="00720786" w:rsidRDefault="00720786" w:rsidP="00720786">
      <w:pPr>
        <w:numPr>
          <w:ilvl w:val="0"/>
          <w:numId w:val="2"/>
        </w:numPr>
      </w:pPr>
      <w:r w:rsidRPr="00720786">
        <w:rPr>
          <w:b/>
          <w:bCs/>
        </w:rPr>
        <w:t>Significant weekly changes</w:t>
      </w:r>
      <w:r w:rsidRPr="00720786">
        <w:t xml:space="preserve">: The weekly percentage increase in cases was notable in several regions, including a 37.34% increase in </w:t>
      </w:r>
      <w:r w:rsidRPr="00720786">
        <w:rPr>
          <w:i/>
          <w:iCs/>
        </w:rPr>
        <w:t>Costa Rica</w:t>
      </w:r>
      <w:r w:rsidRPr="00720786">
        <w:t xml:space="preserve"> and a 26.14% increase in </w:t>
      </w:r>
      <w:r w:rsidRPr="00720786">
        <w:rPr>
          <w:i/>
          <w:iCs/>
        </w:rPr>
        <w:t>Kosovo</w:t>
      </w:r>
      <w:r w:rsidRPr="00720786">
        <w:t>.</w:t>
      </w:r>
    </w:p>
    <w:p w14:paraId="56541C68" w14:textId="77777777" w:rsidR="00720786" w:rsidRPr="00720786" w:rsidRDefault="00720786" w:rsidP="00720786">
      <w:pPr>
        <w:rPr>
          <w:b/>
          <w:bCs/>
        </w:rPr>
      </w:pPr>
      <w:r w:rsidRPr="00720786">
        <w:rPr>
          <w:b/>
          <w:bCs/>
        </w:rPr>
        <w:t>Regional Overview:</w:t>
      </w:r>
    </w:p>
    <w:p w14:paraId="73D2B851" w14:textId="77777777" w:rsidR="00720786" w:rsidRPr="00720786" w:rsidRDefault="00720786" w:rsidP="00720786">
      <w:pPr>
        <w:numPr>
          <w:ilvl w:val="0"/>
          <w:numId w:val="3"/>
        </w:numPr>
      </w:pPr>
      <w:r w:rsidRPr="00720786">
        <w:rPr>
          <w:b/>
          <w:bCs/>
        </w:rPr>
        <w:t>Europe</w:t>
      </w:r>
      <w:r w:rsidRPr="00720786">
        <w:t xml:space="preserve">: Europe remains the region with the highest concentration of confirmed cases and deaths. Countries like </w:t>
      </w:r>
      <w:r w:rsidRPr="00720786">
        <w:rPr>
          <w:i/>
          <w:iCs/>
        </w:rPr>
        <w:t>France</w:t>
      </w:r>
      <w:r w:rsidRPr="00720786">
        <w:t xml:space="preserve"> (2.96% increase), </w:t>
      </w:r>
      <w:r w:rsidRPr="00720786">
        <w:rPr>
          <w:i/>
          <w:iCs/>
        </w:rPr>
        <w:t>Germany</w:t>
      </w:r>
      <w:r w:rsidRPr="00720786">
        <w:t xml:space="preserve"> (1.86% increase), and </w:t>
      </w:r>
      <w:r w:rsidRPr="00720786">
        <w:rPr>
          <w:i/>
          <w:iCs/>
        </w:rPr>
        <w:t>Italy</w:t>
      </w:r>
      <w:r w:rsidRPr="00720786">
        <w:t xml:space="preserve"> (0.68% increase) saw moderate rises. However, nations such as </w:t>
      </w:r>
      <w:r w:rsidRPr="00720786">
        <w:rPr>
          <w:i/>
          <w:iCs/>
        </w:rPr>
        <w:t>Albania</w:t>
      </w:r>
      <w:r w:rsidRPr="00720786">
        <w:t xml:space="preserve"> and </w:t>
      </w:r>
      <w:r w:rsidRPr="00720786">
        <w:rPr>
          <w:i/>
          <w:iCs/>
        </w:rPr>
        <w:t>Bosnia and Herzegovina</w:t>
      </w:r>
      <w:r w:rsidRPr="00720786">
        <w:t xml:space="preserve"> experienced more significant increases in cases, with Albania witnessing a 17% increase in one week.</w:t>
      </w:r>
    </w:p>
    <w:p w14:paraId="75F5E2E6" w14:textId="77777777" w:rsidR="00720786" w:rsidRPr="00720786" w:rsidRDefault="00720786" w:rsidP="00720786">
      <w:pPr>
        <w:numPr>
          <w:ilvl w:val="0"/>
          <w:numId w:val="3"/>
        </w:numPr>
      </w:pPr>
      <w:r w:rsidRPr="00720786">
        <w:rPr>
          <w:b/>
          <w:bCs/>
        </w:rPr>
        <w:t>Africa</w:t>
      </w:r>
      <w:r w:rsidRPr="00720786">
        <w:t xml:space="preserve">: The African continent continues to report a wide range of statistics. Countries like </w:t>
      </w:r>
      <w:r w:rsidRPr="00720786">
        <w:rPr>
          <w:i/>
          <w:iCs/>
        </w:rPr>
        <w:t>Angola</w:t>
      </w:r>
      <w:r w:rsidRPr="00720786">
        <w:t xml:space="preserve"> and </w:t>
      </w:r>
      <w:r w:rsidRPr="00720786">
        <w:rPr>
          <w:i/>
          <w:iCs/>
        </w:rPr>
        <w:t>Mozambique</w:t>
      </w:r>
      <w:r w:rsidRPr="00720786">
        <w:t xml:space="preserve"> reported relatively low numbers of deaths, while </w:t>
      </w:r>
      <w:r w:rsidRPr="00720786">
        <w:rPr>
          <w:i/>
          <w:iCs/>
        </w:rPr>
        <w:t>Ethiopia</w:t>
      </w:r>
      <w:r w:rsidRPr="00720786">
        <w:t xml:space="preserve"> and </w:t>
      </w:r>
      <w:r w:rsidRPr="00720786">
        <w:rPr>
          <w:i/>
          <w:iCs/>
        </w:rPr>
        <w:t>Kenya</w:t>
      </w:r>
      <w:r w:rsidRPr="00720786">
        <w:t xml:space="preserve"> saw notable increases in cases with weekly increases above 30%.</w:t>
      </w:r>
    </w:p>
    <w:p w14:paraId="750E8BE9" w14:textId="77777777" w:rsidR="00720786" w:rsidRPr="00720786" w:rsidRDefault="00720786" w:rsidP="00720786">
      <w:pPr>
        <w:numPr>
          <w:ilvl w:val="0"/>
          <w:numId w:val="3"/>
        </w:numPr>
      </w:pPr>
      <w:r w:rsidRPr="00720786">
        <w:rPr>
          <w:b/>
          <w:bCs/>
        </w:rPr>
        <w:t>Americas</w:t>
      </w:r>
      <w:r w:rsidRPr="00720786">
        <w:t xml:space="preserve">: The Americas are experiencing steady increases, particularly in countries like </w:t>
      </w:r>
      <w:r w:rsidRPr="00720786">
        <w:rPr>
          <w:i/>
          <w:iCs/>
        </w:rPr>
        <w:t>Mexico</w:t>
      </w:r>
      <w:r w:rsidRPr="00720786">
        <w:t xml:space="preserve"> and </w:t>
      </w:r>
      <w:r w:rsidRPr="00720786">
        <w:rPr>
          <w:i/>
          <w:iCs/>
        </w:rPr>
        <w:t>Colombia</w:t>
      </w:r>
      <w:r w:rsidRPr="00720786">
        <w:t xml:space="preserve">, which recorded percentage increases of 13.19% and 26.03%, respectively. Countries like </w:t>
      </w:r>
      <w:r w:rsidRPr="00720786">
        <w:rPr>
          <w:i/>
          <w:iCs/>
        </w:rPr>
        <w:t>Brazil</w:t>
      </w:r>
      <w:r w:rsidRPr="00720786">
        <w:t xml:space="preserve"> have been seeing high numbers of new cases but with relatively low death rates.</w:t>
      </w:r>
    </w:p>
    <w:p w14:paraId="4A1A5B4F" w14:textId="77777777" w:rsidR="00720786" w:rsidRPr="00720786" w:rsidRDefault="00720786" w:rsidP="00720786">
      <w:pPr>
        <w:numPr>
          <w:ilvl w:val="0"/>
          <w:numId w:val="3"/>
        </w:numPr>
      </w:pPr>
      <w:r w:rsidRPr="00720786">
        <w:rPr>
          <w:b/>
          <w:bCs/>
        </w:rPr>
        <w:t>Eastern Mediterranean</w:t>
      </w:r>
      <w:r w:rsidRPr="00720786">
        <w:t xml:space="preserve">: This region remains impacted with countries like </w:t>
      </w:r>
      <w:r w:rsidRPr="00720786">
        <w:rPr>
          <w:i/>
          <w:iCs/>
        </w:rPr>
        <w:t>Iraq</w:t>
      </w:r>
      <w:r w:rsidRPr="00720786">
        <w:t xml:space="preserve"> (18.89% increase) and </w:t>
      </w:r>
      <w:r w:rsidRPr="00720786">
        <w:rPr>
          <w:i/>
          <w:iCs/>
        </w:rPr>
        <w:t>Pakistan</w:t>
      </w:r>
      <w:r w:rsidRPr="00720786">
        <w:t xml:space="preserve"> (3.08% increase) showing significant rises in cases, while </w:t>
      </w:r>
      <w:r w:rsidRPr="00720786">
        <w:rPr>
          <w:i/>
          <w:iCs/>
        </w:rPr>
        <w:t>Qatar</w:t>
      </w:r>
      <w:r w:rsidRPr="00720786">
        <w:t xml:space="preserve"> maintained a stable rate of growth.</w:t>
      </w:r>
    </w:p>
    <w:p w14:paraId="702DD4AA" w14:textId="77777777" w:rsidR="00720786" w:rsidRPr="00720786" w:rsidRDefault="00720786" w:rsidP="00720786">
      <w:pPr>
        <w:numPr>
          <w:ilvl w:val="0"/>
          <w:numId w:val="3"/>
        </w:numPr>
      </w:pPr>
      <w:r w:rsidRPr="00720786">
        <w:rPr>
          <w:b/>
          <w:bCs/>
        </w:rPr>
        <w:t>South-East Asia</w:t>
      </w:r>
      <w:r w:rsidRPr="00720786">
        <w:t xml:space="preserve">: </w:t>
      </w:r>
      <w:r w:rsidRPr="00720786">
        <w:rPr>
          <w:i/>
          <w:iCs/>
        </w:rPr>
        <w:t>India</w:t>
      </w:r>
      <w:r w:rsidRPr="00720786">
        <w:t xml:space="preserve"> continues to report a large volume of cases, with a 28.11% weekly increase in confirmed cases. </w:t>
      </w:r>
      <w:r w:rsidRPr="00720786">
        <w:rPr>
          <w:i/>
          <w:iCs/>
        </w:rPr>
        <w:t>Indonesia</w:t>
      </w:r>
      <w:r w:rsidRPr="00720786">
        <w:t xml:space="preserve"> and </w:t>
      </w:r>
      <w:r w:rsidRPr="00720786">
        <w:rPr>
          <w:i/>
          <w:iCs/>
        </w:rPr>
        <w:t>Bangladesh</w:t>
      </w:r>
      <w:r w:rsidRPr="00720786">
        <w:t xml:space="preserve"> also showed significant increases in cases, although recoveries remained high.</w:t>
      </w:r>
    </w:p>
    <w:p w14:paraId="29447E56" w14:textId="77777777" w:rsidR="00720786" w:rsidRPr="00720786" w:rsidRDefault="00720786" w:rsidP="00720786">
      <w:pPr>
        <w:numPr>
          <w:ilvl w:val="0"/>
          <w:numId w:val="3"/>
        </w:numPr>
      </w:pPr>
      <w:r w:rsidRPr="00720786">
        <w:rPr>
          <w:b/>
          <w:bCs/>
        </w:rPr>
        <w:t>Western Pacific</w:t>
      </w:r>
      <w:r w:rsidRPr="00720786">
        <w:t xml:space="preserve">: Countries like </w:t>
      </w:r>
      <w:r w:rsidRPr="00720786">
        <w:rPr>
          <w:i/>
          <w:iCs/>
        </w:rPr>
        <w:t>Japan</w:t>
      </w:r>
      <w:r w:rsidRPr="00720786">
        <w:t xml:space="preserve"> and </w:t>
      </w:r>
      <w:r w:rsidRPr="00720786">
        <w:rPr>
          <w:i/>
          <w:iCs/>
        </w:rPr>
        <w:t>Australia</w:t>
      </w:r>
      <w:r w:rsidRPr="00720786">
        <w:t xml:space="preserve"> have shown controlled growth, with Japan seeing an increase of 21.15% in cases. However, </w:t>
      </w:r>
      <w:r w:rsidRPr="00720786">
        <w:rPr>
          <w:i/>
          <w:iCs/>
        </w:rPr>
        <w:t>Papua New Guinea</w:t>
      </w:r>
      <w:r w:rsidRPr="00720786">
        <w:t xml:space="preserve"> experienced a massive surge with a weekly increase of 226.32%.</w:t>
      </w:r>
    </w:p>
    <w:p w14:paraId="43AF7764" w14:textId="77777777" w:rsidR="00720786" w:rsidRPr="00720786" w:rsidRDefault="00720786" w:rsidP="00720786">
      <w:pPr>
        <w:rPr>
          <w:b/>
          <w:bCs/>
        </w:rPr>
      </w:pPr>
      <w:r w:rsidRPr="00720786">
        <w:rPr>
          <w:b/>
          <w:bCs/>
        </w:rPr>
        <w:lastRenderedPageBreak/>
        <w:t>Notable Trends:</w:t>
      </w:r>
    </w:p>
    <w:p w14:paraId="3D84227A" w14:textId="77777777" w:rsidR="00720786" w:rsidRPr="00720786" w:rsidRDefault="00720786" w:rsidP="00720786">
      <w:pPr>
        <w:numPr>
          <w:ilvl w:val="0"/>
          <w:numId w:val="4"/>
        </w:numPr>
      </w:pPr>
      <w:r w:rsidRPr="00720786">
        <w:rPr>
          <w:b/>
          <w:bCs/>
        </w:rPr>
        <w:t>Recovery rates</w:t>
      </w:r>
      <w:r w:rsidRPr="00720786">
        <w:t xml:space="preserve">: Countries like </w:t>
      </w:r>
      <w:r w:rsidRPr="00720786">
        <w:rPr>
          <w:i/>
          <w:iCs/>
        </w:rPr>
        <w:t>Australia</w:t>
      </w:r>
      <w:r w:rsidRPr="00720786">
        <w:t xml:space="preserve">, </w:t>
      </w:r>
      <w:r w:rsidRPr="00720786">
        <w:rPr>
          <w:i/>
          <w:iCs/>
        </w:rPr>
        <w:t>Germany</w:t>
      </w:r>
      <w:r w:rsidRPr="00720786">
        <w:t xml:space="preserve">, and </w:t>
      </w:r>
      <w:r w:rsidRPr="00720786">
        <w:rPr>
          <w:i/>
          <w:iCs/>
        </w:rPr>
        <w:t>Portugal</w:t>
      </w:r>
      <w:r w:rsidRPr="00720786">
        <w:t xml:space="preserve"> have reported high recovery rates, with recoveries exceeding 90% in some cases.</w:t>
      </w:r>
    </w:p>
    <w:p w14:paraId="112B726C" w14:textId="77777777" w:rsidR="00720786" w:rsidRPr="00720786" w:rsidRDefault="00720786" w:rsidP="00720786">
      <w:pPr>
        <w:numPr>
          <w:ilvl w:val="0"/>
          <w:numId w:val="4"/>
        </w:numPr>
      </w:pPr>
      <w:r w:rsidRPr="00720786">
        <w:rPr>
          <w:b/>
          <w:bCs/>
        </w:rPr>
        <w:t>Death rates</w:t>
      </w:r>
      <w:r w:rsidRPr="00720786">
        <w:t xml:space="preserve">: Countries such as </w:t>
      </w:r>
      <w:r w:rsidRPr="00720786">
        <w:rPr>
          <w:i/>
          <w:iCs/>
        </w:rPr>
        <w:t>Mauritius</w:t>
      </w:r>
      <w:r w:rsidRPr="00720786">
        <w:t xml:space="preserve"> and </w:t>
      </w:r>
      <w:r w:rsidRPr="00720786">
        <w:rPr>
          <w:i/>
          <w:iCs/>
        </w:rPr>
        <w:t>Japan</w:t>
      </w:r>
      <w:r w:rsidRPr="00720786">
        <w:t xml:space="preserve"> maintain exceptionally low death rates per 100 cases, while </w:t>
      </w:r>
      <w:r w:rsidRPr="00720786">
        <w:rPr>
          <w:i/>
          <w:iCs/>
        </w:rPr>
        <w:t>Brazil</w:t>
      </w:r>
      <w:r w:rsidRPr="00720786">
        <w:t xml:space="preserve"> and </w:t>
      </w:r>
      <w:r w:rsidRPr="00720786">
        <w:rPr>
          <w:i/>
          <w:iCs/>
        </w:rPr>
        <w:t>Mexico</w:t>
      </w:r>
      <w:r w:rsidRPr="00720786">
        <w:t xml:space="preserve"> continue to face higher death rates despite high recovery figures.</w:t>
      </w:r>
    </w:p>
    <w:p w14:paraId="4AD15361" w14:textId="77777777" w:rsidR="00720786" w:rsidRPr="00720786" w:rsidRDefault="00720786" w:rsidP="00720786">
      <w:pPr>
        <w:numPr>
          <w:ilvl w:val="0"/>
          <w:numId w:val="4"/>
        </w:numPr>
      </w:pPr>
      <w:r w:rsidRPr="00720786">
        <w:rPr>
          <w:b/>
          <w:bCs/>
        </w:rPr>
        <w:t>Significant surges in some countries</w:t>
      </w:r>
      <w:r w:rsidRPr="00720786">
        <w:t xml:space="preserve">: </w:t>
      </w:r>
      <w:r w:rsidRPr="00720786">
        <w:rPr>
          <w:i/>
          <w:iCs/>
        </w:rPr>
        <w:t>Gambia</w:t>
      </w:r>
      <w:r w:rsidRPr="00720786">
        <w:t xml:space="preserve"> (191.07% increase) and </w:t>
      </w:r>
      <w:r w:rsidRPr="00720786">
        <w:rPr>
          <w:i/>
          <w:iCs/>
        </w:rPr>
        <w:t>Costa Rica</w:t>
      </w:r>
      <w:r w:rsidRPr="00720786">
        <w:t xml:space="preserve"> (37.34% increase) have seen dramatic rises in cases, underscoring the fluctuating nature of the pandemic.</w:t>
      </w:r>
    </w:p>
    <w:p w14:paraId="5B788847" w14:textId="77777777" w:rsidR="00720786" w:rsidRPr="00720786" w:rsidRDefault="00720786" w:rsidP="00720786">
      <w:pPr>
        <w:rPr>
          <w:b/>
          <w:bCs/>
        </w:rPr>
      </w:pPr>
      <w:r w:rsidRPr="00720786">
        <w:rPr>
          <w:b/>
          <w:bCs/>
        </w:rPr>
        <w:t>Conclusion:</w:t>
      </w:r>
    </w:p>
    <w:p w14:paraId="3A10F60B" w14:textId="77777777" w:rsidR="00720786" w:rsidRPr="00720786" w:rsidRDefault="00720786" w:rsidP="00720786">
      <w:r w:rsidRPr="00720786">
        <w:t>As COVID-19 continues to affect countries worldwide, the situation remains dynamic. Some regions, particularly in Africa and Asia, have seen considerable increases in cases and recoveries, while others, particularly in Europe and the Americas, are continuing to grapple with sustained challenges. Monitoring these trends is critical to understanding and responding to the ongoing pandemic.</w:t>
      </w:r>
    </w:p>
    <w:p w14:paraId="37BBCD34" w14:textId="77777777" w:rsidR="00720786" w:rsidRPr="00720786" w:rsidRDefault="00720786" w:rsidP="00720786">
      <w:pPr>
        <w:rPr>
          <w:vanish/>
        </w:rPr>
      </w:pPr>
      <w:r w:rsidRPr="00720786">
        <w:rPr>
          <w:vanish/>
        </w:rPr>
        <w:t>Top of Form</w:t>
      </w:r>
    </w:p>
    <w:p w14:paraId="3ABC0920" w14:textId="77777777" w:rsidR="00720786" w:rsidRPr="00720786" w:rsidRDefault="00720786" w:rsidP="00720786">
      <w:r w:rsidRPr="00720786">
        <w:pict w14:anchorId="606F3F29"/>
      </w:r>
    </w:p>
    <w:p w14:paraId="5AB6E42B" w14:textId="77777777" w:rsidR="00720786" w:rsidRPr="00720786" w:rsidRDefault="00720786" w:rsidP="00720786">
      <w:pPr>
        <w:rPr>
          <w:vanish/>
        </w:rPr>
      </w:pPr>
      <w:r w:rsidRPr="00720786">
        <w:rPr>
          <w:vanish/>
        </w:rPr>
        <w:t>Bottom of Form</w:t>
      </w:r>
    </w:p>
    <w:p w14:paraId="3C2A5804" w14:textId="77777777" w:rsidR="00AA4540" w:rsidRDefault="00AA4540"/>
    <w:sectPr w:rsidR="00AA4540" w:rsidSect="00C8102C">
      <w:pgSz w:w="11906" w:h="16838"/>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4E4100"/>
    <w:multiLevelType w:val="hybridMultilevel"/>
    <w:tmpl w:val="2DFA3CC4"/>
    <w:lvl w:ilvl="0" w:tplc="9A30B93C">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2C6548"/>
    <w:multiLevelType w:val="multilevel"/>
    <w:tmpl w:val="72C8E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0B6061"/>
    <w:multiLevelType w:val="multilevel"/>
    <w:tmpl w:val="63948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4E2DBE"/>
    <w:multiLevelType w:val="multilevel"/>
    <w:tmpl w:val="10281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40448">
    <w:abstractNumId w:val="0"/>
  </w:num>
  <w:num w:numId="2" w16cid:durableId="1884631331">
    <w:abstractNumId w:val="2"/>
  </w:num>
  <w:num w:numId="3" w16cid:durableId="1508595200">
    <w:abstractNumId w:val="1"/>
  </w:num>
  <w:num w:numId="4" w16cid:durableId="11093944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786"/>
    <w:rsid w:val="00670230"/>
    <w:rsid w:val="006F1598"/>
    <w:rsid w:val="00720786"/>
    <w:rsid w:val="009F418B"/>
    <w:rsid w:val="00AA4540"/>
    <w:rsid w:val="00C8102C"/>
    <w:rsid w:val="00EF5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27011B"/>
  <w15:chartTrackingRefBased/>
  <w15:docId w15:val="{743C7DAC-21BC-4926-8FE4-EC20B43BE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1.1Heading 1"/>
    <w:basedOn w:val="Normal"/>
    <w:next w:val="Normal"/>
    <w:link w:val="Heading1Char"/>
    <w:uiPriority w:val="9"/>
    <w:qFormat/>
    <w:rsid w:val="00EF5FC3"/>
    <w:pPr>
      <w:keepNext/>
      <w:keepLines/>
      <w:numPr>
        <w:numId w:val="1"/>
      </w:numPr>
      <w:spacing w:before="400" w:after="120"/>
      <w:outlineLvl w:val="0"/>
    </w:pPr>
    <w:rPr>
      <w:rFonts w:ascii="Times New Roman" w:eastAsia="Arial" w:hAnsi="Times New Roman" w:cs="Arial"/>
      <w:kern w:val="0"/>
      <w:sz w:val="28"/>
      <w:szCs w:val="40"/>
      <w:lang w:val="en" w:eastAsia="en-GB" w:bidi="b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1.1Heading 1 Char"/>
    <w:basedOn w:val="DefaultParagraphFont"/>
    <w:link w:val="Heading1"/>
    <w:uiPriority w:val="9"/>
    <w:rsid w:val="00EF5FC3"/>
    <w:rPr>
      <w:rFonts w:ascii="Times New Roman" w:eastAsia="Arial" w:hAnsi="Times New Roman" w:cs="Arial"/>
      <w:kern w:val="0"/>
      <w:sz w:val="28"/>
      <w:szCs w:val="40"/>
      <w:lang w:val="en" w:eastAsia="en-GB" w:bidi="b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278542">
      <w:bodyDiv w:val="1"/>
      <w:marLeft w:val="0"/>
      <w:marRight w:val="0"/>
      <w:marTop w:val="0"/>
      <w:marBottom w:val="0"/>
      <w:divBdr>
        <w:top w:val="none" w:sz="0" w:space="0" w:color="auto"/>
        <w:left w:val="none" w:sz="0" w:space="0" w:color="auto"/>
        <w:bottom w:val="none" w:sz="0" w:space="0" w:color="auto"/>
        <w:right w:val="none" w:sz="0" w:space="0" w:color="auto"/>
      </w:divBdr>
      <w:divsChild>
        <w:div w:id="632518720">
          <w:marLeft w:val="0"/>
          <w:marRight w:val="0"/>
          <w:marTop w:val="0"/>
          <w:marBottom w:val="0"/>
          <w:divBdr>
            <w:top w:val="none" w:sz="0" w:space="0" w:color="auto"/>
            <w:left w:val="none" w:sz="0" w:space="0" w:color="auto"/>
            <w:bottom w:val="none" w:sz="0" w:space="0" w:color="auto"/>
            <w:right w:val="none" w:sz="0" w:space="0" w:color="auto"/>
          </w:divBdr>
          <w:divsChild>
            <w:div w:id="75329515">
              <w:marLeft w:val="0"/>
              <w:marRight w:val="0"/>
              <w:marTop w:val="0"/>
              <w:marBottom w:val="0"/>
              <w:divBdr>
                <w:top w:val="none" w:sz="0" w:space="0" w:color="auto"/>
                <w:left w:val="none" w:sz="0" w:space="0" w:color="auto"/>
                <w:bottom w:val="none" w:sz="0" w:space="0" w:color="auto"/>
                <w:right w:val="none" w:sz="0" w:space="0" w:color="auto"/>
              </w:divBdr>
              <w:divsChild>
                <w:div w:id="1567569800">
                  <w:marLeft w:val="0"/>
                  <w:marRight w:val="0"/>
                  <w:marTop w:val="0"/>
                  <w:marBottom w:val="0"/>
                  <w:divBdr>
                    <w:top w:val="none" w:sz="0" w:space="0" w:color="auto"/>
                    <w:left w:val="none" w:sz="0" w:space="0" w:color="auto"/>
                    <w:bottom w:val="none" w:sz="0" w:space="0" w:color="auto"/>
                    <w:right w:val="none" w:sz="0" w:space="0" w:color="auto"/>
                  </w:divBdr>
                  <w:divsChild>
                    <w:div w:id="1845975572">
                      <w:marLeft w:val="0"/>
                      <w:marRight w:val="0"/>
                      <w:marTop w:val="0"/>
                      <w:marBottom w:val="0"/>
                      <w:divBdr>
                        <w:top w:val="none" w:sz="0" w:space="0" w:color="auto"/>
                        <w:left w:val="none" w:sz="0" w:space="0" w:color="auto"/>
                        <w:bottom w:val="none" w:sz="0" w:space="0" w:color="auto"/>
                        <w:right w:val="none" w:sz="0" w:space="0" w:color="auto"/>
                      </w:divBdr>
                      <w:divsChild>
                        <w:div w:id="1771243193">
                          <w:marLeft w:val="0"/>
                          <w:marRight w:val="0"/>
                          <w:marTop w:val="0"/>
                          <w:marBottom w:val="0"/>
                          <w:divBdr>
                            <w:top w:val="none" w:sz="0" w:space="0" w:color="auto"/>
                            <w:left w:val="none" w:sz="0" w:space="0" w:color="auto"/>
                            <w:bottom w:val="none" w:sz="0" w:space="0" w:color="auto"/>
                            <w:right w:val="none" w:sz="0" w:space="0" w:color="auto"/>
                          </w:divBdr>
                          <w:divsChild>
                            <w:div w:id="2041736129">
                              <w:marLeft w:val="0"/>
                              <w:marRight w:val="0"/>
                              <w:marTop w:val="0"/>
                              <w:marBottom w:val="0"/>
                              <w:divBdr>
                                <w:top w:val="none" w:sz="0" w:space="0" w:color="auto"/>
                                <w:left w:val="none" w:sz="0" w:space="0" w:color="auto"/>
                                <w:bottom w:val="none" w:sz="0" w:space="0" w:color="auto"/>
                                <w:right w:val="none" w:sz="0" w:space="0" w:color="auto"/>
                              </w:divBdr>
                              <w:divsChild>
                                <w:div w:id="1990397459">
                                  <w:marLeft w:val="0"/>
                                  <w:marRight w:val="0"/>
                                  <w:marTop w:val="0"/>
                                  <w:marBottom w:val="0"/>
                                  <w:divBdr>
                                    <w:top w:val="none" w:sz="0" w:space="0" w:color="auto"/>
                                    <w:left w:val="none" w:sz="0" w:space="0" w:color="auto"/>
                                    <w:bottom w:val="none" w:sz="0" w:space="0" w:color="auto"/>
                                    <w:right w:val="none" w:sz="0" w:space="0" w:color="auto"/>
                                  </w:divBdr>
                                  <w:divsChild>
                                    <w:div w:id="1426851710">
                                      <w:marLeft w:val="0"/>
                                      <w:marRight w:val="0"/>
                                      <w:marTop w:val="0"/>
                                      <w:marBottom w:val="0"/>
                                      <w:divBdr>
                                        <w:top w:val="none" w:sz="0" w:space="0" w:color="auto"/>
                                        <w:left w:val="none" w:sz="0" w:space="0" w:color="auto"/>
                                        <w:bottom w:val="none" w:sz="0" w:space="0" w:color="auto"/>
                                        <w:right w:val="none" w:sz="0" w:space="0" w:color="auto"/>
                                      </w:divBdr>
                                      <w:divsChild>
                                        <w:div w:id="726150416">
                                          <w:marLeft w:val="0"/>
                                          <w:marRight w:val="0"/>
                                          <w:marTop w:val="0"/>
                                          <w:marBottom w:val="0"/>
                                          <w:divBdr>
                                            <w:top w:val="none" w:sz="0" w:space="0" w:color="auto"/>
                                            <w:left w:val="none" w:sz="0" w:space="0" w:color="auto"/>
                                            <w:bottom w:val="none" w:sz="0" w:space="0" w:color="auto"/>
                                            <w:right w:val="none" w:sz="0" w:space="0" w:color="auto"/>
                                          </w:divBdr>
                                          <w:divsChild>
                                            <w:div w:id="1785148034">
                                              <w:marLeft w:val="0"/>
                                              <w:marRight w:val="0"/>
                                              <w:marTop w:val="0"/>
                                              <w:marBottom w:val="0"/>
                                              <w:divBdr>
                                                <w:top w:val="none" w:sz="0" w:space="0" w:color="auto"/>
                                                <w:left w:val="none" w:sz="0" w:space="0" w:color="auto"/>
                                                <w:bottom w:val="none" w:sz="0" w:space="0" w:color="auto"/>
                                                <w:right w:val="none" w:sz="0" w:space="0" w:color="auto"/>
                                              </w:divBdr>
                                              <w:divsChild>
                                                <w:div w:id="929970159">
                                                  <w:marLeft w:val="0"/>
                                                  <w:marRight w:val="0"/>
                                                  <w:marTop w:val="0"/>
                                                  <w:marBottom w:val="0"/>
                                                  <w:divBdr>
                                                    <w:top w:val="none" w:sz="0" w:space="0" w:color="auto"/>
                                                    <w:left w:val="none" w:sz="0" w:space="0" w:color="auto"/>
                                                    <w:bottom w:val="none" w:sz="0" w:space="0" w:color="auto"/>
                                                    <w:right w:val="none" w:sz="0" w:space="0" w:color="auto"/>
                                                  </w:divBdr>
                                                  <w:divsChild>
                                                    <w:div w:id="1105689069">
                                                      <w:marLeft w:val="0"/>
                                                      <w:marRight w:val="0"/>
                                                      <w:marTop w:val="0"/>
                                                      <w:marBottom w:val="0"/>
                                                      <w:divBdr>
                                                        <w:top w:val="none" w:sz="0" w:space="0" w:color="auto"/>
                                                        <w:left w:val="none" w:sz="0" w:space="0" w:color="auto"/>
                                                        <w:bottom w:val="none" w:sz="0" w:space="0" w:color="auto"/>
                                                        <w:right w:val="none" w:sz="0" w:space="0" w:color="auto"/>
                                                      </w:divBdr>
                                                      <w:divsChild>
                                                        <w:div w:id="19759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21150906">
          <w:marLeft w:val="0"/>
          <w:marRight w:val="0"/>
          <w:marTop w:val="0"/>
          <w:marBottom w:val="0"/>
          <w:divBdr>
            <w:top w:val="none" w:sz="0" w:space="0" w:color="auto"/>
            <w:left w:val="none" w:sz="0" w:space="0" w:color="auto"/>
            <w:bottom w:val="none" w:sz="0" w:space="0" w:color="auto"/>
            <w:right w:val="none" w:sz="0" w:space="0" w:color="auto"/>
          </w:divBdr>
          <w:divsChild>
            <w:div w:id="516584061">
              <w:marLeft w:val="0"/>
              <w:marRight w:val="0"/>
              <w:marTop w:val="0"/>
              <w:marBottom w:val="0"/>
              <w:divBdr>
                <w:top w:val="none" w:sz="0" w:space="0" w:color="auto"/>
                <w:left w:val="none" w:sz="0" w:space="0" w:color="auto"/>
                <w:bottom w:val="none" w:sz="0" w:space="0" w:color="auto"/>
                <w:right w:val="none" w:sz="0" w:space="0" w:color="auto"/>
              </w:divBdr>
              <w:divsChild>
                <w:div w:id="909466968">
                  <w:marLeft w:val="0"/>
                  <w:marRight w:val="0"/>
                  <w:marTop w:val="0"/>
                  <w:marBottom w:val="0"/>
                  <w:divBdr>
                    <w:top w:val="none" w:sz="0" w:space="0" w:color="auto"/>
                    <w:left w:val="none" w:sz="0" w:space="0" w:color="auto"/>
                    <w:bottom w:val="none" w:sz="0" w:space="0" w:color="auto"/>
                    <w:right w:val="none" w:sz="0" w:space="0" w:color="auto"/>
                  </w:divBdr>
                  <w:divsChild>
                    <w:div w:id="1895046231">
                      <w:marLeft w:val="0"/>
                      <w:marRight w:val="0"/>
                      <w:marTop w:val="0"/>
                      <w:marBottom w:val="0"/>
                      <w:divBdr>
                        <w:top w:val="none" w:sz="0" w:space="0" w:color="auto"/>
                        <w:left w:val="none" w:sz="0" w:space="0" w:color="auto"/>
                        <w:bottom w:val="none" w:sz="0" w:space="0" w:color="auto"/>
                        <w:right w:val="none" w:sz="0" w:space="0" w:color="auto"/>
                      </w:divBdr>
                      <w:divsChild>
                        <w:div w:id="1872526277">
                          <w:marLeft w:val="0"/>
                          <w:marRight w:val="0"/>
                          <w:marTop w:val="0"/>
                          <w:marBottom w:val="0"/>
                          <w:divBdr>
                            <w:top w:val="none" w:sz="0" w:space="0" w:color="auto"/>
                            <w:left w:val="none" w:sz="0" w:space="0" w:color="auto"/>
                            <w:bottom w:val="none" w:sz="0" w:space="0" w:color="auto"/>
                            <w:right w:val="none" w:sz="0" w:space="0" w:color="auto"/>
                          </w:divBdr>
                          <w:divsChild>
                            <w:div w:id="1139568314">
                              <w:marLeft w:val="0"/>
                              <w:marRight w:val="0"/>
                              <w:marTop w:val="0"/>
                              <w:marBottom w:val="0"/>
                              <w:divBdr>
                                <w:top w:val="none" w:sz="0" w:space="0" w:color="auto"/>
                                <w:left w:val="none" w:sz="0" w:space="0" w:color="auto"/>
                                <w:bottom w:val="none" w:sz="0" w:space="0" w:color="auto"/>
                                <w:right w:val="none" w:sz="0" w:space="0" w:color="auto"/>
                              </w:divBdr>
                              <w:divsChild>
                                <w:div w:id="2007980313">
                                  <w:marLeft w:val="0"/>
                                  <w:marRight w:val="0"/>
                                  <w:marTop w:val="0"/>
                                  <w:marBottom w:val="0"/>
                                  <w:divBdr>
                                    <w:top w:val="none" w:sz="0" w:space="0" w:color="auto"/>
                                    <w:left w:val="none" w:sz="0" w:space="0" w:color="auto"/>
                                    <w:bottom w:val="none" w:sz="0" w:space="0" w:color="auto"/>
                                    <w:right w:val="none" w:sz="0" w:space="0" w:color="auto"/>
                                  </w:divBdr>
                                  <w:divsChild>
                                    <w:div w:id="2016228752">
                                      <w:marLeft w:val="0"/>
                                      <w:marRight w:val="0"/>
                                      <w:marTop w:val="0"/>
                                      <w:marBottom w:val="0"/>
                                      <w:divBdr>
                                        <w:top w:val="none" w:sz="0" w:space="0" w:color="auto"/>
                                        <w:left w:val="none" w:sz="0" w:space="0" w:color="auto"/>
                                        <w:bottom w:val="none" w:sz="0" w:space="0" w:color="auto"/>
                                        <w:right w:val="none" w:sz="0" w:space="0" w:color="auto"/>
                                      </w:divBdr>
                                      <w:divsChild>
                                        <w:div w:id="1361853881">
                                          <w:marLeft w:val="0"/>
                                          <w:marRight w:val="0"/>
                                          <w:marTop w:val="0"/>
                                          <w:marBottom w:val="0"/>
                                          <w:divBdr>
                                            <w:top w:val="none" w:sz="0" w:space="0" w:color="auto"/>
                                            <w:left w:val="none" w:sz="0" w:space="0" w:color="auto"/>
                                            <w:bottom w:val="none" w:sz="0" w:space="0" w:color="auto"/>
                                            <w:right w:val="none" w:sz="0" w:space="0" w:color="auto"/>
                                          </w:divBdr>
                                          <w:divsChild>
                                            <w:div w:id="1764377363">
                                              <w:marLeft w:val="0"/>
                                              <w:marRight w:val="0"/>
                                              <w:marTop w:val="0"/>
                                              <w:marBottom w:val="0"/>
                                              <w:divBdr>
                                                <w:top w:val="none" w:sz="0" w:space="0" w:color="auto"/>
                                                <w:left w:val="none" w:sz="0" w:space="0" w:color="auto"/>
                                                <w:bottom w:val="none" w:sz="0" w:space="0" w:color="auto"/>
                                                <w:right w:val="none" w:sz="0" w:space="0" w:color="auto"/>
                                              </w:divBdr>
                                              <w:divsChild>
                                                <w:div w:id="168729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99911730">
      <w:bodyDiv w:val="1"/>
      <w:marLeft w:val="0"/>
      <w:marRight w:val="0"/>
      <w:marTop w:val="0"/>
      <w:marBottom w:val="0"/>
      <w:divBdr>
        <w:top w:val="none" w:sz="0" w:space="0" w:color="auto"/>
        <w:left w:val="none" w:sz="0" w:space="0" w:color="auto"/>
        <w:bottom w:val="none" w:sz="0" w:space="0" w:color="auto"/>
        <w:right w:val="none" w:sz="0" w:space="0" w:color="auto"/>
      </w:divBdr>
      <w:divsChild>
        <w:div w:id="838883062">
          <w:marLeft w:val="0"/>
          <w:marRight w:val="0"/>
          <w:marTop w:val="0"/>
          <w:marBottom w:val="0"/>
          <w:divBdr>
            <w:top w:val="none" w:sz="0" w:space="0" w:color="auto"/>
            <w:left w:val="none" w:sz="0" w:space="0" w:color="auto"/>
            <w:bottom w:val="none" w:sz="0" w:space="0" w:color="auto"/>
            <w:right w:val="none" w:sz="0" w:space="0" w:color="auto"/>
          </w:divBdr>
          <w:divsChild>
            <w:div w:id="809370812">
              <w:marLeft w:val="0"/>
              <w:marRight w:val="0"/>
              <w:marTop w:val="0"/>
              <w:marBottom w:val="0"/>
              <w:divBdr>
                <w:top w:val="none" w:sz="0" w:space="0" w:color="auto"/>
                <w:left w:val="none" w:sz="0" w:space="0" w:color="auto"/>
                <w:bottom w:val="none" w:sz="0" w:space="0" w:color="auto"/>
                <w:right w:val="none" w:sz="0" w:space="0" w:color="auto"/>
              </w:divBdr>
              <w:divsChild>
                <w:div w:id="197282332">
                  <w:marLeft w:val="0"/>
                  <w:marRight w:val="0"/>
                  <w:marTop w:val="0"/>
                  <w:marBottom w:val="0"/>
                  <w:divBdr>
                    <w:top w:val="none" w:sz="0" w:space="0" w:color="auto"/>
                    <w:left w:val="none" w:sz="0" w:space="0" w:color="auto"/>
                    <w:bottom w:val="none" w:sz="0" w:space="0" w:color="auto"/>
                    <w:right w:val="none" w:sz="0" w:space="0" w:color="auto"/>
                  </w:divBdr>
                  <w:divsChild>
                    <w:div w:id="1975408476">
                      <w:marLeft w:val="0"/>
                      <w:marRight w:val="0"/>
                      <w:marTop w:val="0"/>
                      <w:marBottom w:val="0"/>
                      <w:divBdr>
                        <w:top w:val="none" w:sz="0" w:space="0" w:color="auto"/>
                        <w:left w:val="none" w:sz="0" w:space="0" w:color="auto"/>
                        <w:bottom w:val="none" w:sz="0" w:space="0" w:color="auto"/>
                        <w:right w:val="none" w:sz="0" w:space="0" w:color="auto"/>
                      </w:divBdr>
                      <w:divsChild>
                        <w:div w:id="931006941">
                          <w:marLeft w:val="0"/>
                          <w:marRight w:val="0"/>
                          <w:marTop w:val="0"/>
                          <w:marBottom w:val="0"/>
                          <w:divBdr>
                            <w:top w:val="none" w:sz="0" w:space="0" w:color="auto"/>
                            <w:left w:val="none" w:sz="0" w:space="0" w:color="auto"/>
                            <w:bottom w:val="none" w:sz="0" w:space="0" w:color="auto"/>
                            <w:right w:val="none" w:sz="0" w:space="0" w:color="auto"/>
                          </w:divBdr>
                          <w:divsChild>
                            <w:div w:id="754473274">
                              <w:marLeft w:val="0"/>
                              <w:marRight w:val="0"/>
                              <w:marTop w:val="0"/>
                              <w:marBottom w:val="0"/>
                              <w:divBdr>
                                <w:top w:val="none" w:sz="0" w:space="0" w:color="auto"/>
                                <w:left w:val="none" w:sz="0" w:space="0" w:color="auto"/>
                                <w:bottom w:val="none" w:sz="0" w:space="0" w:color="auto"/>
                                <w:right w:val="none" w:sz="0" w:space="0" w:color="auto"/>
                              </w:divBdr>
                              <w:divsChild>
                                <w:div w:id="1948005577">
                                  <w:marLeft w:val="0"/>
                                  <w:marRight w:val="0"/>
                                  <w:marTop w:val="0"/>
                                  <w:marBottom w:val="0"/>
                                  <w:divBdr>
                                    <w:top w:val="none" w:sz="0" w:space="0" w:color="auto"/>
                                    <w:left w:val="none" w:sz="0" w:space="0" w:color="auto"/>
                                    <w:bottom w:val="none" w:sz="0" w:space="0" w:color="auto"/>
                                    <w:right w:val="none" w:sz="0" w:space="0" w:color="auto"/>
                                  </w:divBdr>
                                  <w:divsChild>
                                    <w:div w:id="220144479">
                                      <w:marLeft w:val="0"/>
                                      <w:marRight w:val="0"/>
                                      <w:marTop w:val="0"/>
                                      <w:marBottom w:val="0"/>
                                      <w:divBdr>
                                        <w:top w:val="none" w:sz="0" w:space="0" w:color="auto"/>
                                        <w:left w:val="none" w:sz="0" w:space="0" w:color="auto"/>
                                        <w:bottom w:val="none" w:sz="0" w:space="0" w:color="auto"/>
                                        <w:right w:val="none" w:sz="0" w:space="0" w:color="auto"/>
                                      </w:divBdr>
                                      <w:divsChild>
                                        <w:div w:id="608705982">
                                          <w:marLeft w:val="0"/>
                                          <w:marRight w:val="0"/>
                                          <w:marTop w:val="0"/>
                                          <w:marBottom w:val="0"/>
                                          <w:divBdr>
                                            <w:top w:val="none" w:sz="0" w:space="0" w:color="auto"/>
                                            <w:left w:val="none" w:sz="0" w:space="0" w:color="auto"/>
                                            <w:bottom w:val="none" w:sz="0" w:space="0" w:color="auto"/>
                                            <w:right w:val="none" w:sz="0" w:space="0" w:color="auto"/>
                                          </w:divBdr>
                                          <w:divsChild>
                                            <w:div w:id="2082829755">
                                              <w:marLeft w:val="0"/>
                                              <w:marRight w:val="0"/>
                                              <w:marTop w:val="0"/>
                                              <w:marBottom w:val="0"/>
                                              <w:divBdr>
                                                <w:top w:val="none" w:sz="0" w:space="0" w:color="auto"/>
                                                <w:left w:val="none" w:sz="0" w:space="0" w:color="auto"/>
                                                <w:bottom w:val="none" w:sz="0" w:space="0" w:color="auto"/>
                                                <w:right w:val="none" w:sz="0" w:space="0" w:color="auto"/>
                                              </w:divBdr>
                                              <w:divsChild>
                                                <w:div w:id="1939828397">
                                                  <w:marLeft w:val="0"/>
                                                  <w:marRight w:val="0"/>
                                                  <w:marTop w:val="0"/>
                                                  <w:marBottom w:val="0"/>
                                                  <w:divBdr>
                                                    <w:top w:val="none" w:sz="0" w:space="0" w:color="auto"/>
                                                    <w:left w:val="none" w:sz="0" w:space="0" w:color="auto"/>
                                                    <w:bottom w:val="none" w:sz="0" w:space="0" w:color="auto"/>
                                                    <w:right w:val="none" w:sz="0" w:space="0" w:color="auto"/>
                                                  </w:divBdr>
                                                  <w:divsChild>
                                                    <w:div w:id="155078177">
                                                      <w:marLeft w:val="0"/>
                                                      <w:marRight w:val="0"/>
                                                      <w:marTop w:val="0"/>
                                                      <w:marBottom w:val="0"/>
                                                      <w:divBdr>
                                                        <w:top w:val="none" w:sz="0" w:space="0" w:color="auto"/>
                                                        <w:left w:val="none" w:sz="0" w:space="0" w:color="auto"/>
                                                        <w:bottom w:val="none" w:sz="0" w:space="0" w:color="auto"/>
                                                        <w:right w:val="none" w:sz="0" w:space="0" w:color="auto"/>
                                                      </w:divBdr>
                                                      <w:divsChild>
                                                        <w:div w:id="91628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49842247">
          <w:marLeft w:val="0"/>
          <w:marRight w:val="0"/>
          <w:marTop w:val="0"/>
          <w:marBottom w:val="0"/>
          <w:divBdr>
            <w:top w:val="none" w:sz="0" w:space="0" w:color="auto"/>
            <w:left w:val="none" w:sz="0" w:space="0" w:color="auto"/>
            <w:bottom w:val="none" w:sz="0" w:space="0" w:color="auto"/>
            <w:right w:val="none" w:sz="0" w:space="0" w:color="auto"/>
          </w:divBdr>
          <w:divsChild>
            <w:div w:id="923294870">
              <w:marLeft w:val="0"/>
              <w:marRight w:val="0"/>
              <w:marTop w:val="0"/>
              <w:marBottom w:val="0"/>
              <w:divBdr>
                <w:top w:val="none" w:sz="0" w:space="0" w:color="auto"/>
                <w:left w:val="none" w:sz="0" w:space="0" w:color="auto"/>
                <w:bottom w:val="none" w:sz="0" w:space="0" w:color="auto"/>
                <w:right w:val="none" w:sz="0" w:space="0" w:color="auto"/>
              </w:divBdr>
              <w:divsChild>
                <w:div w:id="463348923">
                  <w:marLeft w:val="0"/>
                  <w:marRight w:val="0"/>
                  <w:marTop w:val="0"/>
                  <w:marBottom w:val="0"/>
                  <w:divBdr>
                    <w:top w:val="none" w:sz="0" w:space="0" w:color="auto"/>
                    <w:left w:val="none" w:sz="0" w:space="0" w:color="auto"/>
                    <w:bottom w:val="none" w:sz="0" w:space="0" w:color="auto"/>
                    <w:right w:val="none" w:sz="0" w:space="0" w:color="auto"/>
                  </w:divBdr>
                  <w:divsChild>
                    <w:div w:id="1191718629">
                      <w:marLeft w:val="0"/>
                      <w:marRight w:val="0"/>
                      <w:marTop w:val="0"/>
                      <w:marBottom w:val="0"/>
                      <w:divBdr>
                        <w:top w:val="none" w:sz="0" w:space="0" w:color="auto"/>
                        <w:left w:val="none" w:sz="0" w:space="0" w:color="auto"/>
                        <w:bottom w:val="none" w:sz="0" w:space="0" w:color="auto"/>
                        <w:right w:val="none" w:sz="0" w:space="0" w:color="auto"/>
                      </w:divBdr>
                      <w:divsChild>
                        <w:div w:id="774905850">
                          <w:marLeft w:val="0"/>
                          <w:marRight w:val="0"/>
                          <w:marTop w:val="0"/>
                          <w:marBottom w:val="0"/>
                          <w:divBdr>
                            <w:top w:val="none" w:sz="0" w:space="0" w:color="auto"/>
                            <w:left w:val="none" w:sz="0" w:space="0" w:color="auto"/>
                            <w:bottom w:val="none" w:sz="0" w:space="0" w:color="auto"/>
                            <w:right w:val="none" w:sz="0" w:space="0" w:color="auto"/>
                          </w:divBdr>
                          <w:divsChild>
                            <w:div w:id="1745371078">
                              <w:marLeft w:val="0"/>
                              <w:marRight w:val="0"/>
                              <w:marTop w:val="0"/>
                              <w:marBottom w:val="0"/>
                              <w:divBdr>
                                <w:top w:val="none" w:sz="0" w:space="0" w:color="auto"/>
                                <w:left w:val="none" w:sz="0" w:space="0" w:color="auto"/>
                                <w:bottom w:val="none" w:sz="0" w:space="0" w:color="auto"/>
                                <w:right w:val="none" w:sz="0" w:space="0" w:color="auto"/>
                              </w:divBdr>
                              <w:divsChild>
                                <w:div w:id="2017145215">
                                  <w:marLeft w:val="0"/>
                                  <w:marRight w:val="0"/>
                                  <w:marTop w:val="0"/>
                                  <w:marBottom w:val="0"/>
                                  <w:divBdr>
                                    <w:top w:val="none" w:sz="0" w:space="0" w:color="auto"/>
                                    <w:left w:val="none" w:sz="0" w:space="0" w:color="auto"/>
                                    <w:bottom w:val="none" w:sz="0" w:space="0" w:color="auto"/>
                                    <w:right w:val="none" w:sz="0" w:space="0" w:color="auto"/>
                                  </w:divBdr>
                                  <w:divsChild>
                                    <w:div w:id="1844196365">
                                      <w:marLeft w:val="0"/>
                                      <w:marRight w:val="0"/>
                                      <w:marTop w:val="0"/>
                                      <w:marBottom w:val="0"/>
                                      <w:divBdr>
                                        <w:top w:val="none" w:sz="0" w:space="0" w:color="auto"/>
                                        <w:left w:val="none" w:sz="0" w:space="0" w:color="auto"/>
                                        <w:bottom w:val="none" w:sz="0" w:space="0" w:color="auto"/>
                                        <w:right w:val="none" w:sz="0" w:space="0" w:color="auto"/>
                                      </w:divBdr>
                                      <w:divsChild>
                                        <w:div w:id="58790853">
                                          <w:marLeft w:val="0"/>
                                          <w:marRight w:val="0"/>
                                          <w:marTop w:val="0"/>
                                          <w:marBottom w:val="0"/>
                                          <w:divBdr>
                                            <w:top w:val="none" w:sz="0" w:space="0" w:color="auto"/>
                                            <w:left w:val="none" w:sz="0" w:space="0" w:color="auto"/>
                                            <w:bottom w:val="none" w:sz="0" w:space="0" w:color="auto"/>
                                            <w:right w:val="none" w:sz="0" w:space="0" w:color="auto"/>
                                          </w:divBdr>
                                          <w:divsChild>
                                            <w:div w:id="788596883">
                                              <w:marLeft w:val="0"/>
                                              <w:marRight w:val="0"/>
                                              <w:marTop w:val="0"/>
                                              <w:marBottom w:val="0"/>
                                              <w:divBdr>
                                                <w:top w:val="none" w:sz="0" w:space="0" w:color="auto"/>
                                                <w:left w:val="none" w:sz="0" w:space="0" w:color="auto"/>
                                                <w:bottom w:val="none" w:sz="0" w:space="0" w:color="auto"/>
                                                <w:right w:val="none" w:sz="0" w:space="0" w:color="auto"/>
                                              </w:divBdr>
                                              <w:divsChild>
                                                <w:div w:id="130797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537</Words>
  <Characters>3062</Characters>
  <Application>Microsoft Office Word</Application>
  <DocSecurity>0</DocSecurity>
  <Lines>25</Lines>
  <Paragraphs>7</Paragraphs>
  <ScaleCrop>false</ScaleCrop>
  <Company/>
  <LinksUpToDate>false</LinksUpToDate>
  <CharactersWithSpaces>3592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Munsi Riyaj</dc:creator>
  <cp:keywords/>
  <dc:description/>
  <cp:lastModifiedBy>Munsi Riyaj</cp:lastModifiedBy>
  <cp:revision>1</cp:revision>
  <dcterms:created xsi:type="dcterms:W3CDTF">2024-12-10T12:58:00Z</dcterms:created>
  <dcterms:modified xsi:type="dcterms:W3CDTF">2024-12-10T13:00:00Z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322a42ee-f6cc-4481-b50a-17a5b3127d9d</vt:lpwstr>
  </property>
</Properties>
</file>