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sz w:val="28"/>
          <w:szCs w:val="28"/>
        </w:rPr>
      </w:pPr>
      <w:bookmarkStart w:colFirst="0" w:colLast="0" w:name="_6x0u4ial4lpn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Original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Sentiment Analysis for Financial News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Dataset contains two columns, Sentiment and News Headline</w:t>
      </w:r>
    </w:p>
    <w:p w:rsidR="00000000" w:rsidDel="00000000" w:rsidP="00000000" w:rsidRDefault="00000000" w:rsidRPr="00000000" w14:paraId="00000004">
      <w:pPr>
        <w:pStyle w:val="Title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ppu9c7b6ab17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Original Dataset URL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highlight w:val="white"/>
            <w:u w:val="single"/>
            <w:rtl w:val="0"/>
          </w:rPr>
          <w:t xml:space="preserve">https://www.kaggle.com/ankurzing/sentiment-analysis-for-financial-news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nkurzing/sentiment-analysis-for-financial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