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A2540"/>
          <w:sz w:val="36"/>
        </w:rPr>
        <w:t>Vision Error Observatory (VEO): A Model-Agnostic Diagnostic and Observability Framework for Failure Analysis in Monocular Depth Estimation</w:t>
      </w:r>
    </w:p>
    <w:p>
      <w:pPr>
        <w:spacing w:after="40"/>
        <w:jc w:val="center"/>
      </w:pPr>
      <w:r>
        <w:rPr>
          <w:rFonts w:ascii="Times New Roman" w:hAnsi="Times New Roman"/>
          <w:b/>
          <w:sz w:val="22"/>
        </w:rPr>
        <w:t>Anshuman Chakravorty, Zeeshan Ali, and Omer Faraz</w:t>
      </w:r>
    </w:p>
    <w:p>
      <w:pPr>
        <w:spacing w:after="40"/>
        <w:jc w:val="center"/>
      </w:pPr>
      <w:r>
        <w:rPr>
          <w:rFonts w:ascii="Times New Roman" w:hAnsi="Times New Roman"/>
          <w:i/>
          <w:sz w:val="19"/>
        </w:rPr>
        <w:t>Faculty Mentors: Prof. Anshi Bajaj (Asst. Prof., Artificial Intelligence) and Dr. Amit Saini (Asst. Prof., Mathematics)</w:t>
      </w:r>
    </w:p>
    <w:p>
      <w:pPr>
        <w:spacing w:after="240"/>
        <w:jc w:val="center"/>
      </w:pPr>
      <w:r>
        <w:rPr>
          <w:rFonts w:ascii="Times New Roman" w:hAnsi="Times New Roman"/>
          <w:color w:val="4B5563"/>
          <w:sz w:val="18"/>
        </w:rPr>
        <w:t>School of Technology Management and Engineering (STME), SVKM’s NMIMS University, Hyderabad, India</w:t>
        <w:br/>
        <w:t>Corresponding Author Email: anshumanchakravorty10@gmail.com</w:t>
      </w:r>
    </w:p>
    <w:p>
      <w:pPr>
        <w:spacing w:before="80" w:after="80" w:line="252" w:lineRule="auto"/>
        <w:ind w:left="504" w:right="504"/>
        <w:jc w:val="both"/>
      </w:pPr>
      <w:r>
        <w:rPr>
          <w:rFonts w:ascii="Times New Roman" w:hAnsi="Times New Roman"/>
          <w:b/>
          <w:sz w:val="18"/>
        </w:rPr>
        <w:t xml:space="preserve">Abstract— </w:t>
      </w:r>
      <w:r>
        <w:rPr>
          <w:rFonts w:ascii="Times New Roman" w:hAnsi="Times New Roman"/>
          <w:sz w:val="18"/>
        </w:rPr>
        <w:t>Monocular depth estimation (MDE) models have achieved remarkable benchmark scores, yet standard evaluation protocols rely almost exclusively on global scalar summaries (e.g., RMSE, MAE, AbsRel, and threshold accuracy δ1) that collapse complex 3D spatial scenes into monolithic dataset-wide averages. These aggregate metrics obscure severe, spatially localized failure clusters and fail to explain the underlying visual or geometric causes of prediction errors. We introduce the Vision Error Observatory (VEO), a model-agnostic post-hoc diagnostic framework that evaluates depth estimation systems beyond aggregate averages to rigorously determine where, how, and why depth predictions fail. VEO connects to any pretrained depth model through standardized prediction arrays, performs mathematically grounded scale-shift alignment, constructs dense pixel-wise error maps, isolates spatially coherent failure regions via connected-components analysis, and extracts seven interpretable visual and geometric evidence signals: texture variance, Canny edge density, luminance brightness, local contrast, specular highlight ratio, bounding-box aspect ratio, and boundary depth step discontinuities. An evidence scoring engine maps each region to candidate failure hypotheses with calibrated ambiguity gates. Evaluated across 244 held-out scene-disjoint NYU Depth V2 test images (partitioned with zero scene leakage from 1,449 labeled samples), VEO isolates and profiles 5,236 distinct failure regions for Depth Anything V2 Small (AbsRel = 0.1040, RMSE = 0.4664 m, δ1 = 0.8965). Comparative benchmarking against DPT-Hybrid-MiDaS (AbsRel = 0.1316, δ1 = 0.8253) reveals distinct failure signatures: Depth Anything V2 fails predominantly on textureless surfaces (19.5%) and object boundaries (18.0%), whereas DPT-MiDaS suffers disproportionately from specular floor reflections (17.4%). An alignment-space ablation over 244 test scenes mathematically proves that fitting relative inverse-depth models directly in depth space causes polarity reversal with negative scale slopes (s &lt; 0) in 244/244 test images, validating the necessity of inverse-depth alignment. Blinded multi-rater human validation across test failure regions yields moderate agreement on determinate predictions (Cohen’s κ = 0.4719, 58.6% multi-class accuracy) with 87.5% precision on textureless surfaces and 71.4% on boundary mixing and thin objects. Furthermore, a controlled image intervention experiment verifies that synthetic texture injection collapses textureless error scores from 0.6464 to 0.0000, confirming explanation faithfulness. Finally, VEO-guided selective bilateral refinement demonstrates measurable error reduction inside boundary failure masks without global distortion, establishing VEO as an actionable diagnostic and debugging platform for safety-critical vision systems.</w:t>
      </w:r>
    </w:p>
    <w:p>
      <w:pPr>
        <w:spacing w:after="280"/>
        <w:ind w:left="504" w:right="504"/>
        <w:jc w:val="both"/>
      </w:pPr>
      <w:r>
        <w:rPr>
          <w:rFonts w:ascii="Times New Roman" w:hAnsi="Times New Roman"/>
          <w:b/>
          <w:sz w:val="18"/>
        </w:rPr>
        <w:t xml:space="preserve">Index Terms— </w:t>
      </w:r>
      <w:r>
        <w:rPr>
          <w:rFonts w:ascii="Times New Roman" w:hAnsi="Times New Roman"/>
          <w:i/>
          <w:sz w:val="18"/>
        </w:rPr>
        <w:t>Monocular depth estimation, error diagnosis, failure attribution, explainable computer vision, model debugging, Depth Anything V2, NYU Depth V2, alignment ablation, human validation.</w:t>
      </w:r>
    </w:p>
    <w:p>
      <w:pPr>
        <w:keepNext/>
        <w:spacing w:before="280" w:after="80"/>
        <w:jc w:val="center"/>
      </w:pPr>
      <w:r>
        <w:rPr>
          <w:rFonts w:ascii="Times New Roman" w:hAnsi="Times New Roman"/>
          <w:b/>
          <w:color w:val="0A2540"/>
          <w:sz w:val="21"/>
        </w:rPr>
        <w:t>I. INTRODUCTION</w:t>
      </w:r>
    </w:p>
    <w:p>
      <w:pPr>
        <w:spacing w:before="0" w:after="70" w:line="259" w:lineRule="auto"/>
        <w:jc w:val="both"/>
      </w:pPr>
      <w:r>
        <w:rPr>
          <w:rFonts w:ascii="Times New Roman" w:hAnsi="Times New Roman"/>
          <w:b w:val="0"/>
          <w:i w:val="0"/>
          <w:sz w:val="20"/>
        </w:rPr>
        <w:t xml:space="preserve">Monocular depth estimation (MDE)—the task of inferring dense per-pixel metric 3D scene geometry from a single 2D RGB image—serves as a cornerstone of modern spatial perception, autonomous vehicle navigation, unmanned aerial robotics, augmented reality, and mobile manipulation </w:t>
      </w:r>
      <w:r>
        <w:rPr>
          <w:rFonts w:ascii="Times New Roman" w:hAnsi="Times New Roman"/>
          <w:sz w:val="20"/>
        </w:rPr>
        <w:t>[</w:t>
      </w:r>
      <w:hyperlink w:anchor="ref_1" w:history="1">
        <w:r>
          <w:rPr>
            <w:color w:val="003399"/>
            <w:rFonts w:ascii="Times New Roman" w:hAnsi="Times New Roman"/>
            <w:b/>
          </w:rPr>
          <w:t>1</w:t>
        </w:r>
      </w:hyperlink>
      <w:r>
        <w:rPr>
          <w:rFonts w:ascii="Times New Roman" w:hAnsi="Times New Roman"/>
          <w:sz w:val="20"/>
        </w:rPr>
        <w:t xml:space="preserve">, </w:t>
      </w:r>
      <w:hyperlink w:anchor="ref_2" w:history="1">
        <w:r>
          <w:rPr>
            <w:color w:val="003399"/>
            <w:rFonts w:ascii="Times New Roman" w:hAnsi="Times New Roman"/>
            <w:b/>
          </w:rPr>
          <w:t>2</w:t>
        </w:r>
      </w:hyperlink>
      <w:r>
        <w:rPr>
          <w:rFonts w:ascii="Times New Roman" w:hAnsi="Times New Roman"/>
          <w:sz w:val="20"/>
        </w:rPr>
        <w:t>]</w:t>
      </w:r>
      <w:r>
        <w:rPr>
          <w:rFonts w:ascii="Times New Roman" w:hAnsi="Times New Roman"/>
          <w:b w:val="0"/>
          <w:i w:val="0"/>
          <w:sz w:val="20"/>
        </w:rPr>
        <w:t xml:space="preserve">. Because mapping a 2D projection back into 3D metric coordinates is an ill-posed inverse problem characterized by infinite valid geometric solutions, modern deep neural networks must rely heavily on contextual semantic cues and learned visual priors. Over the past decade, the MDE landscape has evolved dramatically from early multi-scale convolutional neural networks </w:t>
      </w:r>
      <w:r>
        <w:rPr>
          <w:rFonts w:ascii="Times New Roman" w:hAnsi="Times New Roman"/>
          <w:sz w:val="20"/>
        </w:rPr>
        <w:t>[</w:t>
      </w:r>
      <w:hyperlink w:anchor="ref_3" w:history="1">
        <w:r>
          <w:rPr>
            <w:color w:val="003399"/>
            <w:rFonts w:ascii="Times New Roman" w:hAnsi="Times New Roman"/>
            <w:b/>
          </w:rPr>
          <w:t>3</w:t>
        </w:r>
      </w:hyperlink>
      <w:r>
        <w:rPr>
          <w:rFonts w:ascii="Times New Roman" w:hAnsi="Times New Roman"/>
          <w:sz w:val="20"/>
        </w:rPr>
        <w:t>]</w:t>
      </w:r>
      <w:r>
        <w:rPr>
          <w:rFonts w:ascii="Times New Roman" w:hAnsi="Times New Roman"/>
          <w:b w:val="0"/>
          <w:i w:val="0"/>
          <w:sz w:val="20"/>
        </w:rPr>
        <w:t xml:space="preserve"> to adaptive-bin transformers </w:t>
      </w:r>
      <w:r>
        <w:rPr>
          <w:rFonts w:ascii="Times New Roman" w:hAnsi="Times New Roman"/>
          <w:sz w:val="20"/>
        </w:rPr>
        <w:t>[</w:t>
      </w:r>
      <w:hyperlink w:anchor="ref_4" w:history="1">
        <w:r>
          <w:rPr>
            <w:color w:val="003399"/>
            <w:rFonts w:ascii="Times New Roman" w:hAnsi="Times New Roman"/>
            <w:b/>
          </w:rPr>
          <w:t>4</w:t>
        </w:r>
      </w:hyperlink>
      <w:r>
        <w:rPr>
          <w:rFonts w:ascii="Times New Roman" w:hAnsi="Times New Roman"/>
          <w:sz w:val="20"/>
        </w:rPr>
        <w:t xml:space="preserve">, </w:t>
      </w:r>
      <w:hyperlink w:anchor="ref_5" w:history="1">
        <w:r>
          <w:rPr>
            <w:color w:val="003399"/>
            <w:rFonts w:ascii="Times New Roman" w:hAnsi="Times New Roman"/>
            <w:b/>
          </w:rPr>
          <w:t>5</w:t>
        </w:r>
      </w:hyperlink>
      <w:r>
        <w:rPr>
          <w:rFonts w:ascii="Times New Roman" w:hAnsi="Times New Roman"/>
          <w:sz w:val="20"/>
        </w:rPr>
        <w:t>]</w:t>
      </w:r>
      <w:r>
        <w:rPr>
          <w:rFonts w:ascii="Times New Roman" w:hAnsi="Times New Roman"/>
          <w:b w:val="0"/>
          <w:i w:val="0"/>
          <w:sz w:val="20"/>
        </w:rPr>
        <w:t xml:space="preserve">, generative diffusion backbones </w:t>
      </w:r>
      <w:r>
        <w:rPr>
          <w:rFonts w:ascii="Times New Roman" w:hAnsi="Times New Roman"/>
          <w:sz w:val="20"/>
        </w:rPr>
        <w:t>[</w:t>
      </w:r>
      <w:hyperlink w:anchor="ref_6" w:history="1">
        <w:r>
          <w:rPr>
            <w:color w:val="003399"/>
            <w:rFonts w:ascii="Times New Roman" w:hAnsi="Times New Roman"/>
            <w:b/>
          </w:rPr>
          <w:t>6</w:t>
        </w:r>
      </w:hyperlink>
      <w:r>
        <w:rPr>
          <w:rFonts w:ascii="Times New Roman" w:hAnsi="Times New Roman"/>
          <w:sz w:val="20"/>
        </w:rPr>
        <w:t>]</w:t>
      </w:r>
      <w:r>
        <w:rPr>
          <w:rFonts w:ascii="Times New Roman" w:hAnsi="Times New Roman"/>
          <w:b w:val="0"/>
          <w:i w:val="0"/>
          <w:sz w:val="20"/>
        </w:rPr>
        <w:t xml:space="preserve">, and massive foundation models such as ZoeDepth </w:t>
      </w:r>
      <w:r>
        <w:rPr>
          <w:rFonts w:ascii="Times New Roman" w:hAnsi="Times New Roman"/>
          <w:sz w:val="20"/>
        </w:rPr>
        <w:t>[</w:t>
      </w:r>
      <w:hyperlink w:anchor="ref_7" w:history="1">
        <w:r>
          <w:rPr>
            <w:color w:val="003399"/>
            <w:rFonts w:ascii="Times New Roman" w:hAnsi="Times New Roman"/>
            <w:b/>
          </w:rPr>
          <w:t>7</w:t>
        </w:r>
      </w:hyperlink>
      <w:r>
        <w:rPr>
          <w:rFonts w:ascii="Times New Roman" w:hAnsi="Times New Roman"/>
          <w:sz w:val="20"/>
        </w:rPr>
        <w:t>]</w:t>
      </w:r>
      <w:r>
        <w:rPr>
          <w:rFonts w:ascii="Times New Roman" w:hAnsi="Times New Roman"/>
          <w:b w:val="0"/>
          <w:i w:val="0"/>
          <w:sz w:val="20"/>
        </w:rPr>
        <w:t xml:space="preserve">, Metric3D </w:t>
      </w:r>
      <w:r>
        <w:rPr>
          <w:rFonts w:ascii="Times New Roman" w:hAnsi="Times New Roman"/>
          <w:sz w:val="20"/>
        </w:rPr>
        <w:t>[</w:t>
      </w:r>
      <w:hyperlink w:anchor="ref_8" w:history="1">
        <w:r>
          <w:rPr>
            <w:color w:val="003399"/>
            <w:rFonts w:ascii="Times New Roman" w:hAnsi="Times New Roman"/>
            <w:b/>
          </w:rPr>
          <w:t>8</w:t>
        </w:r>
      </w:hyperlink>
      <w:r>
        <w:rPr>
          <w:rFonts w:ascii="Times New Roman" w:hAnsi="Times New Roman"/>
          <w:sz w:val="20"/>
        </w:rPr>
        <w:t>]</w:t>
      </w:r>
      <w:r>
        <w:rPr>
          <w:rFonts w:ascii="Times New Roman" w:hAnsi="Times New Roman"/>
          <w:b w:val="0"/>
          <w:i w:val="0"/>
          <w:sz w:val="20"/>
        </w:rPr>
        <w:t xml:space="preserve">, UniDepth </w:t>
      </w:r>
      <w:r>
        <w:rPr>
          <w:rFonts w:ascii="Times New Roman" w:hAnsi="Times New Roman"/>
          <w:sz w:val="20"/>
        </w:rPr>
        <w:t>[</w:t>
      </w:r>
      <w:hyperlink w:anchor="ref_9" w:history="1">
        <w:r>
          <w:rPr>
            <w:color w:val="003399"/>
            <w:rFonts w:ascii="Times New Roman" w:hAnsi="Times New Roman"/>
            <w:b/>
          </w:rPr>
          <w:t>9</w:t>
        </w:r>
      </w:hyperlink>
      <w:r>
        <w:rPr>
          <w:rFonts w:ascii="Times New Roman" w:hAnsi="Times New Roman"/>
          <w:sz w:val="20"/>
        </w:rPr>
        <w:t>]</w:t>
      </w:r>
      <w:r>
        <w:rPr>
          <w:rFonts w:ascii="Times New Roman" w:hAnsi="Times New Roman"/>
          <w:b w:val="0"/>
          <w:i w:val="0"/>
          <w:sz w:val="20"/>
        </w:rPr>
        <w:t xml:space="preserve">, and Depth Anything V2 </w:t>
      </w:r>
      <w:r>
        <w:rPr>
          <w:rFonts w:ascii="Times New Roman" w:hAnsi="Times New Roman"/>
          <w:sz w:val="20"/>
        </w:rPr>
        <w:t>[</w:t>
      </w:r>
      <w:hyperlink w:anchor="ref_10" w:history="1">
        <w:r>
          <w:rPr>
            <w:color w:val="003399"/>
            <w:rFonts w:ascii="Times New Roman" w:hAnsi="Times New Roman"/>
            <w:b/>
          </w:rPr>
          <w:t>10</w:t>
        </w:r>
      </w:hyperlink>
      <w:r>
        <w:rPr>
          <w:rFonts w:ascii="Times New Roman" w:hAnsi="Times New Roman"/>
          <w:sz w:val="20"/>
        </w:rPr>
        <w:t xml:space="preserve">, </w:t>
      </w:r>
      <w:hyperlink w:anchor="ref_11" w:history="1">
        <w:r>
          <w:rPr>
            <w:color w:val="003399"/>
            <w:rFonts w:ascii="Times New Roman" w:hAnsi="Times New Roman"/>
            <w:b/>
          </w:rPr>
          <w:t>11</w:t>
        </w:r>
      </w:hyperlink>
      <w:r>
        <w:rPr>
          <w:rFonts w:ascii="Times New Roman" w:hAnsi="Times New Roman"/>
          <w:sz w:val="20"/>
        </w:rPr>
        <w:t>]</w:t>
      </w:r>
      <w:r>
        <w:rPr>
          <w:rFonts w:ascii="Times New Roman" w:hAnsi="Times New Roman"/>
          <w:b w:val="0"/>
          <w:i w:val="0"/>
          <w:sz w:val="20"/>
        </w:rPr>
        <w:t>.</w:t>
      </w:r>
    </w:p>
    <w:p>
      <w:pPr>
        <w:spacing w:before="0" w:after="70" w:line="259" w:lineRule="auto"/>
        <w:ind w:firstLine="288"/>
        <w:jc w:val="both"/>
      </w:pPr>
      <w:r>
        <w:rPr>
          <w:rFonts w:ascii="Times New Roman" w:hAnsi="Times New Roman"/>
          <w:b w:val="0"/>
          <w:i w:val="0"/>
          <w:sz w:val="20"/>
        </w:rPr>
        <w:t xml:space="preserve">Despite achieving unprecedented zero-shot benchmark scores, an acute and widely recognized reliability gap persists between benchmark leaderboards and operational deployment safety </w:t>
      </w:r>
      <w:r>
        <w:rPr>
          <w:rFonts w:ascii="Times New Roman" w:hAnsi="Times New Roman"/>
          <w:sz w:val="20"/>
        </w:rPr>
        <w:t>[</w:t>
      </w:r>
      <w:hyperlink w:anchor="ref_2" w:history="1">
        <w:r>
          <w:rPr>
            <w:color w:val="003399"/>
            <w:rFonts w:ascii="Times New Roman" w:hAnsi="Times New Roman"/>
            <w:b/>
          </w:rPr>
          <w:t>2</w:t>
        </w:r>
      </w:hyperlink>
      <w:r>
        <w:rPr>
          <w:rFonts w:ascii="Times New Roman" w:hAnsi="Times New Roman"/>
          <w:sz w:val="20"/>
        </w:rPr>
        <w:t xml:space="preserve">, </w:t>
      </w:r>
      <w:hyperlink w:anchor="ref_12" w:history="1">
        <w:r>
          <w:rPr>
            <w:color w:val="003399"/>
            <w:rFonts w:ascii="Times New Roman" w:hAnsi="Times New Roman"/>
            <w:b/>
          </w:rPr>
          <w:t>12</w:t>
        </w:r>
      </w:hyperlink>
      <w:r>
        <w:rPr>
          <w:rFonts w:ascii="Times New Roman" w:hAnsi="Times New Roman"/>
          <w:sz w:val="20"/>
        </w:rPr>
        <w:t xml:space="preserve">, </w:t>
      </w:r>
      <w:hyperlink w:anchor="ref_13" w:history="1">
        <w:r>
          <w:rPr>
            <w:color w:val="003399"/>
            <w:rFonts w:ascii="Times New Roman" w:hAnsi="Times New Roman"/>
            <w:b/>
          </w:rPr>
          <w:t>13</w:t>
        </w:r>
      </w:hyperlink>
      <w:r>
        <w:rPr>
          <w:rFonts w:ascii="Times New Roman" w:hAnsi="Times New Roman"/>
          <w:sz w:val="20"/>
        </w:rPr>
        <w:t>]</w:t>
      </w:r>
      <w:r>
        <w:rPr>
          <w:rFonts w:ascii="Times New Roman" w:hAnsi="Times New Roman"/>
          <w:b w:val="0"/>
          <w:i w:val="0"/>
          <w:sz w:val="20"/>
        </w:rPr>
        <w:t xml:space="preserve">. Contemporary MDE systems remain highly vulnerable to out-of-distribution domain shifts, non-Lambertian specular reflections, extreme shadows, featureless textureless planes, and razor-thin structures </w:t>
      </w:r>
      <w:r>
        <w:rPr>
          <w:rFonts w:ascii="Times New Roman" w:hAnsi="Times New Roman"/>
          <w:sz w:val="20"/>
        </w:rPr>
        <w:t>[</w:t>
      </w:r>
      <w:hyperlink w:anchor="ref_14" w:history="1">
        <w:r>
          <w:rPr>
            <w:color w:val="003399"/>
            <w:rFonts w:ascii="Times New Roman" w:hAnsi="Times New Roman"/>
            <w:b/>
          </w:rPr>
          <w:t>14</w:t>
        </w:r>
      </w:hyperlink>
      <w:r>
        <w:rPr>
          <w:rFonts w:ascii="Times New Roman" w:hAnsi="Times New Roman"/>
          <w:sz w:val="20"/>
        </w:rPr>
        <w:t>–</w:t>
      </w:r>
      <w:hyperlink w:anchor="ref_16" w:history="1">
        <w:r>
          <w:rPr>
            <w:color w:val="003399"/>
            <w:rFonts w:ascii="Times New Roman" w:hAnsi="Times New Roman"/>
            <w:b/>
          </w:rPr>
          <w:t>16</w:t>
        </w:r>
      </w:hyperlink>
      <w:r>
        <w:rPr>
          <w:rFonts w:ascii="Times New Roman" w:hAnsi="Times New Roman"/>
          <w:sz w:val="20"/>
        </w:rPr>
        <w:t>]</w:t>
      </w:r>
      <w:r>
        <w:rPr>
          <w:rFonts w:ascii="Times New Roman" w:hAnsi="Times New Roman"/>
          <w:b w:val="0"/>
          <w:i w:val="0"/>
          <w:sz w:val="20"/>
        </w:rPr>
        <w:t xml:space="preserve">. Standard evaluation protocols, however, collapse the performance of thousands of complex pixels into scalar dataset-wide summaries—predominantly Root Mean Squared Error (RMSE), Absolute Relative Error (AbsRel), and threshold accuracy metrics (δ1, δ2, δ3) </w:t>
      </w:r>
      <w:r>
        <w:rPr>
          <w:rFonts w:ascii="Times New Roman" w:hAnsi="Times New Roman"/>
          <w:sz w:val="20"/>
        </w:rPr>
        <w:t>[</w:t>
      </w:r>
      <w:hyperlink w:anchor="ref_3" w:history="1">
        <w:r>
          <w:rPr>
            <w:color w:val="003399"/>
            <w:rFonts w:ascii="Times New Roman" w:hAnsi="Times New Roman"/>
            <w:b/>
          </w:rPr>
          <w:t>3</w:t>
        </w:r>
      </w:hyperlink>
      <w:r>
        <w:rPr>
          <w:rFonts w:ascii="Times New Roman" w:hAnsi="Times New Roman"/>
          <w:sz w:val="20"/>
        </w:rPr>
        <w:t xml:space="preserve">, </w:t>
      </w:r>
      <w:hyperlink w:anchor="ref_17" w:history="1">
        <w:r>
          <w:rPr>
            <w:color w:val="003399"/>
            <w:rFonts w:ascii="Times New Roman" w:hAnsi="Times New Roman"/>
            <w:b/>
          </w:rPr>
          <w:t>17</w:t>
        </w:r>
      </w:hyperlink>
      <w:r>
        <w:rPr>
          <w:rFonts w:ascii="Times New Roman" w:hAnsi="Times New Roman"/>
          <w:sz w:val="20"/>
        </w:rPr>
        <w:t>–</w:t>
      </w:r>
      <w:hyperlink w:anchor="ref_19" w:history="1">
        <w:r>
          <w:rPr>
            <w:color w:val="003399"/>
            <w:rFonts w:ascii="Times New Roman" w:hAnsi="Times New Roman"/>
            <w:b/>
          </w:rPr>
          <w:t>19</w:t>
        </w:r>
      </w:hyperlink>
      <w:r>
        <w:rPr>
          <w:rFonts w:ascii="Times New Roman" w:hAnsi="Times New Roman"/>
          <w:sz w:val="20"/>
        </w:rPr>
        <w:t>]</w:t>
      </w:r>
      <w:r>
        <w:rPr>
          <w:rFonts w:ascii="Times New Roman" w:hAnsi="Times New Roman"/>
          <w:b w:val="0"/>
          <w:i w:val="0"/>
          <w:sz w:val="20"/>
        </w:rPr>
        <w:t>. These global averages conceal severe, localized failure clusters that pose catastrophic risks in safety-critical scenarios (such as misjudging the proximity of a reflective glass door or missing a slender chair leg in assistive robotics) while offering zero actionable insight into the physical or visual mechanisms that triggered the error.</w:t>
      </w:r>
    </w:p>
    <w:p>
      <w:pPr>
        <w:spacing w:before="0" w:after="70" w:line="259" w:lineRule="auto"/>
        <w:ind w:firstLine="288"/>
        <w:jc w:val="both"/>
      </w:pPr>
      <w:r>
        <w:rPr>
          <w:rFonts w:ascii="Times New Roman" w:hAnsi="Times New Roman"/>
          <w:b w:val="0"/>
          <w:i w:val="0"/>
          <w:sz w:val="20"/>
        </w:rPr>
        <w:t>To bridge this critical observability gap, we present the Vision Error Observatory (VEO), a rigorous, model-agnostic, ground-truth-assisted diagnostic framework designed to transform depth evaluation from passive scalar scoring into an evidence-based root-cause audit. VEO operates entirely downstream of model inference, decoupling depth estimation from error diagnosis. By standardizing prediction arrays, evaluating dense metric errors, localizing spatial high-error components, and extracting multi-signal visual evidence vectors, VEO provides actionable diagnostic hypothesis profiles for deep MDE systems.</w:t>
      </w:r>
    </w:p>
    <w:p>
      <w:pPr>
        <w:spacing w:before="0" w:after="70" w:line="259" w:lineRule="auto"/>
        <w:ind w:firstLine="288"/>
        <w:jc w:val="both"/>
      </w:pPr>
      <w:r>
        <w:rPr>
          <w:rFonts w:ascii="Times New Roman" w:hAnsi="Times New Roman"/>
          <w:b w:val="0"/>
          <w:i w:val="0"/>
          <w:sz w:val="20"/>
        </w:rPr>
        <w:t>Specifically, this study answers five core research questions governed by a frozen scientific protocol:</w:t>
      </w:r>
    </w:p>
    <w:p>
      <w:pPr>
        <w:spacing w:before="0" w:after="50" w:line="252" w:lineRule="auto"/>
        <w:ind w:left="360" w:hanging="216"/>
        <w:jc w:val="both"/>
      </w:pPr>
      <w:r>
        <w:rPr>
          <w:rFonts w:ascii="Times New Roman" w:hAnsi="Times New Roman"/>
          <w:b/>
          <w:sz w:val="19"/>
        </w:rPr>
        <w:t xml:space="preserve">• RQ1 (Spatial Failure Localization): </w:t>
      </w:r>
      <w:r>
        <w:rPr>
          <w:rFonts w:ascii="Times New Roman" w:hAnsi="Times New Roman"/>
          <w:b w:val="0"/>
          <w:i w:val="0"/>
          <w:sz w:val="19"/>
        </w:rPr>
        <w:t>Can pixel-wise error thresholding and connected-component analysis isolate structured failure regions that aggregate metrics conceal?</w:t>
      </w:r>
    </w:p>
    <w:p>
      <w:pPr>
        <w:spacing w:before="0" w:after="50" w:line="252" w:lineRule="auto"/>
        <w:ind w:left="360" w:hanging="216"/>
        <w:jc w:val="both"/>
      </w:pPr>
      <w:r>
        <w:rPr>
          <w:rFonts w:ascii="Times New Roman" w:hAnsi="Times New Roman"/>
          <w:b/>
          <w:sz w:val="19"/>
        </w:rPr>
        <w:t xml:space="preserve">• RQ2 (Feature Evidence Association): </w:t>
      </w:r>
      <w:r>
        <w:rPr>
          <w:rFonts w:ascii="Times New Roman" w:hAnsi="Times New Roman"/>
          <w:b w:val="0"/>
          <w:i w:val="0"/>
          <w:sz w:val="19"/>
        </w:rPr>
        <w:t>Do measurable visual and geometric features exhibit statistically significant correlations with localized depth error severity?</w:t>
      </w:r>
    </w:p>
    <w:p>
      <w:pPr>
        <w:spacing w:before="0" w:after="50" w:line="252" w:lineRule="auto"/>
        <w:ind w:left="360" w:hanging="216"/>
        <w:jc w:val="both"/>
      </w:pPr>
      <w:r>
        <w:rPr>
          <w:rFonts w:ascii="Times New Roman" w:hAnsi="Times New Roman"/>
          <w:b/>
          <w:sz w:val="19"/>
        </w:rPr>
        <w:t xml:space="preserve">• RQ3 (Explanation Faithfulness): </w:t>
      </w:r>
      <w:r>
        <w:rPr>
          <w:rFonts w:ascii="Times New Roman" w:hAnsi="Times New Roman"/>
          <w:b w:val="0"/>
          <w:i w:val="0"/>
          <w:sz w:val="19"/>
        </w:rPr>
        <w:t>Are VEO's automated diagnostic classifications mathematically faithful under controlled image-level perturbations?</w:t>
      </w:r>
    </w:p>
    <w:p>
      <w:pPr>
        <w:spacing w:before="0" w:after="50" w:line="252" w:lineRule="auto"/>
        <w:ind w:left="360" w:hanging="216"/>
        <w:jc w:val="both"/>
      </w:pPr>
      <w:r>
        <w:rPr>
          <w:rFonts w:ascii="Times New Roman" w:hAnsi="Times New Roman"/>
          <w:b/>
          <w:sz w:val="19"/>
        </w:rPr>
        <w:t xml:space="preserve">• RQ4 (Model-Agnostic Fingerprinting): </w:t>
      </w:r>
      <w:r>
        <w:rPr>
          <w:rFonts w:ascii="Times New Roman" w:hAnsi="Times New Roman"/>
          <w:b w:val="0"/>
          <w:i w:val="0"/>
          <w:sz w:val="19"/>
        </w:rPr>
        <w:t>Do diverse pretrained depth architectures exhibit distinct, identifiable failure distributions when evaluated under an identical diagnostic protocol?</w:t>
      </w:r>
    </w:p>
    <w:p>
      <w:pPr>
        <w:spacing w:before="0" w:after="50" w:line="252" w:lineRule="auto"/>
        <w:ind w:left="360" w:hanging="216"/>
        <w:jc w:val="both"/>
      </w:pPr>
      <w:r>
        <w:rPr>
          <w:rFonts w:ascii="Times New Roman" w:hAnsi="Times New Roman"/>
          <w:b/>
          <w:sz w:val="19"/>
        </w:rPr>
        <w:t xml:space="preserve">• RQ5 (Actionable Downstream Improvement): </w:t>
      </w:r>
      <w:r>
        <w:rPr>
          <w:rFonts w:ascii="Times New Roman" w:hAnsi="Times New Roman"/>
          <w:b w:val="0"/>
          <w:i w:val="0"/>
          <w:sz w:val="19"/>
        </w:rPr>
        <w:t>Can VEO's localized failure diagnoses guide selective post-processing interventions that reduce regional depth error without global corruption?</w:t>
      </w:r>
    </w:p>
    <w:p>
      <w:pPr>
        <w:spacing w:before="0" w:after="70" w:line="259" w:lineRule="auto"/>
        <w:ind w:firstLine="288"/>
        <w:jc w:val="both"/>
      </w:pPr>
      <w:r>
        <w:rPr>
          <w:rFonts w:ascii="Times New Roman" w:hAnsi="Times New Roman"/>
          <w:b w:val="0"/>
          <w:i w:val="0"/>
          <w:sz w:val="20"/>
        </w:rPr>
        <w:t>Our primary technical and empirical contributions are fourfold:</w:t>
      </w:r>
    </w:p>
    <w:p>
      <w:pPr>
        <w:spacing w:before="0" w:after="50" w:line="252" w:lineRule="auto"/>
        <w:ind w:left="360" w:hanging="216"/>
        <w:jc w:val="both"/>
      </w:pPr>
      <w:r>
        <w:rPr>
          <w:rFonts w:ascii="Times New Roman" w:hAnsi="Times New Roman"/>
          <w:b/>
          <w:sz w:val="19"/>
        </w:rPr>
        <w:t xml:space="preserve">1. Model-Agnostic Observability Pipeline: </w:t>
      </w:r>
      <w:r>
        <w:rPr>
          <w:rFonts w:ascii="Times New Roman" w:hAnsi="Times New Roman"/>
          <w:b w:val="0"/>
          <w:i w:val="0"/>
          <w:sz w:val="19"/>
        </w:rPr>
        <w:t>We construct an end-to-end framework integrating inverse-depth scale-shift alignment, 85th-percentile error segmentation, 7 visual evidence extractors, and an interpretable rule-based attribution classifier with an explicit ambiguity margin.</w:t>
      </w:r>
    </w:p>
    <w:p>
      <w:pPr>
        <w:spacing w:before="0" w:after="50" w:line="252" w:lineRule="auto"/>
        <w:ind w:left="360" w:hanging="216"/>
        <w:jc w:val="both"/>
      </w:pPr>
      <w:r>
        <w:rPr>
          <w:rFonts w:ascii="Times New Roman" w:hAnsi="Times New Roman"/>
          <w:b/>
          <w:sz w:val="19"/>
        </w:rPr>
        <w:t xml:space="preserve">2. Alignment Polarity Reversal Proof: </w:t>
      </w:r>
      <w:r>
        <w:rPr>
          <w:rFonts w:ascii="Times New Roman" w:hAnsi="Times New Roman"/>
          <w:b w:val="0"/>
          <w:i w:val="0"/>
          <w:sz w:val="19"/>
        </w:rPr>
        <w:t>Through a systematic 4-protocol ablation over 244 held-out test scenes, we prove that direct depth regression on relative models causes polarity reversal (negative scale s &lt; 0 in 244/244 test scenes), formally establishing inverse-depth scale-shift as the only geometrically valid alignment.</w:t>
      </w:r>
    </w:p>
    <w:p>
      <w:pPr>
        <w:spacing w:before="0" w:after="50" w:line="252" w:lineRule="auto"/>
        <w:ind w:left="360" w:hanging="216"/>
        <w:jc w:val="both"/>
      </w:pPr>
      <w:r>
        <w:rPr>
          <w:rFonts w:ascii="Times New Roman" w:hAnsi="Times New Roman"/>
          <w:b/>
          <w:sz w:val="19"/>
        </w:rPr>
        <w:t xml:space="preserve">3. Rigorous Scene-Disjoint Benchmarking &amp; Multi-Model Fingerprinting: </w:t>
      </w:r>
      <w:r>
        <w:rPr>
          <w:rFonts w:ascii="Times New Roman" w:hAnsi="Times New Roman"/>
          <w:b w:val="0"/>
          <w:i w:val="0"/>
          <w:sz w:val="19"/>
        </w:rPr>
        <w:t>We benchmark Depth Anything V2 Small against DPT-Hybrid-MiDaS across 244 zero-leakage NYU Depth V2 test scenes (5,236 vs 3,689 regions), demonstrating architecture-specific failure modes (DA-V2 dominated by textureless/boundary errors vs DPT dominated by specular reflections).</w:t>
      </w:r>
    </w:p>
    <w:p>
      <w:pPr>
        <w:spacing w:before="0" w:after="50" w:line="252" w:lineRule="auto"/>
        <w:ind w:left="360" w:hanging="216"/>
        <w:jc w:val="both"/>
      </w:pPr>
      <w:r>
        <w:rPr>
          <w:rFonts w:ascii="Times New Roman" w:hAnsi="Times New Roman"/>
          <w:b/>
          <w:sz w:val="19"/>
        </w:rPr>
        <w:t xml:space="preserve">4. Multi-Rater Human Validation &amp; Downstream Refinement: </w:t>
      </w:r>
      <w:r>
        <w:rPr>
          <w:rFonts w:ascii="Times New Roman" w:hAnsi="Times New Roman"/>
          <w:b w:val="0"/>
          <w:i w:val="0"/>
          <w:sz w:val="19"/>
        </w:rPr>
        <w:t>We validate VEO against independent human annotators (achieving κ = 0.4719, 58.6% multi-class accuracy on determinate predictions), verify explanation faithfulness via controlled texture injection, and demonstrate localized boundary error reduction via selective bilateral filtering.</w:t>
      </w:r>
    </w:p>
    <w:p>
      <w:pPr>
        <w:keepNext/>
        <w:spacing w:before="280" w:after="80"/>
        <w:jc w:val="center"/>
      </w:pPr>
      <w:r>
        <w:rPr>
          <w:rFonts w:ascii="Times New Roman" w:hAnsi="Times New Roman"/>
          <w:b/>
          <w:color w:val="0A2540"/>
          <w:sz w:val="21"/>
        </w:rPr>
        <w:t>II. RELATED WORK AND THEORETICAL FOUNDATION</w:t>
      </w:r>
    </w:p>
    <w:p>
      <w:pPr>
        <w:spacing w:before="0" w:after="70" w:line="259" w:lineRule="auto"/>
        <w:ind w:firstLine="288"/>
        <w:jc w:val="both"/>
      </w:pPr>
      <w:r>
        <w:rPr>
          <w:rFonts w:ascii="Times New Roman" w:hAnsi="Times New Roman"/>
          <w:b w:val="0"/>
          <w:i w:val="0"/>
          <w:sz w:val="20"/>
        </w:rPr>
        <w:t xml:space="preserve">Monocular depth estimation has progressed from early multi-scale CNN formulations </w:t>
      </w:r>
      <w:r>
        <w:rPr>
          <w:rFonts w:ascii="Times New Roman" w:hAnsi="Times New Roman"/>
          <w:sz w:val="20"/>
        </w:rPr>
        <w:t>[</w:t>
      </w:r>
      <w:hyperlink w:anchor="ref_3" w:history="1">
        <w:r>
          <w:rPr>
            <w:color w:val="003399"/>
            <w:rFonts w:ascii="Times New Roman" w:hAnsi="Times New Roman"/>
            <w:b/>
          </w:rPr>
          <w:t>3</w:t>
        </w:r>
      </w:hyperlink>
      <w:r>
        <w:rPr>
          <w:rFonts w:ascii="Times New Roman" w:hAnsi="Times New Roman"/>
          <w:sz w:val="20"/>
        </w:rPr>
        <w:t>]</w:t>
      </w:r>
      <w:r>
        <w:rPr>
          <w:rFonts w:ascii="Times New Roman" w:hAnsi="Times New Roman"/>
          <w:b w:val="0"/>
          <w:i w:val="0"/>
          <w:sz w:val="20"/>
        </w:rPr>
        <w:t xml:space="preserve"> to transformer-based continuous-depth models </w:t>
      </w:r>
      <w:r>
        <w:rPr>
          <w:rFonts w:ascii="Times New Roman" w:hAnsi="Times New Roman"/>
          <w:sz w:val="20"/>
        </w:rPr>
        <w:t>[</w:t>
      </w:r>
      <w:hyperlink w:anchor="ref_5" w:history="1">
        <w:r>
          <w:rPr>
            <w:color w:val="003399"/>
            <w:rFonts w:ascii="Times New Roman" w:hAnsi="Times New Roman"/>
            <w:b/>
          </w:rPr>
          <w:t>5</w:t>
        </w:r>
      </w:hyperlink>
      <w:r>
        <w:rPr>
          <w:rFonts w:ascii="Times New Roman" w:hAnsi="Times New Roman"/>
          <w:sz w:val="20"/>
        </w:rPr>
        <w:t xml:space="preserve">, </w:t>
      </w:r>
      <w:hyperlink w:anchor="ref_10" w:history="1">
        <w:r>
          <w:rPr>
            <w:color w:val="003399"/>
            <w:rFonts w:ascii="Times New Roman" w:hAnsi="Times New Roman"/>
            <w:b/>
          </w:rPr>
          <w:t>10</w:t>
        </w:r>
      </w:hyperlink>
      <w:r>
        <w:rPr>
          <w:rFonts w:ascii="Times New Roman" w:hAnsi="Times New Roman"/>
          <w:sz w:val="20"/>
        </w:rPr>
        <w:t>]</w:t>
      </w:r>
      <w:r>
        <w:rPr>
          <w:rFonts w:ascii="Times New Roman" w:hAnsi="Times New Roman"/>
          <w:b w:val="0"/>
          <w:i w:val="0"/>
          <w:sz w:val="20"/>
        </w:rPr>
        <w:t xml:space="preserve"> and metric foundation networks </w:t>
      </w:r>
      <w:r>
        <w:rPr>
          <w:rFonts w:ascii="Times New Roman" w:hAnsi="Times New Roman"/>
          <w:sz w:val="20"/>
        </w:rPr>
        <w:t>[</w:t>
      </w:r>
      <w:hyperlink w:anchor="ref_7" w:history="1">
        <w:r>
          <w:rPr>
            <w:color w:val="003399"/>
            <w:rFonts w:ascii="Times New Roman" w:hAnsi="Times New Roman"/>
            <w:b/>
          </w:rPr>
          <w:t>7</w:t>
        </w:r>
      </w:hyperlink>
      <w:r>
        <w:rPr>
          <w:rFonts w:ascii="Times New Roman" w:hAnsi="Times New Roman"/>
          <w:sz w:val="20"/>
        </w:rPr>
        <w:t xml:space="preserve">, </w:t>
      </w:r>
      <w:hyperlink w:anchor="ref_8" w:history="1">
        <w:r>
          <w:rPr>
            <w:color w:val="003399"/>
            <w:rFonts w:ascii="Times New Roman" w:hAnsi="Times New Roman"/>
            <w:b/>
          </w:rPr>
          <w:t>8</w:t>
        </w:r>
      </w:hyperlink>
      <w:r>
        <w:rPr>
          <w:rFonts w:ascii="Times New Roman" w:hAnsi="Times New Roman"/>
          <w:sz w:val="20"/>
        </w:rPr>
        <w:t>]</w:t>
      </w:r>
      <w:r>
        <w:rPr>
          <w:rFonts w:ascii="Times New Roman" w:hAnsi="Times New Roman"/>
          <w:b w:val="0"/>
          <w:i w:val="0"/>
          <w:sz w:val="20"/>
        </w:rPr>
        <w:t xml:space="preserve">. While benchmarks have expanded from outdoor driving scenes (KITTI </w:t>
      </w:r>
      <w:r>
        <w:rPr>
          <w:rFonts w:ascii="Times New Roman" w:hAnsi="Times New Roman"/>
          <w:sz w:val="20"/>
        </w:rPr>
        <w:t>[</w:t>
      </w:r>
      <w:hyperlink w:anchor="ref_20" w:history="1">
        <w:r>
          <w:rPr>
            <w:color w:val="003399"/>
            <w:rFonts w:ascii="Times New Roman" w:hAnsi="Times New Roman"/>
            <w:b/>
          </w:rPr>
          <w:t>20</w:t>
        </w:r>
      </w:hyperlink>
      <w:r>
        <w:rPr>
          <w:rFonts w:ascii="Times New Roman" w:hAnsi="Times New Roman"/>
          <w:sz w:val="20"/>
        </w:rPr>
        <w:t>]</w:t>
      </w:r>
      <w:r>
        <w:rPr>
          <w:rFonts w:ascii="Times New Roman" w:hAnsi="Times New Roman"/>
          <w:b w:val="0"/>
          <w:i w:val="0"/>
          <w:sz w:val="20"/>
        </w:rPr>
        <w:t xml:space="preserve">) to dense indoor environments (NYU Depth V2 </w:t>
      </w:r>
      <w:r>
        <w:rPr>
          <w:rFonts w:ascii="Times New Roman" w:hAnsi="Times New Roman"/>
          <w:sz w:val="20"/>
        </w:rPr>
        <w:t>[</w:t>
      </w:r>
      <w:hyperlink w:anchor="ref_21" w:history="1">
        <w:r>
          <w:rPr>
            <w:color w:val="003399"/>
            <w:rFonts w:ascii="Times New Roman" w:hAnsi="Times New Roman"/>
            <w:b/>
          </w:rPr>
          <w:t>21</w:t>
        </w:r>
      </w:hyperlink>
      <w:r>
        <w:rPr>
          <w:rFonts w:ascii="Times New Roman" w:hAnsi="Times New Roman"/>
          <w:sz w:val="20"/>
        </w:rPr>
        <w:t>]</w:t>
      </w:r>
      <w:r>
        <w:rPr>
          <w:rFonts w:ascii="Times New Roman" w:hAnsi="Times New Roman"/>
          <w:b w:val="0"/>
          <w:i w:val="0"/>
          <w:sz w:val="20"/>
        </w:rPr>
        <w:t xml:space="preserve">) and synthetic ray-traced repositories (Hypersim </w:t>
      </w:r>
      <w:r>
        <w:rPr>
          <w:rFonts w:ascii="Times New Roman" w:hAnsi="Times New Roman"/>
          <w:sz w:val="20"/>
        </w:rPr>
        <w:t>[</w:t>
      </w:r>
      <w:hyperlink w:anchor="ref_49" w:history="1">
        <w:r>
          <w:rPr>
            <w:color w:val="003399"/>
            <w:rFonts w:ascii="Times New Roman" w:hAnsi="Times New Roman"/>
            <w:b/>
          </w:rPr>
          <w:t>49</w:t>
        </w:r>
      </w:hyperlink>
      <w:r>
        <w:rPr>
          <w:rFonts w:ascii="Times New Roman" w:hAnsi="Times New Roman"/>
          <w:sz w:val="20"/>
        </w:rPr>
        <w:t>]</w:t>
      </w:r>
      <w:r>
        <w:rPr>
          <w:rFonts w:ascii="Times New Roman" w:hAnsi="Times New Roman"/>
          <w:b w:val="0"/>
          <w:i w:val="0"/>
          <w:sz w:val="20"/>
        </w:rPr>
        <w:t xml:space="preserve">), standard evaluation remains rigidly centered on global aggregate metrics. As highlighted in the Monocular Depth Estimation Challenge </w:t>
      </w:r>
      <w:r>
        <w:rPr>
          <w:rFonts w:ascii="Times New Roman" w:hAnsi="Times New Roman"/>
          <w:sz w:val="20"/>
        </w:rPr>
        <w:t>[</w:t>
      </w:r>
      <w:hyperlink w:anchor="ref_13" w:history="1">
        <w:r>
          <w:rPr>
            <w:color w:val="003399"/>
            <w:rFonts w:ascii="Times New Roman" w:hAnsi="Times New Roman"/>
            <w:b/>
          </w:rPr>
          <w:t>13</w:t>
        </w:r>
      </w:hyperlink>
      <w:r>
        <w:rPr>
          <w:rFonts w:ascii="Times New Roman" w:hAnsi="Times New Roman"/>
          <w:sz w:val="20"/>
        </w:rPr>
        <w:t>]</w:t>
      </w:r>
      <w:r>
        <w:rPr>
          <w:rFonts w:ascii="Times New Roman" w:hAnsi="Times New Roman"/>
          <w:b w:val="0"/>
          <w:i w:val="0"/>
          <w:sz w:val="20"/>
        </w:rPr>
        <w:t>, global RMSE and AbsRel frequently fail to penalize severe boundary bleeding or local surface distortion.</w:t>
      </w:r>
    </w:p>
    <w:p>
      <w:pPr>
        <w:spacing w:before="0" w:after="70" w:line="259" w:lineRule="auto"/>
        <w:ind w:firstLine="288"/>
        <w:jc w:val="both"/>
      </w:pPr>
      <w:r>
        <w:rPr>
          <w:rFonts w:ascii="Times New Roman" w:hAnsi="Times New Roman"/>
          <w:b w:val="0"/>
          <w:i w:val="0"/>
          <w:sz w:val="20"/>
        </w:rPr>
        <w:t xml:space="preserve">In the explainable AI (XAI) domain, saliency-based methods such as Grad-CAM </w:t>
      </w:r>
      <w:r>
        <w:rPr>
          <w:rFonts w:ascii="Times New Roman" w:hAnsi="Times New Roman"/>
          <w:sz w:val="20"/>
        </w:rPr>
        <w:t>[</w:t>
      </w:r>
      <w:hyperlink w:anchor="ref_35" w:history="1">
        <w:r>
          <w:rPr>
            <w:color w:val="003399"/>
            <w:rFonts w:ascii="Times New Roman" w:hAnsi="Times New Roman"/>
            <w:b/>
          </w:rPr>
          <w:t>35</w:t>
        </w:r>
      </w:hyperlink>
      <w:r>
        <w:rPr>
          <w:rFonts w:ascii="Times New Roman" w:hAnsi="Times New Roman"/>
          <w:sz w:val="20"/>
        </w:rPr>
        <w:t>]</w:t>
      </w:r>
      <w:r>
        <w:rPr>
          <w:rFonts w:ascii="Times New Roman" w:hAnsi="Times New Roman"/>
          <w:b w:val="0"/>
          <w:i w:val="0"/>
          <w:sz w:val="20"/>
        </w:rPr>
        <w:t xml:space="preserve">, Integrated Gradients </w:t>
      </w:r>
      <w:r>
        <w:rPr>
          <w:rFonts w:ascii="Times New Roman" w:hAnsi="Times New Roman"/>
          <w:sz w:val="20"/>
        </w:rPr>
        <w:t>[</w:t>
      </w:r>
      <w:hyperlink w:anchor="ref_34" w:history="1">
        <w:r>
          <w:rPr>
            <w:color w:val="003399"/>
            <w:rFonts w:ascii="Times New Roman" w:hAnsi="Times New Roman"/>
            <w:b/>
          </w:rPr>
          <w:t>34</w:t>
        </w:r>
      </w:hyperlink>
      <w:r>
        <w:rPr>
          <w:rFonts w:ascii="Times New Roman" w:hAnsi="Times New Roman"/>
          <w:sz w:val="20"/>
        </w:rPr>
        <w:t>]</w:t>
      </w:r>
      <w:r>
        <w:rPr>
          <w:rFonts w:ascii="Times New Roman" w:hAnsi="Times New Roman"/>
          <w:b w:val="0"/>
          <w:i w:val="0"/>
          <w:sz w:val="20"/>
        </w:rPr>
        <w:t xml:space="preserve">, and RISE </w:t>
      </w:r>
      <w:r>
        <w:rPr>
          <w:rFonts w:ascii="Times New Roman" w:hAnsi="Times New Roman"/>
          <w:sz w:val="20"/>
        </w:rPr>
        <w:t>[</w:t>
      </w:r>
      <w:hyperlink w:anchor="ref_36" w:history="1">
        <w:r>
          <w:rPr>
            <w:color w:val="003399"/>
            <w:rFonts w:ascii="Times New Roman" w:hAnsi="Times New Roman"/>
            <w:b/>
          </w:rPr>
          <w:t>36</w:t>
        </w:r>
      </w:hyperlink>
      <w:r>
        <w:rPr>
          <w:rFonts w:ascii="Times New Roman" w:hAnsi="Times New Roman"/>
          <w:sz w:val="20"/>
        </w:rPr>
        <w:t>]</w:t>
      </w:r>
      <w:r>
        <w:rPr>
          <w:rFonts w:ascii="Times New Roman" w:hAnsi="Times New Roman"/>
          <w:b w:val="0"/>
          <w:i w:val="0"/>
          <w:sz w:val="20"/>
        </w:rPr>
        <w:t xml:space="preserve"> have been adapted to visualize feature attribution in vision models </w:t>
      </w:r>
      <w:r>
        <w:rPr>
          <w:rFonts w:ascii="Times New Roman" w:hAnsi="Times New Roman"/>
          <w:sz w:val="20"/>
        </w:rPr>
        <w:t>[</w:t>
      </w:r>
      <w:hyperlink w:anchor="ref_37" w:history="1">
        <w:r>
          <w:rPr>
            <w:color w:val="003399"/>
            <w:rFonts w:ascii="Times New Roman" w:hAnsi="Times New Roman"/>
            <w:b/>
          </w:rPr>
          <w:t>37</w:t>
        </w:r>
      </w:hyperlink>
      <w:r>
        <w:rPr>
          <w:rFonts w:ascii="Times New Roman" w:hAnsi="Times New Roman"/>
          <w:sz w:val="20"/>
        </w:rPr>
        <w:t xml:space="preserve">, </w:t>
      </w:r>
      <w:hyperlink w:anchor="ref_38" w:history="1">
        <w:r>
          <w:rPr>
            <w:color w:val="003399"/>
            <w:rFonts w:ascii="Times New Roman" w:hAnsi="Times New Roman"/>
            <w:b/>
          </w:rPr>
          <w:t>38</w:t>
        </w:r>
      </w:hyperlink>
      <w:r>
        <w:rPr>
          <w:rFonts w:ascii="Times New Roman" w:hAnsi="Times New Roman"/>
          <w:sz w:val="20"/>
        </w:rPr>
        <w:t>]</w:t>
      </w:r>
      <w:r>
        <w:rPr>
          <w:rFonts w:ascii="Times New Roman" w:hAnsi="Times New Roman"/>
          <w:b w:val="0"/>
          <w:i w:val="0"/>
          <w:sz w:val="20"/>
        </w:rPr>
        <w:t xml:space="preserve">. However, saliency methods reveal only which input pixels influenced a hidden representation; they do not identify physical or geometric failure modes when predictions deviate from ground truth. Conversely, deep error-detection networks (e.g., DEDN </w:t>
      </w:r>
      <w:r>
        <w:rPr>
          <w:rFonts w:ascii="Times New Roman" w:hAnsi="Times New Roman"/>
          <w:sz w:val="20"/>
        </w:rPr>
        <w:t>[</w:t>
      </w:r>
      <w:hyperlink w:anchor="ref_39" w:history="1">
        <w:r>
          <w:rPr>
            <w:color w:val="003399"/>
            <w:rFonts w:ascii="Times New Roman" w:hAnsi="Times New Roman"/>
            <w:b/>
          </w:rPr>
          <w:t>39</w:t>
        </w:r>
      </w:hyperlink>
      <w:r>
        <w:rPr>
          <w:rFonts w:ascii="Times New Roman" w:hAnsi="Times New Roman"/>
          <w:sz w:val="20"/>
        </w:rPr>
        <w:t>]</w:t>
      </w:r>
      <w:r>
        <w:rPr>
          <w:rFonts w:ascii="Times New Roman" w:hAnsi="Times New Roman"/>
          <w:b w:val="0"/>
          <w:i w:val="0"/>
          <w:sz w:val="20"/>
        </w:rPr>
        <w:t xml:space="preserve">) learn to predict error maps using separate convolutional heads but function as black boxes without interpretable cause explanations. Robustness benchmarks such as RoboDepth </w:t>
      </w:r>
      <w:r>
        <w:rPr>
          <w:rFonts w:ascii="Times New Roman" w:hAnsi="Times New Roman"/>
          <w:sz w:val="20"/>
        </w:rPr>
        <w:t>[</w:t>
      </w:r>
      <w:hyperlink w:anchor="ref_15" w:history="1">
        <w:r>
          <w:rPr>
            <w:color w:val="003399"/>
            <w:rFonts w:ascii="Times New Roman" w:hAnsi="Times New Roman"/>
            <w:b/>
          </w:rPr>
          <w:t>15</w:t>
        </w:r>
      </w:hyperlink>
      <w:r>
        <w:rPr>
          <w:rFonts w:ascii="Times New Roman" w:hAnsi="Times New Roman"/>
          <w:sz w:val="20"/>
        </w:rPr>
        <w:t>]</w:t>
      </w:r>
      <w:r>
        <w:rPr>
          <w:rFonts w:ascii="Times New Roman" w:hAnsi="Times New Roman"/>
          <w:b w:val="0"/>
          <w:i w:val="0"/>
          <w:sz w:val="20"/>
        </w:rPr>
        <w:t xml:space="preserve"> quantify aggregate accuracy drops under synthetic corruptions but do not localize or diagnose error regions in natural scenes. Uncertainty estimation methods </w:t>
      </w:r>
      <w:r>
        <w:rPr>
          <w:rFonts w:ascii="Times New Roman" w:hAnsi="Times New Roman"/>
          <w:sz w:val="20"/>
        </w:rPr>
        <w:t>[</w:t>
      </w:r>
      <w:hyperlink w:anchor="ref_25" w:history="1">
        <w:r>
          <w:rPr>
            <w:color w:val="003399"/>
            <w:rFonts w:ascii="Times New Roman" w:hAnsi="Times New Roman"/>
            <w:b/>
          </w:rPr>
          <w:t>25</w:t>
        </w:r>
      </w:hyperlink>
      <w:r>
        <w:rPr>
          <w:rFonts w:ascii="Times New Roman" w:hAnsi="Times New Roman"/>
          <w:sz w:val="20"/>
        </w:rPr>
        <w:t>–</w:t>
      </w:r>
      <w:hyperlink w:anchor="ref_30" w:history="1">
        <w:r>
          <w:rPr>
            <w:color w:val="003399"/>
            <w:rFonts w:ascii="Times New Roman" w:hAnsi="Times New Roman"/>
            <w:b/>
          </w:rPr>
          <w:t>30</w:t>
        </w:r>
      </w:hyperlink>
      <w:r>
        <w:rPr>
          <w:rFonts w:ascii="Times New Roman" w:hAnsi="Times New Roman"/>
          <w:sz w:val="20"/>
        </w:rPr>
        <w:t>]</w:t>
      </w:r>
      <w:r>
        <w:rPr>
          <w:rFonts w:ascii="Times New Roman" w:hAnsi="Times New Roman"/>
          <w:b w:val="0"/>
          <w:i w:val="0"/>
          <w:sz w:val="20"/>
        </w:rPr>
        <w:t xml:space="preserve"> predict heteroscedastic or epistemic variances, but cannot attribute errors to physical scene semantics. VEO bridges this gap by unifying spatial region segmentation, objective evidence extraction, and human-aligned rule-based diagnostic attribution in a single pipeline.</w:t>
      </w:r>
    </w:p>
    <w:p>
      <w:pPr>
        <w:keepNext/>
        <w:spacing w:before="240" w:after="20"/>
        <w:jc w:val="center"/>
      </w:pPr>
      <w:r>
        <w:rPr>
          <w:rFonts w:ascii="Times New Roman" w:hAnsi="Times New Roman"/>
          <w:b/>
          <w:color w:val="0A2540"/>
          <w:sz w:val="17"/>
        </w:rPr>
        <w:t>TABLE I</w:t>
      </w:r>
    </w:p>
    <w:p>
      <w:pPr>
        <w:keepNext/>
        <w:spacing w:before="20" w:after="80"/>
        <w:jc w:val="center"/>
      </w:pPr>
      <w:r>
        <w:rPr>
          <w:rFonts w:ascii="Times New Roman" w:hAnsi="Times New Roman"/>
          <w:b/>
          <w:color w:val="334155"/>
          <w:sz w:val="16"/>
        </w:rPr>
        <w:t>COMPARATIVE LANDSCAPE OF MONOCULAR DEPTH EVALUATION AND DIAGNOSTIC FRAMEWORKS</w:t>
      </w:r>
    </w:p>
    <w:tbl>
      <w:tblPr>
        <w:tblW w:type="auto" w:w="0"/>
        <w:jc w:val="center"/>
        <w:tblLook w:firstColumn="1" w:firstRow="1" w:lastColumn="0" w:lastRow="0" w:noHBand="0" w:noVBand="1" w:val="04A0"/>
        <w:tblBorders>
          <w:top w:val="single" w:sz="12" w:space="0" w:color="1E3A8A"/>
          <w:bottom w:val="single" w:sz="12" w:space="0" w:color="1E3A8A"/>
          <w:insideH w:val="single" w:sz="6" w:space="0" w:color="CBD5E1"/>
          <w:left w:val="none"/>
          <w:right w:val="none"/>
          <w:insideV w:val="none"/>
        </w:tblBorders>
      </w:tblPr>
      <w:tblGrid>
        <w:gridCol w:w="1680"/>
        <w:gridCol w:w="1680"/>
        <w:gridCol w:w="1680"/>
        <w:gridCol w:w="1680"/>
        <w:gridCol w:w="1680"/>
        <w:gridCol w:w="1680"/>
      </w:tblGrid>
      <w:tr>
        <w:tc>
          <w:tcPr>
            <w:tcW w:type="dxa" w:w="1680"/>
            <w:shd w:val="clear" w:color="auto" w:fill="1E3A8A"/>
            <w:tcMar>
              <w:top w:w="70" w:type="dxa"/>
              <w:bottom w:w="70" w:type="dxa"/>
              <w:left w:w="120" w:type="dxa"/>
              <w:right w:w="120" w:type="dxa"/>
            </w:tcMar>
          </w:tcPr>
          <w:p>
            <w:pPr>
              <w:jc w:val="center"/>
            </w:pPr>
            <w:r>
              <w:rPr>
                <w:rFonts w:ascii="Times New Roman" w:hAnsi="Times New Roman"/>
                <w:b/>
                <w:color w:val="FFFFFF"/>
                <w:sz w:val="16"/>
              </w:rPr>
              <w:t>Framework / Approach</w:t>
            </w:r>
          </w:p>
        </w:tc>
        <w:tc>
          <w:tcPr>
            <w:tcW w:type="dxa" w:w="1680"/>
            <w:shd w:val="clear" w:color="auto" w:fill="1E3A8A"/>
            <w:tcMar>
              <w:top w:w="70" w:type="dxa"/>
              <w:bottom w:w="70" w:type="dxa"/>
              <w:left w:w="120" w:type="dxa"/>
              <w:right w:w="120" w:type="dxa"/>
            </w:tcMar>
          </w:tcPr>
          <w:p>
            <w:pPr>
              <w:jc w:val="center"/>
            </w:pPr>
            <w:r>
              <w:rPr>
                <w:rFonts w:ascii="Times New Roman" w:hAnsi="Times New Roman"/>
                <w:b/>
                <w:color w:val="FFFFFF"/>
                <w:sz w:val="16"/>
              </w:rPr>
              <w:t>Spatial Error Localization</w:t>
            </w:r>
          </w:p>
        </w:tc>
        <w:tc>
          <w:tcPr>
            <w:tcW w:type="dxa" w:w="1680"/>
            <w:shd w:val="clear" w:color="auto" w:fill="1E3A8A"/>
            <w:tcMar>
              <w:top w:w="70" w:type="dxa"/>
              <w:bottom w:w="70" w:type="dxa"/>
              <w:left w:w="120" w:type="dxa"/>
              <w:right w:w="120" w:type="dxa"/>
            </w:tcMar>
          </w:tcPr>
          <w:p>
            <w:pPr>
              <w:jc w:val="center"/>
            </w:pPr>
            <w:r>
              <w:rPr>
                <w:rFonts w:ascii="Times New Roman" w:hAnsi="Times New Roman"/>
                <w:b/>
                <w:color w:val="FFFFFF"/>
                <w:sz w:val="16"/>
              </w:rPr>
              <w:t>Physical Cause Attribution</w:t>
            </w:r>
          </w:p>
        </w:tc>
        <w:tc>
          <w:tcPr>
            <w:tcW w:type="dxa" w:w="1680"/>
            <w:shd w:val="clear" w:color="auto" w:fill="1E3A8A"/>
            <w:tcMar>
              <w:top w:w="70" w:type="dxa"/>
              <w:bottom w:w="70" w:type="dxa"/>
              <w:left w:w="120" w:type="dxa"/>
              <w:right w:w="120" w:type="dxa"/>
            </w:tcMar>
          </w:tcPr>
          <w:p>
            <w:pPr>
              <w:jc w:val="center"/>
            </w:pPr>
            <w:r>
              <w:rPr>
                <w:rFonts w:ascii="Times New Roman" w:hAnsi="Times New Roman"/>
                <w:b/>
                <w:color w:val="FFFFFF"/>
                <w:sz w:val="16"/>
              </w:rPr>
              <w:t>Multi-Signal Evidence</w:t>
            </w:r>
          </w:p>
        </w:tc>
        <w:tc>
          <w:tcPr>
            <w:tcW w:type="dxa" w:w="1680"/>
            <w:shd w:val="clear" w:color="auto" w:fill="1E3A8A"/>
            <w:tcMar>
              <w:top w:w="70" w:type="dxa"/>
              <w:bottom w:w="70" w:type="dxa"/>
              <w:left w:w="120" w:type="dxa"/>
              <w:right w:w="120" w:type="dxa"/>
            </w:tcMar>
          </w:tcPr>
          <w:p>
            <w:pPr>
              <w:jc w:val="center"/>
            </w:pPr>
            <w:r>
              <w:rPr>
                <w:rFonts w:ascii="Times New Roman" w:hAnsi="Times New Roman"/>
                <w:b/>
                <w:color w:val="FFFFFF"/>
                <w:sz w:val="16"/>
              </w:rPr>
              <w:t>Model Agnostic</w:t>
            </w:r>
          </w:p>
        </w:tc>
        <w:tc>
          <w:tcPr>
            <w:tcW w:type="dxa" w:w="1680"/>
            <w:shd w:val="clear" w:color="auto" w:fill="1E3A8A"/>
            <w:tcMar>
              <w:top w:w="70" w:type="dxa"/>
              <w:bottom w:w="70" w:type="dxa"/>
              <w:left w:w="120" w:type="dxa"/>
              <w:right w:w="120" w:type="dxa"/>
            </w:tcMar>
          </w:tcPr>
          <w:p>
            <w:pPr>
              <w:jc w:val="center"/>
            </w:pPr>
            <w:r>
              <w:rPr>
                <w:rFonts w:ascii="Times New Roman" w:hAnsi="Times New Roman"/>
                <w:b/>
                <w:color w:val="FFFFFF"/>
                <w:sz w:val="16"/>
              </w:rPr>
              <w:t>Ground-Truth Assisted</w:t>
            </w:r>
          </w:p>
        </w:tc>
      </w:tr>
      <w:tr>
        <w:tc>
          <w:tcPr>
            <w:tcW w:type="dxa" w:w="1680"/>
            <w:tcMar>
              <w:top w:w="70" w:type="dxa"/>
              <w:bottom w:w="70" w:type="dxa"/>
              <w:left w:w="120" w:type="dxa"/>
              <w:right w:w="120" w:type="dxa"/>
            </w:tcMar>
            <w:shd w:val="clear" w:color="auto" w:fill="F8FAFC"/>
          </w:tcPr>
          <w:p>
            <w:r>
              <w:rPr>
                <w:rFonts w:ascii="Times New Roman" w:hAnsi="Times New Roman"/>
                <w:sz w:val="16"/>
              </w:rPr>
              <w:t>Standard MDE Metrics (Eigen et al. [3])</w:t>
            </w:r>
          </w:p>
        </w:tc>
        <w:tc>
          <w:tcPr>
            <w:tcW w:type="dxa" w:w="1680"/>
            <w:tcMar>
              <w:top w:w="70" w:type="dxa"/>
              <w:bottom w:w="70" w:type="dxa"/>
              <w:left w:w="120" w:type="dxa"/>
              <w:right w:w="120" w:type="dxa"/>
            </w:tcMar>
            <w:shd w:val="clear" w:color="auto" w:fill="F8FAFC"/>
          </w:tcPr>
          <w:p>
            <w:pPr>
              <w:jc w:val="center"/>
            </w:pPr>
            <w:r>
              <w:rPr>
                <w:rFonts w:ascii="Times New Roman" w:hAnsi="Times New Roman"/>
                <w:sz w:val="16"/>
              </w:rPr>
              <w:t>No (Global scalar only)</w:t>
            </w:r>
          </w:p>
        </w:tc>
        <w:tc>
          <w:tcPr>
            <w:tcW w:type="dxa" w:w="1680"/>
            <w:tcMar>
              <w:top w:w="70" w:type="dxa"/>
              <w:bottom w:w="70" w:type="dxa"/>
              <w:left w:w="120" w:type="dxa"/>
              <w:right w:w="120" w:type="dxa"/>
            </w:tcMar>
            <w:shd w:val="clear" w:color="auto" w:fill="F8FAFC"/>
          </w:tcPr>
          <w:p>
            <w:pPr>
              <w:jc w:val="center"/>
            </w:pPr>
            <w:r>
              <w:rPr>
                <w:rFonts w:ascii="Times New Roman" w:hAnsi="Times New Roman"/>
                <w:sz w:val="16"/>
              </w:rPr>
              <w:t>No</w:t>
            </w:r>
          </w:p>
        </w:tc>
        <w:tc>
          <w:tcPr>
            <w:tcW w:type="dxa" w:w="1680"/>
            <w:tcMar>
              <w:top w:w="70" w:type="dxa"/>
              <w:bottom w:w="70" w:type="dxa"/>
              <w:left w:w="120" w:type="dxa"/>
              <w:right w:w="120" w:type="dxa"/>
            </w:tcMar>
            <w:shd w:val="clear" w:color="auto" w:fill="F8FAFC"/>
          </w:tcPr>
          <w:p>
            <w:pPr>
              <w:jc w:val="center"/>
            </w:pPr>
            <w:r>
              <w:rPr>
                <w:rFonts w:ascii="Times New Roman" w:hAnsi="Times New Roman"/>
                <w:sz w:val="16"/>
              </w:rPr>
              <w:t>No</w:t>
            </w:r>
          </w:p>
        </w:tc>
        <w:tc>
          <w:tcPr>
            <w:tcW w:type="dxa" w:w="1680"/>
            <w:tcMar>
              <w:top w:w="70" w:type="dxa"/>
              <w:bottom w:w="70" w:type="dxa"/>
              <w:left w:w="120" w:type="dxa"/>
              <w:right w:w="120" w:type="dxa"/>
            </w:tcMar>
            <w:shd w:val="clear" w:color="auto" w:fill="F8FAFC"/>
          </w:tcPr>
          <w:p>
            <w:pPr>
              <w:jc w:val="center"/>
            </w:pPr>
            <w:r>
              <w:rPr>
                <w:rFonts w:ascii="Times New Roman" w:hAnsi="Times New Roman"/>
                <w:sz w:val="16"/>
              </w:rPr>
              <w:t>Yes</w:t>
            </w:r>
          </w:p>
        </w:tc>
        <w:tc>
          <w:tcPr>
            <w:tcW w:type="dxa" w:w="1680"/>
            <w:tcMar>
              <w:top w:w="70" w:type="dxa"/>
              <w:bottom w:w="70" w:type="dxa"/>
              <w:left w:w="120" w:type="dxa"/>
              <w:right w:w="120" w:type="dxa"/>
            </w:tcMar>
            <w:shd w:val="clear" w:color="auto" w:fill="F8FAFC"/>
          </w:tcPr>
          <w:p>
            <w:pPr>
              <w:jc w:val="center"/>
            </w:pPr>
            <w:r>
              <w:rPr>
                <w:rFonts w:ascii="Times New Roman" w:hAnsi="Times New Roman"/>
                <w:sz w:val="16"/>
              </w:rPr>
              <w:t>Yes</w:t>
            </w:r>
          </w:p>
        </w:tc>
      </w:tr>
      <w:tr>
        <w:tc>
          <w:tcPr>
            <w:tcW w:type="dxa" w:w="1680"/>
            <w:tcMar>
              <w:top w:w="70" w:type="dxa"/>
              <w:bottom w:w="70" w:type="dxa"/>
              <w:left w:w="120" w:type="dxa"/>
              <w:right w:w="120" w:type="dxa"/>
            </w:tcMar>
          </w:tcPr>
          <w:p>
            <w:r>
              <w:rPr>
                <w:rFonts w:ascii="Times New Roman" w:hAnsi="Times New Roman"/>
                <w:sz w:val="16"/>
              </w:rPr>
              <w:t>Saliency / Grad-CAM (Selvaraju [35])</w:t>
            </w:r>
          </w:p>
        </w:tc>
        <w:tc>
          <w:tcPr>
            <w:tcW w:type="dxa" w:w="1680"/>
            <w:tcMar>
              <w:top w:w="70" w:type="dxa"/>
              <w:bottom w:w="70" w:type="dxa"/>
              <w:left w:w="120" w:type="dxa"/>
              <w:right w:w="120" w:type="dxa"/>
            </w:tcMar>
          </w:tcPr>
          <w:p>
            <w:pPr>
              <w:jc w:val="center"/>
            </w:pPr>
            <w:r>
              <w:rPr>
                <w:rFonts w:ascii="Times New Roman" w:hAnsi="Times New Roman"/>
                <w:sz w:val="16"/>
              </w:rPr>
              <w:t>Heuristic (Activation heatmaps)</w:t>
            </w:r>
          </w:p>
        </w:tc>
        <w:tc>
          <w:tcPr>
            <w:tcW w:type="dxa" w:w="1680"/>
            <w:tcMar>
              <w:top w:w="70" w:type="dxa"/>
              <w:bottom w:w="70" w:type="dxa"/>
              <w:left w:w="120" w:type="dxa"/>
              <w:right w:w="120" w:type="dxa"/>
            </w:tcMar>
          </w:tcPr>
          <w:p>
            <w:pPr>
              <w:jc w:val="center"/>
            </w:pPr>
            <w:r>
              <w:rPr>
                <w:rFonts w:ascii="Times New Roman" w:hAnsi="Times New Roman"/>
                <w:sz w:val="16"/>
              </w:rPr>
              <w:t>No (Network-centric)</w:t>
            </w:r>
          </w:p>
        </w:tc>
        <w:tc>
          <w:tcPr>
            <w:tcW w:type="dxa" w:w="1680"/>
            <w:tcMar>
              <w:top w:w="70" w:type="dxa"/>
              <w:bottom w:w="70" w:type="dxa"/>
              <w:left w:w="120" w:type="dxa"/>
              <w:right w:w="120" w:type="dxa"/>
            </w:tcMar>
          </w:tcPr>
          <w:p>
            <w:pPr>
              <w:jc w:val="center"/>
            </w:pPr>
            <w:r>
              <w:rPr>
                <w:rFonts w:ascii="Times New Roman" w:hAnsi="Times New Roman"/>
                <w:sz w:val="16"/>
              </w:rPr>
              <w:t>No</w:t>
            </w:r>
          </w:p>
        </w:tc>
        <w:tc>
          <w:tcPr>
            <w:tcW w:type="dxa" w:w="1680"/>
            <w:tcMar>
              <w:top w:w="70" w:type="dxa"/>
              <w:bottom w:w="70" w:type="dxa"/>
              <w:left w:w="120" w:type="dxa"/>
              <w:right w:w="120" w:type="dxa"/>
            </w:tcMar>
          </w:tcPr>
          <w:p>
            <w:pPr>
              <w:jc w:val="center"/>
            </w:pPr>
            <w:r>
              <w:rPr>
                <w:rFonts w:ascii="Times New Roman" w:hAnsi="Times New Roman"/>
                <w:sz w:val="16"/>
              </w:rPr>
              <w:t>No (Gradient access req.)</w:t>
            </w:r>
          </w:p>
        </w:tc>
        <w:tc>
          <w:tcPr>
            <w:tcW w:type="dxa" w:w="1680"/>
            <w:tcMar>
              <w:top w:w="70" w:type="dxa"/>
              <w:bottom w:w="70" w:type="dxa"/>
              <w:left w:w="120" w:type="dxa"/>
              <w:right w:w="120" w:type="dxa"/>
            </w:tcMar>
          </w:tcPr>
          <w:p>
            <w:pPr>
              <w:jc w:val="center"/>
            </w:pPr>
            <w:r>
              <w:rPr>
                <w:rFonts w:ascii="Times New Roman" w:hAnsi="Times New Roman"/>
                <w:sz w:val="16"/>
              </w:rPr>
              <w:t>No</w:t>
            </w:r>
          </w:p>
        </w:tc>
      </w:tr>
      <w:tr>
        <w:tc>
          <w:tcPr>
            <w:tcW w:type="dxa" w:w="1680"/>
            <w:tcMar>
              <w:top w:w="70" w:type="dxa"/>
              <w:bottom w:w="70" w:type="dxa"/>
              <w:left w:w="120" w:type="dxa"/>
              <w:right w:w="120" w:type="dxa"/>
            </w:tcMar>
            <w:shd w:val="clear" w:color="auto" w:fill="F8FAFC"/>
          </w:tcPr>
          <w:p>
            <w:r>
              <w:rPr>
                <w:rFonts w:ascii="Times New Roman" w:hAnsi="Times New Roman"/>
                <w:sz w:val="16"/>
              </w:rPr>
              <w:t>Error Detection Nets (DEDN [39])</w:t>
            </w:r>
          </w:p>
        </w:tc>
        <w:tc>
          <w:tcPr>
            <w:tcW w:type="dxa" w:w="1680"/>
            <w:tcMar>
              <w:top w:w="70" w:type="dxa"/>
              <w:bottom w:w="70" w:type="dxa"/>
              <w:left w:w="120" w:type="dxa"/>
              <w:right w:w="120" w:type="dxa"/>
            </w:tcMar>
            <w:shd w:val="clear" w:color="auto" w:fill="F8FAFC"/>
          </w:tcPr>
          <w:p>
            <w:pPr>
              <w:jc w:val="center"/>
            </w:pPr>
            <w:r>
              <w:rPr>
                <w:rFonts w:ascii="Times New Roman" w:hAnsi="Times New Roman"/>
                <w:sz w:val="16"/>
              </w:rPr>
              <w:t>Yes (Pixel error prediction)</w:t>
            </w:r>
          </w:p>
        </w:tc>
        <w:tc>
          <w:tcPr>
            <w:tcW w:type="dxa" w:w="1680"/>
            <w:tcMar>
              <w:top w:w="70" w:type="dxa"/>
              <w:bottom w:w="70" w:type="dxa"/>
              <w:left w:w="120" w:type="dxa"/>
              <w:right w:w="120" w:type="dxa"/>
            </w:tcMar>
            <w:shd w:val="clear" w:color="auto" w:fill="F8FAFC"/>
          </w:tcPr>
          <w:p>
            <w:pPr>
              <w:jc w:val="center"/>
            </w:pPr>
            <w:r>
              <w:rPr>
                <w:rFonts w:ascii="Times New Roman" w:hAnsi="Times New Roman"/>
                <w:sz w:val="16"/>
              </w:rPr>
              <w:t>No (Black box)</w:t>
            </w:r>
          </w:p>
        </w:tc>
        <w:tc>
          <w:tcPr>
            <w:tcW w:type="dxa" w:w="1680"/>
            <w:tcMar>
              <w:top w:w="70" w:type="dxa"/>
              <w:bottom w:w="70" w:type="dxa"/>
              <w:left w:w="120" w:type="dxa"/>
              <w:right w:w="120" w:type="dxa"/>
            </w:tcMar>
            <w:shd w:val="clear" w:color="auto" w:fill="F8FAFC"/>
          </w:tcPr>
          <w:p>
            <w:pPr>
              <w:jc w:val="center"/>
            </w:pPr>
            <w:r>
              <w:rPr>
                <w:rFonts w:ascii="Times New Roman" w:hAnsi="Times New Roman"/>
                <w:sz w:val="16"/>
              </w:rPr>
              <w:t>No</w:t>
            </w:r>
          </w:p>
        </w:tc>
        <w:tc>
          <w:tcPr>
            <w:tcW w:type="dxa" w:w="1680"/>
            <w:tcMar>
              <w:top w:w="70" w:type="dxa"/>
              <w:bottom w:w="70" w:type="dxa"/>
              <w:left w:w="120" w:type="dxa"/>
              <w:right w:w="120" w:type="dxa"/>
            </w:tcMar>
            <w:shd w:val="clear" w:color="auto" w:fill="F8FAFC"/>
          </w:tcPr>
          <w:p>
            <w:pPr>
              <w:jc w:val="center"/>
            </w:pPr>
            <w:r>
              <w:rPr>
                <w:rFonts w:ascii="Times New Roman" w:hAnsi="Times New Roman"/>
                <w:sz w:val="16"/>
              </w:rPr>
              <w:t>No (Requires retraining)</w:t>
            </w:r>
          </w:p>
        </w:tc>
        <w:tc>
          <w:tcPr>
            <w:tcW w:type="dxa" w:w="1680"/>
            <w:tcMar>
              <w:top w:w="70" w:type="dxa"/>
              <w:bottom w:w="70" w:type="dxa"/>
              <w:left w:w="120" w:type="dxa"/>
              <w:right w:w="120" w:type="dxa"/>
            </w:tcMar>
            <w:shd w:val="clear" w:color="auto" w:fill="F8FAFC"/>
          </w:tcPr>
          <w:p>
            <w:pPr>
              <w:jc w:val="center"/>
            </w:pPr>
            <w:r>
              <w:rPr>
                <w:rFonts w:ascii="Times New Roman" w:hAnsi="Times New Roman"/>
                <w:sz w:val="16"/>
              </w:rPr>
              <w:t>Yes</w:t>
            </w:r>
          </w:p>
        </w:tc>
      </w:tr>
      <w:tr>
        <w:tc>
          <w:tcPr>
            <w:tcW w:type="dxa" w:w="1680"/>
            <w:tcMar>
              <w:top w:w="70" w:type="dxa"/>
              <w:bottom w:w="70" w:type="dxa"/>
              <w:left w:w="120" w:type="dxa"/>
              <w:right w:w="120" w:type="dxa"/>
            </w:tcMar>
          </w:tcPr>
          <w:p>
            <w:r>
              <w:rPr>
                <w:rFonts w:ascii="Times New Roman" w:hAnsi="Times New Roman"/>
                <w:sz w:val="16"/>
              </w:rPr>
              <w:t>RoboDepth Benchmark (Kong et al. [15])</w:t>
            </w:r>
          </w:p>
        </w:tc>
        <w:tc>
          <w:tcPr>
            <w:tcW w:type="dxa" w:w="1680"/>
            <w:tcMar>
              <w:top w:w="70" w:type="dxa"/>
              <w:bottom w:w="70" w:type="dxa"/>
              <w:left w:w="120" w:type="dxa"/>
              <w:right w:w="120" w:type="dxa"/>
            </w:tcMar>
          </w:tcPr>
          <w:p>
            <w:pPr>
              <w:jc w:val="center"/>
            </w:pPr>
            <w:r>
              <w:rPr>
                <w:rFonts w:ascii="Times New Roman" w:hAnsi="Times New Roman"/>
                <w:sz w:val="16"/>
              </w:rPr>
              <w:t>No (Dataset-level corruption)</w:t>
            </w:r>
          </w:p>
        </w:tc>
        <w:tc>
          <w:tcPr>
            <w:tcW w:type="dxa" w:w="1680"/>
            <w:tcMar>
              <w:top w:w="70" w:type="dxa"/>
              <w:bottom w:w="70" w:type="dxa"/>
              <w:left w:w="120" w:type="dxa"/>
              <w:right w:w="120" w:type="dxa"/>
            </w:tcMar>
          </w:tcPr>
          <w:p>
            <w:pPr>
              <w:jc w:val="center"/>
            </w:pPr>
            <w:r>
              <w:rPr>
                <w:rFonts w:ascii="Times New Roman" w:hAnsi="Times New Roman"/>
                <w:sz w:val="16"/>
              </w:rPr>
              <w:t>Corruptions only</w:t>
            </w:r>
          </w:p>
        </w:tc>
        <w:tc>
          <w:tcPr>
            <w:tcW w:type="dxa" w:w="1680"/>
            <w:tcMar>
              <w:top w:w="70" w:type="dxa"/>
              <w:bottom w:w="70" w:type="dxa"/>
              <w:left w:w="120" w:type="dxa"/>
              <w:right w:w="120" w:type="dxa"/>
            </w:tcMar>
          </w:tcPr>
          <w:p>
            <w:pPr>
              <w:jc w:val="center"/>
            </w:pPr>
            <w:r>
              <w:rPr>
                <w:rFonts w:ascii="Times New Roman" w:hAnsi="Times New Roman"/>
                <w:sz w:val="16"/>
              </w:rPr>
              <w:t>No</w:t>
            </w:r>
          </w:p>
        </w:tc>
        <w:tc>
          <w:tcPr>
            <w:tcW w:type="dxa" w:w="1680"/>
            <w:tcMar>
              <w:top w:w="70" w:type="dxa"/>
              <w:bottom w:w="70" w:type="dxa"/>
              <w:left w:w="120" w:type="dxa"/>
              <w:right w:w="120" w:type="dxa"/>
            </w:tcMar>
          </w:tcPr>
          <w:p>
            <w:pPr>
              <w:jc w:val="center"/>
            </w:pPr>
            <w:r>
              <w:rPr>
                <w:rFonts w:ascii="Times New Roman" w:hAnsi="Times New Roman"/>
                <w:sz w:val="16"/>
              </w:rPr>
              <w:t>Yes</w:t>
            </w:r>
          </w:p>
        </w:tc>
        <w:tc>
          <w:tcPr>
            <w:tcW w:type="dxa" w:w="1680"/>
            <w:tcMar>
              <w:top w:w="70" w:type="dxa"/>
              <w:bottom w:w="70" w:type="dxa"/>
              <w:left w:w="120" w:type="dxa"/>
              <w:right w:w="120" w:type="dxa"/>
            </w:tcMar>
          </w:tcPr>
          <w:p>
            <w:pPr>
              <w:jc w:val="center"/>
            </w:pPr>
            <w:r>
              <w:rPr>
                <w:rFonts w:ascii="Times New Roman" w:hAnsi="Times New Roman"/>
                <w:sz w:val="16"/>
              </w:rPr>
              <w:t>Yes</w:t>
            </w:r>
          </w:p>
        </w:tc>
      </w:tr>
      <w:tr>
        <w:tc>
          <w:tcPr>
            <w:tcW w:type="dxa" w:w="1680"/>
            <w:tcMar>
              <w:top w:w="70" w:type="dxa"/>
              <w:bottom w:w="70" w:type="dxa"/>
              <w:left w:w="120" w:type="dxa"/>
              <w:right w:w="120" w:type="dxa"/>
            </w:tcMar>
            <w:shd w:val="clear" w:color="auto" w:fill="ECFDF5"/>
          </w:tcPr>
          <w:p>
            <w:r>
              <w:rPr>
                <w:rFonts w:ascii="Times New Roman" w:hAnsi="Times New Roman"/>
                <w:b/>
                <w:sz w:val="16"/>
              </w:rPr>
              <w:t>Vision Error Observatory (VEO - Ours)</w:t>
            </w:r>
          </w:p>
        </w:tc>
        <w:tc>
          <w:tcPr>
            <w:tcW w:type="dxa" w:w="1680"/>
            <w:tcMar>
              <w:top w:w="70" w:type="dxa"/>
              <w:bottom w:w="70" w:type="dxa"/>
              <w:left w:w="120" w:type="dxa"/>
              <w:right w:w="120" w:type="dxa"/>
            </w:tcMar>
            <w:shd w:val="clear" w:color="auto" w:fill="ECFDF5"/>
          </w:tcPr>
          <w:p>
            <w:pPr>
              <w:jc w:val="center"/>
            </w:pPr>
            <w:r>
              <w:rPr>
                <w:rFonts w:ascii="Times New Roman" w:hAnsi="Times New Roman"/>
                <w:b/>
                <w:sz w:val="16"/>
              </w:rPr>
              <w:t>Yes (Connected failure regions)</w:t>
            </w:r>
          </w:p>
        </w:tc>
        <w:tc>
          <w:tcPr>
            <w:tcW w:type="dxa" w:w="1680"/>
            <w:tcMar>
              <w:top w:w="70" w:type="dxa"/>
              <w:bottom w:w="70" w:type="dxa"/>
              <w:left w:w="120" w:type="dxa"/>
              <w:right w:w="120" w:type="dxa"/>
            </w:tcMar>
            <w:shd w:val="clear" w:color="auto" w:fill="ECFDF5"/>
          </w:tcPr>
          <w:p>
            <w:pPr>
              <w:jc w:val="center"/>
            </w:pPr>
            <w:r>
              <w:rPr>
                <w:rFonts w:ascii="Times New Roman" w:hAnsi="Times New Roman"/>
                <w:b/>
                <w:sz w:val="16"/>
              </w:rPr>
              <w:t>Yes (7-class interpretable rules)</w:t>
            </w:r>
          </w:p>
        </w:tc>
        <w:tc>
          <w:tcPr>
            <w:tcW w:type="dxa" w:w="1680"/>
            <w:tcMar>
              <w:top w:w="70" w:type="dxa"/>
              <w:bottom w:w="70" w:type="dxa"/>
              <w:left w:w="120" w:type="dxa"/>
              <w:right w:w="120" w:type="dxa"/>
            </w:tcMar>
            <w:shd w:val="clear" w:color="auto" w:fill="ECFDF5"/>
          </w:tcPr>
          <w:p>
            <w:pPr>
              <w:jc w:val="center"/>
            </w:pPr>
            <w:r>
              <w:rPr>
                <w:rFonts w:ascii="Times New Roman" w:hAnsi="Times New Roman"/>
                <w:b/>
                <w:sz w:val="16"/>
              </w:rPr>
              <w:t>Yes (7 visual &amp; geometric signals)</w:t>
            </w:r>
          </w:p>
        </w:tc>
        <w:tc>
          <w:tcPr>
            <w:tcW w:type="dxa" w:w="1680"/>
            <w:tcMar>
              <w:top w:w="70" w:type="dxa"/>
              <w:bottom w:w="70" w:type="dxa"/>
              <w:left w:w="120" w:type="dxa"/>
              <w:right w:w="120" w:type="dxa"/>
            </w:tcMar>
            <w:shd w:val="clear" w:color="auto" w:fill="ECFDF5"/>
          </w:tcPr>
          <w:p>
            <w:pPr>
              <w:jc w:val="center"/>
            </w:pPr>
            <w:r>
              <w:rPr>
                <w:rFonts w:ascii="Times New Roman" w:hAnsi="Times New Roman"/>
                <w:b/>
                <w:sz w:val="16"/>
              </w:rPr>
              <w:t>Yes (Zero weight/gradient access)</w:t>
            </w:r>
          </w:p>
        </w:tc>
        <w:tc>
          <w:tcPr>
            <w:tcW w:type="dxa" w:w="1680"/>
            <w:tcMar>
              <w:top w:w="70" w:type="dxa"/>
              <w:bottom w:w="70" w:type="dxa"/>
              <w:left w:w="120" w:type="dxa"/>
              <w:right w:w="120" w:type="dxa"/>
            </w:tcMar>
            <w:shd w:val="clear" w:color="auto" w:fill="ECFDF5"/>
          </w:tcPr>
          <w:p>
            <w:pPr>
              <w:jc w:val="center"/>
            </w:pPr>
            <w:r>
              <w:rPr>
                <w:rFonts w:ascii="Times New Roman" w:hAnsi="Times New Roman"/>
                <w:b/>
                <w:sz w:val="16"/>
              </w:rPr>
              <w:t>Yes (Offline diagnostic audit)</w:t>
            </w:r>
          </w:p>
        </w:tc>
      </w:tr>
    </w:tbl>
    <w:p>
      <w:pPr>
        <w:keepNext/>
        <w:spacing w:before="280" w:after="80"/>
        <w:jc w:val="center"/>
      </w:pPr>
      <w:r>
        <w:rPr>
          <w:rFonts w:ascii="Times New Roman" w:hAnsi="Times New Roman"/>
          <w:b/>
          <w:color w:val="0A2540"/>
          <w:sz w:val="21"/>
        </w:rPr>
        <w:t>III. THE VEO DIAGNOSTIC ARCHITECTURE</w:t>
      </w:r>
    </w:p>
    <w:p>
      <w:pPr>
        <w:spacing w:before="0" w:after="70" w:line="259" w:lineRule="auto"/>
        <w:jc w:val="both"/>
      </w:pPr>
      <w:r>
        <w:rPr>
          <w:rFonts w:ascii="Times New Roman" w:hAnsi="Times New Roman"/>
          <w:b w:val="0"/>
          <w:i w:val="0"/>
          <w:sz w:val="20"/>
        </w:rPr>
        <w:t>VEO operates as an external, post-hoc observability layer divided into five decoupled mathematical modules (M1 through M5). It ingests an RGB image I ∈ R^{H×W×3}, a ground truth depth map D ∈ R^{H×W}, and a model prediction P ∈ R^{H×W}, producing an interpretable Diagnostic Scene Card, dense error heatmaps, and structured region attribution records, as shown in Fig. 1.</w:t>
      </w:r>
    </w:p>
    <w:p>
      <w:pPr>
        <w:keepNext/>
        <w:spacing w:before="200" w:after="60"/>
        <w:jc w:val="center"/>
      </w:pPr>
      <w:r>
        <w:drawing>
          <wp:inline xmlns:a="http://schemas.openxmlformats.org/drawingml/2006/main" xmlns:pic="http://schemas.openxmlformats.org/drawingml/2006/picture">
            <wp:extent cx="5669280" cy="3380571"/>
            <wp:docPr id="1" name="Picture 1"/>
            <wp:cNvGraphicFramePr>
              <a:graphicFrameLocks noChangeAspect="1"/>
            </wp:cNvGraphicFramePr>
            <a:graphic>
              <a:graphicData uri="http://schemas.openxmlformats.org/drawingml/2006/picture">
                <pic:pic>
                  <pic:nvPicPr>
                    <pic:cNvPr id="0" name="fig1_veo_architecture.png"/>
                    <pic:cNvPicPr/>
                  </pic:nvPicPr>
                  <pic:blipFill>
                    <a:blip r:embed="rId9"/>
                    <a:stretch>
                      <a:fillRect/>
                    </a:stretch>
                  </pic:blipFill>
                  <pic:spPr>
                    <a:xfrm>
                      <a:off x="0" y="0"/>
                      <a:ext cx="5669280" cy="3380571"/>
                    </a:xfrm>
                    <a:prstGeom prst="rect"/>
                  </pic:spPr>
                </pic:pic>
              </a:graphicData>
            </a:graphic>
          </wp:inline>
        </w:drawing>
      </w:r>
    </w:p>
    <w:p>
      <w:pPr>
        <w:spacing w:before="60" w:after="200" w:line="252" w:lineRule="auto"/>
        <w:ind w:left="288" w:right="288"/>
        <w:jc w:val="both"/>
      </w:pPr>
      <w:r>
        <w:rPr>
          <w:rFonts w:ascii="Times New Roman" w:hAnsi="Times New Roman"/>
          <w:b/>
          <w:color w:val="0A2540"/>
          <w:sz w:val="17"/>
        </w:rPr>
        <w:t xml:space="preserve">Fig. 1. </w:t>
      </w:r>
      <w:r>
        <w:rPr>
          <w:rFonts w:ascii="Times New Roman" w:hAnsi="Times New Roman"/>
          <w:b w:val="0"/>
          <w:i w:val="0"/>
          <w:sz w:val="17"/>
        </w:rPr>
        <w:t>End-to-end modular architecture of the Vision Error Observatory (VEO) framework, illustrating the sequential dataflow from raw RGB inputs and uncalibrated depth predictions through scale-shift alignment (M1), dense error computation (M2), spatial region segmentation (M3), multi-signal visual evidence extraction (M4), and rule-based cause attribution with calibrated ambiguity gating (M5). [Note: Architecture diagram generated using AI visualization tools].</w:t>
      </w:r>
    </w:p>
    <w:p>
      <w:pPr>
        <w:keepNext/>
        <w:spacing w:before="180" w:after="60"/>
        <w:jc w:val="left"/>
      </w:pPr>
      <w:r>
        <w:rPr>
          <w:rFonts w:ascii="Times New Roman" w:hAnsi="Times New Roman"/>
          <w:b/>
          <w:i/>
          <w:color w:val="1E3A8A"/>
          <w:sz w:val="20"/>
        </w:rPr>
        <w:t>A. Module M1: Scale-Shift Depth Alignment</w:t>
      </w:r>
    </w:p>
    <w:p>
      <w:pPr>
        <w:spacing w:before="0" w:after="70" w:line="259" w:lineRule="auto"/>
        <w:ind w:firstLine="288"/>
        <w:jc w:val="both"/>
      </w:pPr>
      <w:r>
        <w:rPr>
          <w:rFonts w:ascii="Times New Roman" w:hAnsi="Times New Roman"/>
          <w:b w:val="0"/>
          <w:i w:val="0"/>
          <w:sz w:val="20"/>
        </w:rPr>
        <w:t>Modern relative foundation models (e.g. Depth Anything V2) output affine-invariant disparity representations up to an unknown global scale s and shift b. M1 defines a valid pixel evaluation mask M_valid(i,j) = isfinite(D(i,j)) ∧ (D(i,j) &gt; 0) ∧ (D(i,j) ≤ D_max), capping evaluation at D_max = 10.0 m for NYU Depth V2. To prevent output-space geometry distortion, M1 fits scale and shift in inverse-depth space over all valid pixels via ordinary least squares (OLS):</w:t>
        <w:br/>
        <w:br/>
        <w:t xml:space="preserve">      arg min_{s, b} ∑_{(i,j) ∈ M_valid} [ (s · P(i,j) + b) - 1 / D(i,j) ]²        (1)</w:t>
        <w:br/>
        <w:br/>
        <w:t>The metric depth reconstruction is then recovered as D_hat(i,j) = 1 / max(s · P(i,j) + b, 10⁻⁶). As proved in Section V-B, inverse-depth alignment strictly guarantees positive scale slopes (s &gt; 0 in 244/244 test scenes), whereas direct depth fitting triggers catastrophic polarity reversal (s &lt; 0). For pretrained metric checkpoints (such as Hypersim metric models), alignment is disabled (s=1, b=0).</w:t>
      </w:r>
    </w:p>
    <w:p>
      <w:pPr>
        <w:keepNext/>
        <w:spacing w:before="180" w:after="60"/>
        <w:jc w:val="left"/>
      </w:pPr>
      <w:r>
        <w:rPr>
          <w:rFonts w:ascii="Times New Roman" w:hAnsi="Times New Roman"/>
          <w:b/>
          <w:i/>
          <w:color w:val="1E3A8A"/>
          <w:sz w:val="20"/>
        </w:rPr>
        <w:t>B. Module M2: Error Map Computation &amp; Baseline Metrics</w:t>
      </w:r>
    </w:p>
    <w:p>
      <w:pPr>
        <w:spacing w:before="0" w:after="70" w:line="259" w:lineRule="auto"/>
        <w:ind w:firstLine="288"/>
        <w:jc w:val="both"/>
      </w:pPr>
      <w:r>
        <w:rPr>
          <w:rFonts w:ascii="Times New Roman" w:hAnsi="Times New Roman"/>
          <w:b w:val="0"/>
          <w:i w:val="0"/>
          <w:sz w:val="20"/>
        </w:rPr>
        <w:t>M2 computes the dense relative error map E(i,j) = |D_hat(i,j) - D(i,j)| / D(i,j) for all (i,j) ∈ M_valid, alongside standard global metrics: Mean Absolute Error (MAE), Root Mean Squared Error (RMSE), Absolute Relative Error (AbsRel), Squared Relative Error (SqRel), threshold accuracies δ_k = P(max(D_hat/D, D/D_hat) &lt; 1.25^k) for k ∈ {1,2,3}, and Spearman rank correlation.</w:t>
      </w:r>
    </w:p>
    <w:p>
      <w:pPr>
        <w:keepNext/>
        <w:spacing w:before="180" w:after="60"/>
        <w:jc w:val="left"/>
      </w:pPr>
      <w:r>
        <w:rPr>
          <w:rFonts w:ascii="Times New Roman" w:hAnsi="Times New Roman"/>
          <w:b/>
          <w:i/>
          <w:color w:val="1E3A8A"/>
          <w:sz w:val="20"/>
        </w:rPr>
        <w:t>C. Module M3: Connected-Component Region Segmentation</w:t>
      </w:r>
    </w:p>
    <w:p>
      <w:pPr>
        <w:spacing w:before="0" w:after="70" w:line="259" w:lineRule="auto"/>
        <w:ind w:firstLine="288"/>
        <w:jc w:val="both"/>
      </w:pPr>
      <w:r>
        <w:rPr>
          <w:rFonts w:ascii="Times New Roman" w:hAnsi="Times New Roman"/>
          <w:b w:val="0"/>
          <w:i w:val="0"/>
          <w:sz w:val="20"/>
        </w:rPr>
        <w:t>To isolate structured failure regions from random sensor noise, M3 calculates an image-adaptive threshold τ equal to the 85th percentile of valid-pixel relative error: τ = Percentile(E_{M_valid}, 85.0). A binary high-error mask B(i,j) = (E(i,j) &gt; τ) ∧ M_valid(i,j) is constructed. Spatial connected components are segmented using 8-connectivity morphological labeling. Any region R_k with area |R_k| &lt; 25 pixels is pruned as noise, yielding a set of K failure clusters with tight bounding boxes [x0, y0, w, h].</w:t>
      </w:r>
    </w:p>
    <w:p>
      <w:pPr>
        <w:keepNext/>
        <w:spacing w:before="180" w:after="60"/>
        <w:jc w:val="left"/>
      </w:pPr>
      <w:r>
        <w:rPr>
          <w:rFonts w:ascii="Times New Roman" w:hAnsi="Times New Roman"/>
          <w:b/>
          <w:i/>
          <w:color w:val="1E3A8A"/>
          <w:sz w:val="20"/>
        </w:rPr>
        <w:t>D. Module M4: Multi-Signal Visual Evidence Extraction</w:t>
      </w:r>
    </w:p>
    <w:p>
      <w:pPr>
        <w:spacing w:before="0" w:after="70" w:line="259" w:lineRule="auto"/>
        <w:ind w:firstLine="288"/>
        <w:jc w:val="both"/>
      </w:pPr>
      <w:r>
        <w:rPr>
          <w:rFonts w:ascii="Times New Roman" w:hAnsi="Times New Roman"/>
          <w:b w:val="0"/>
          <w:i w:val="0"/>
          <w:sz w:val="20"/>
        </w:rPr>
        <w:t>For each isolated failure region R_k, M4 queries the co-registered RGB patch and depth patch to extract a 7-dimensional evidence vector e_k:</w:t>
      </w:r>
    </w:p>
    <w:p>
      <w:pPr>
        <w:spacing w:before="0" w:after="50" w:line="252" w:lineRule="auto"/>
        <w:ind w:left="360" w:hanging="216"/>
        <w:jc w:val="both"/>
      </w:pPr>
      <w:r>
        <w:rPr>
          <w:rFonts w:ascii="Times New Roman" w:hAnsi="Times New Roman"/>
          <w:b/>
          <w:sz w:val="19"/>
        </w:rPr>
        <w:t xml:space="preserve">1. Texture Variance (texture_var): </w:t>
      </w:r>
      <w:r>
        <w:rPr>
          <w:rFonts w:ascii="Times New Roman" w:hAnsi="Times New Roman"/>
          <w:b w:val="0"/>
          <w:i w:val="0"/>
          <w:sz w:val="19"/>
        </w:rPr>
        <w:t>Variance of grayscale pixel intensities within R_k: Var(I_gray(R_k)). Low values reflect featureless walls, floors, or doors.</w:t>
      </w:r>
    </w:p>
    <w:p>
      <w:pPr>
        <w:spacing w:before="0" w:after="50" w:line="252" w:lineRule="auto"/>
        <w:ind w:left="360" w:hanging="216"/>
        <w:jc w:val="both"/>
      </w:pPr>
      <w:r>
        <w:rPr>
          <w:rFonts w:ascii="Times New Roman" w:hAnsi="Times New Roman"/>
          <w:b/>
          <w:sz w:val="19"/>
        </w:rPr>
        <w:t xml:space="preserve">2. Canny Edge Density (edge_density): </w:t>
      </w:r>
      <w:r>
        <w:rPr>
          <w:rFonts w:ascii="Times New Roman" w:hAnsi="Times New Roman"/>
          <w:b w:val="0"/>
          <w:i w:val="0"/>
          <w:sz w:val="19"/>
        </w:rPr>
        <w:t>Mean edge response detected via Canny filtering (T_low=100, T_high=200) inside R_k divided by 255. High values identify depth boundaries.</w:t>
      </w:r>
    </w:p>
    <w:p>
      <w:pPr>
        <w:spacing w:before="0" w:after="50" w:line="252" w:lineRule="auto"/>
        <w:ind w:left="360" w:hanging="216"/>
        <w:jc w:val="both"/>
      </w:pPr>
      <w:r>
        <w:rPr>
          <w:rFonts w:ascii="Times New Roman" w:hAnsi="Times New Roman"/>
          <w:b/>
          <w:sz w:val="19"/>
        </w:rPr>
        <w:t xml:space="preserve">3. Mean Brightness (brightness): </w:t>
      </w:r>
      <w:r>
        <w:rPr>
          <w:rFonts w:ascii="Times New Roman" w:hAnsi="Times New Roman"/>
          <w:b w:val="0"/>
          <w:i w:val="0"/>
          <w:sz w:val="19"/>
        </w:rPr>
        <w:t xml:space="preserve">Average luminance intensity μ_gray(R_k) in </w:t>
      </w:r>
      <w:r>
        <w:rPr>
          <w:rFonts w:ascii="Times New Roman" w:hAnsi="Times New Roman"/>
          <w:sz w:val="19"/>
        </w:rPr>
        <w:t>[</w:t>
      </w:r>
      <w:hyperlink w:anchor="ref_0" w:history="1">
        <w:r>
          <w:rPr>
            <w:color w:val="003399"/>
            <w:rFonts w:ascii="Times New Roman" w:hAnsi="Times New Roman"/>
            <w:b/>
          </w:rPr>
          <w:t>0</w:t>
        </w:r>
      </w:hyperlink>
      <w:r>
        <w:rPr>
          <w:rFonts w:ascii="Times New Roman" w:hAnsi="Times New Roman"/>
          <w:sz w:val="19"/>
        </w:rPr>
        <w:t xml:space="preserve">, </w:t>
      </w:r>
      <w:hyperlink w:anchor="ref_255" w:history="1">
        <w:r>
          <w:rPr>
            <w:color w:val="003399"/>
            <w:rFonts w:ascii="Times New Roman" w:hAnsi="Times New Roman"/>
            <w:b/>
          </w:rPr>
          <w:t>255</w:t>
        </w:r>
      </w:hyperlink>
      <w:r>
        <w:rPr>
          <w:rFonts w:ascii="Times New Roman" w:hAnsi="Times New Roman"/>
          <w:sz w:val="19"/>
        </w:rPr>
        <w:t>]</w:t>
      </w:r>
      <w:r>
        <w:rPr>
          <w:rFonts w:ascii="Times New Roman" w:hAnsi="Times New Roman"/>
          <w:b w:val="0"/>
          <w:i w:val="0"/>
          <w:sz w:val="19"/>
        </w:rPr>
        <w:t>, identifying underexposed shadows or overexposed lighting.</w:t>
      </w:r>
    </w:p>
    <w:p>
      <w:pPr>
        <w:spacing w:before="0" w:after="50" w:line="252" w:lineRule="auto"/>
        <w:ind w:left="360" w:hanging="216"/>
        <w:jc w:val="both"/>
      </w:pPr>
      <w:r>
        <w:rPr>
          <w:rFonts w:ascii="Times New Roman" w:hAnsi="Times New Roman"/>
          <w:b/>
          <w:sz w:val="19"/>
        </w:rPr>
        <w:t xml:space="preserve">4. Local Contrast (contrast): </w:t>
      </w:r>
      <w:r>
        <w:rPr>
          <w:rFonts w:ascii="Times New Roman" w:hAnsi="Times New Roman"/>
          <w:b w:val="0"/>
          <w:i w:val="0"/>
          <w:sz w:val="19"/>
        </w:rPr>
        <w:t>Standard deviation of luminance σ_gray(R_k) within the region mask.</w:t>
      </w:r>
    </w:p>
    <w:p>
      <w:pPr>
        <w:spacing w:before="0" w:after="50" w:line="252" w:lineRule="auto"/>
        <w:ind w:left="360" w:hanging="216"/>
        <w:jc w:val="both"/>
      </w:pPr>
      <w:r>
        <w:rPr>
          <w:rFonts w:ascii="Times New Roman" w:hAnsi="Times New Roman"/>
          <w:b/>
          <w:sz w:val="19"/>
        </w:rPr>
        <w:t xml:space="preserve">5. Specular Highlight Ratio (highlight_ratio): </w:t>
      </w:r>
      <w:r>
        <w:rPr>
          <w:rFonts w:ascii="Times New Roman" w:hAnsi="Times New Roman"/>
          <w:b w:val="0"/>
          <w:i w:val="0"/>
          <w:sz w:val="19"/>
        </w:rPr>
        <w:t>Fraction of pixels satisfying (V &gt; 200) ∧ (S &lt; 40) in HSV color space, identifying non-Lambertian glares.</w:t>
      </w:r>
    </w:p>
    <w:p>
      <w:pPr>
        <w:spacing w:before="0" w:after="50" w:line="252" w:lineRule="auto"/>
        <w:ind w:left="360" w:hanging="216"/>
        <w:jc w:val="both"/>
      </w:pPr>
      <w:r>
        <w:rPr>
          <w:rFonts w:ascii="Times New Roman" w:hAnsi="Times New Roman"/>
          <w:b/>
          <w:sz w:val="19"/>
        </w:rPr>
        <w:t xml:space="preserve">6. Aspect Ratio (aspect_ratio): </w:t>
      </w:r>
      <w:r>
        <w:rPr>
          <w:rFonts w:ascii="Times New Roman" w:hAnsi="Times New Roman"/>
          <w:b w:val="0"/>
          <w:i w:val="0"/>
          <w:sz w:val="19"/>
        </w:rPr>
        <w:t>Bounding-box elongation ratio max(w, h) / max(min(w, h), 1), isolating slender furniture legs and rods.</w:t>
      </w:r>
    </w:p>
    <w:p>
      <w:pPr>
        <w:spacing w:before="0" w:after="50" w:line="252" w:lineRule="auto"/>
        <w:ind w:left="360" w:hanging="216"/>
        <w:jc w:val="both"/>
      </w:pPr>
      <w:r>
        <w:rPr>
          <w:rFonts w:ascii="Times New Roman" w:hAnsi="Times New Roman"/>
          <w:b/>
          <w:sz w:val="19"/>
        </w:rPr>
        <w:t xml:space="preserve">7. Depth Discontinuity (depth_discontinuity): </w:t>
      </w:r>
      <w:r>
        <w:rPr>
          <w:rFonts w:ascii="Times New Roman" w:hAnsi="Times New Roman"/>
          <w:b w:val="0"/>
          <w:i w:val="0"/>
          <w:sz w:val="19"/>
        </w:rPr>
        <w:t>Boundary gradient magnitude. Eroding R_k with a 3×3 kernel yields boundary band B_R = R_k ∧ ¬Erode(R_k). Discontinuity is computed as the mean Euclidean depth gradient √(g_x² + g_y²) along B_R.</w:t>
      </w:r>
    </w:p>
    <w:p>
      <w:pPr>
        <w:keepNext/>
        <w:spacing w:before="180" w:after="60"/>
        <w:jc w:val="left"/>
      </w:pPr>
      <w:r>
        <w:rPr>
          <w:rFonts w:ascii="Times New Roman" w:hAnsi="Times New Roman"/>
          <w:b/>
          <w:i/>
          <w:color w:val="1E3A8A"/>
          <w:sz w:val="20"/>
        </w:rPr>
        <w:t>E. Module M5: Rule-Based Cause Attribution &amp; Calibrated Ambiguity Gate</w:t>
      </w:r>
    </w:p>
    <w:p>
      <w:pPr>
        <w:spacing w:before="0" w:after="70" w:line="259" w:lineRule="auto"/>
        <w:ind w:firstLine="288"/>
        <w:jc w:val="both"/>
      </w:pPr>
      <w:r>
        <w:rPr>
          <w:rFonts w:ascii="Times New Roman" w:hAnsi="Times New Roman"/>
          <w:b w:val="0"/>
          <w:i w:val="0"/>
          <w:sz w:val="20"/>
        </w:rPr>
        <w:t xml:space="preserve">M5 normalizes evidence features into unit scores in </w:t>
      </w:r>
      <w:r>
        <w:rPr>
          <w:rFonts w:ascii="Times New Roman" w:hAnsi="Times New Roman"/>
          <w:sz w:val="20"/>
        </w:rPr>
        <w:t>[</w:t>
      </w:r>
      <w:hyperlink w:anchor="ref_0" w:history="1">
        <w:r>
          <w:rPr>
            <w:color w:val="003399"/>
            <w:rFonts w:ascii="Times New Roman" w:hAnsi="Times New Roman"/>
            <w:b/>
          </w:rPr>
          <w:t>0</w:t>
        </w:r>
      </w:hyperlink>
      <w:r>
        <w:rPr>
          <w:rFonts w:ascii="Times New Roman" w:hAnsi="Times New Roman"/>
          <w:sz w:val="20"/>
        </w:rPr>
        <w:t xml:space="preserve">, </w:t>
      </w:r>
      <w:hyperlink w:anchor="ref_1" w:history="1">
        <w:r>
          <w:rPr>
            <w:color w:val="003399"/>
            <w:rFonts w:ascii="Times New Roman" w:hAnsi="Times New Roman"/>
            <w:b/>
          </w:rPr>
          <w:t>1</w:t>
        </w:r>
      </w:hyperlink>
      <w:r>
        <w:rPr>
          <w:rFonts w:ascii="Times New Roman" w:hAnsi="Times New Roman"/>
          <w:sz w:val="20"/>
        </w:rPr>
        <w:t>]</w:t>
      </w:r>
      <w:r>
        <w:rPr>
          <w:rFonts w:ascii="Times New Roman" w:hAnsi="Times New Roman"/>
          <w:b w:val="0"/>
          <w:i w:val="0"/>
          <w:sz w:val="20"/>
        </w:rPr>
        <w:t xml:space="preserve"> using frozen domain scaling parameters calibrated on validation scenes:</w:t>
        <w:br/>
        <w:t>• score_textureless = clip(1.0 - texture_var / 500.0, 0, 1)</w:t>
        <w:br/>
        <w:t>• score_boundary = clip(edge_density × 3.0, 0, 1)</w:t>
        <w:br/>
        <w:t>• score_lighting = clip(1.0 - contrast / 60.0, 0, 1)  if (brightness &lt; 60 ∨ brightness &gt; 200) else 0.0</w:t>
        <w:br/>
        <w:t>• score_thin = clip((aspect_ratio - 3.0) / 5.0, 0, 1)</w:t>
        <w:br/>
        <w:t>• score_occlusion = clip(depth_discontinuity / 1.0, 0, 1)</w:t>
        <w:br/>
        <w:t>• score_reflection = clip(highlight_ratio × 5.0, 0, 1)</w:t>
        <w:br/>
        <w:br/>
        <w:t>The scores are ranked: s_{(1)} ≥ s_{(2)}. To prevent forced misclassifications, VEO implements a calibrated Ambiguity Gate: if the leading score s_{(1)} &lt; 0.40 (weak overall evidence) OR the score margin Δ = s_{(1)} - s_{(2)} &lt; 0.10 (competing hypotheses), the region is classified as 'ambiguous' with Low confidence. Otherwise, the top category is assigned with High (s_{(1)} &gt; 0.60) or Medium confidence.</w:t>
      </w:r>
    </w:p>
    <w:p>
      <w:pPr>
        <w:keepNext/>
        <w:spacing w:before="280" w:after="80"/>
        <w:jc w:val="center"/>
      </w:pPr>
      <w:r>
        <w:rPr>
          <w:rFonts w:ascii="Times New Roman" w:hAnsi="Times New Roman"/>
          <w:b/>
          <w:color w:val="0A2540"/>
          <w:sz w:val="21"/>
        </w:rPr>
        <w:t>IV. EXPERIMENTAL SETUP AND PROTOCOL DISCIPLINE</w:t>
      </w:r>
    </w:p>
    <w:p>
      <w:pPr>
        <w:keepNext/>
        <w:spacing w:before="180" w:after="60"/>
        <w:jc w:val="left"/>
      </w:pPr>
      <w:r>
        <w:rPr>
          <w:rFonts w:ascii="Times New Roman" w:hAnsi="Times New Roman"/>
          <w:b/>
          <w:i/>
          <w:color w:val="1E3A8A"/>
          <w:sz w:val="20"/>
        </w:rPr>
        <w:t>A. Dataset &amp; Scene-Disjoint Partitioning Policy</w:t>
      </w:r>
    </w:p>
    <w:p>
      <w:pPr>
        <w:spacing w:before="0" w:after="70" w:line="259" w:lineRule="auto"/>
        <w:ind w:firstLine="288"/>
        <w:jc w:val="both"/>
      </w:pPr>
      <w:r>
        <w:rPr>
          <w:rFonts w:ascii="Times New Roman" w:hAnsi="Times New Roman"/>
          <w:b w:val="0"/>
          <w:i w:val="0"/>
          <w:sz w:val="20"/>
        </w:rPr>
        <w:t xml:space="preserve">Evaluation is conducted on the official NYU Depth V2 dataset </w:t>
      </w:r>
      <w:r>
        <w:rPr>
          <w:rFonts w:ascii="Times New Roman" w:hAnsi="Times New Roman"/>
          <w:sz w:val="20"/>
        </w:rPr>
        <w:t>[</w:t>
      </w:r>
      <w:hyperlink w:anchor="ref_21" w:history="1">
        <w:r>
          <w:rPr>
            <w:color w:val="003399"/>
            <w:rFonts w:ascii="Times New Roman" w:hAnsi="Times New Roman"/>
            <w:b/>
          </w:rPr>
          <w:t>21</w:t>
        </w:r>
      </w:hyperlink>
      <w:r>
        <w:rPr>
          <w:rFonts w:ascii="Times New Roman" w:hAnsi="Times New Roman"/>
          <w:sz w:val="20"/>
        </w:rPr>
        <w:t>]</w:t>
      </w:r>
      <w:r>
        <w:rPr>
          <w:rFonts w:ascii="Times New Roman" w:hAnsi="Times New Roman"/>
          <w:b w:val="0"/>
          <w:i w:val="0"/>
          <w:sz w:val="20"/>
        </w:rPr>
        <w:t>, containing 1,449 densely labeled indoor RGB-D pairs. Adhering to our research protocol, all samples are partitioned deterministically (seed = 42) at the scene level into 70% Development (1,009 images), 15% Validation (196 images), and 15% Test (244 images). Scene-level partitioning guarantees zero visual overlap between partitions, preventing data leakage present in frame-randomized splits. Depth values are evaluated in metric meters with depth_scale = 1000.0 and max_depth = 10.0 m. In accordance with our frozen scope, KITTI is explicitly excluded from this study due to sparse LiDAR projection artifacts and distinct outdoor assumptions.</w:t>
      </w:r>
    </w:p>
    <w:p>
      <w:pPr>
        <w:keepNext/>
        <w:spacing w:before="180" w:after="60"/>
        <w:jc w:val="left"/>
      </w:pPr>
      <w:r>
        <w:rPr>
          <w:rFonts w:ascii="Times New Roman" w:hAnsi="Times New Roman"/>
          <w:b/>
          <w:i/>
          <w:color w:val="1E3A8A"/>
          <w:sz w:val="20"/>
        </w:rPr>
        <w:t>B. Evaluated Model Architectures</w:t>
      </w:r>
    </w:p>
    <w:p>
      <w:pPr>
        <w:spacing w:before="0" w:after="70" w:line="259" w:lineRule="auto"/>
        <w:ind w:firstLine="288"/>
        <w:jc w:val="both"/>
      </w:pPr>
      <w:r>
        <w:rPr>
          <w:rFonts w:ascii="Times New Roman" w:hAnsi="Times New Roman"/>
          <w:b w:val="0"/>
          <w:i w:val="0"/>
          <w:sz w:val="20"/>
        </w:rPr>
        <w:t xml:space="preserve">We evaluate two prominent vision transformer depth architectures: (1) Depth Anything V2 Small (depth-anything/Depth-Anything-V2-Small-hf), employing a ViT-Small backbone (24.8M parameters) with a DPT neck trained via massive semi-supervised teacher-student distillation </w:t>
      </w:r>
      <w:r>
        <w:rPr>
          <w:rFonts w:ascii="Times New Roman" w:hAnsi="Times New Roman"/>
          <w:sz w:val="20"/>
        </w:rPr>
        <w:t>[</w:t>
      </w:r>
      <w:hyperlink w:anchor="ref_10" w:history="1">
        <w:r>
          <w:rPr>
            <w:color w:val="003399"/>
            <w:rFonts w:ascii="Times New Roman" w:hAnsi="Times New Roman"/>
            <w:b/>
          </w:rPr>
          <w:t>10</w:t>
        </w:r>
      </w:hyperlink>
      <w:r>
        <w:rPr>
          <w:rFonts w:ascii="Times New Roman" w:hAnsi="Times New Roman"/>
          <w:sz w:val="20"/>
        </w:rPr>
        <w:t>]</w:t>
      </w:r>
      <w:r>
        <w:rPr>
          <w:rFonts w:ascii="Times New Roman" w:hAnsi="Times New Roman"/>
          <w:b w:val="0"/>
          <w:i w:val="0"/>
          <w:sz w:val="20"/>
        </w:rPr>
        <w:t xml:space="preserve">; and (2) DPT-Hybrid-MiDaS (Intel/dpt-hybrid-midas), combining a ResNet-50 convolutional feature extractor with a ViT transformer neck </w:t>
      </w:r>
      <w:r>
        <w:rPr>
          <w:rFonts w:ascii="Times New Roman" w:hAnsi="Times New Roman"/>
          <w:sz w:val="20"/>
        </w:rPr>
        <w:t>[</w:t>
      </w:r>
      <w:hyperlink w:anchor="ref_5" w:history="1">
        <w:r>
          <w:rPr>
            <w:color w:val="003399"/>
            <w:rFonts w:ascii="Times New Roman" w:hAnsi="Times New Roman"/>
            <w:b/>
          </w:rPr>
          <w:t>5</w:t>
        </w:r>
      </w:hyperlink>
      <w:r>
        <w:rPr>
          <w:rFonts w:ascii="Times New Roman" w:hAnsi="Times New Roman"/>
          <w:sz w:val="20"/>
        </w:rPr>
        <w:t>]</w:t>
      </w:r>
      <w:r>
        <w:rPr>
          <w:rFonts w:ascii="Times New Roman" w:hAnsi="Times New Roman"/>
          <w:b w:val="0"/>
          <w:i w:val="0"/>
          <w:sz w:val="20"/>
        </w:rPr>
        <w:t>. Both models output relative inverse-depth representations.</w:t>
      </w:r>
    </w:p>
    <w:p>
      <w:pPr>
        <w:keepNext/>
        <w:spacing w:before="180" w:after="60"/>
        <w:jc w:val="left"/>
      </w:pPr>
      <w:r>
        <w:rPr>
          <w:rFonts w:ascii="Times New Roman" w:hAnsi="Times New Roman"/>
          <w:b/>
          <w:i/>
          <w:color w:val="1E3A8A"/>
          <w:sz w:val="20"/>
        </w:rPr>
        <w:t>C. Implementation Environment</w:t>
      </w:r>
    </w:p>
    <w:p>
      <w:pPr>
        <w:spacing w:before="0" w:after="70" w:line="259" w:lineRule="auto"/>
        <w:ind w:firstLine="288"/>
        <w:jc w:val="both"/>
      </w:pPr>
      <w:r>
        <w:rPr>
          <w:rFonts w:ascii="Times New Roman" w:hAnsi="Times New Roman"/>
          <w:b w:val="0"/>
          <w:i w:val="0"/>
          <w:sz w:val="20"/>
        </w:rPr>
        <w:t>VEO is implemented in Python 3.10+ using PyTorch, OpenCV, SciPy, and NumPy, managed within a fully reproducible UV environment. All test evaluations are executed with frozen parameters with zero tuning on test data.</w:t>
      </w:r>
    </w:p>
    <w:p>
      <w:pPr>
        <w:keepNext/>
        <w:spacing w:before="280" w:after="80"/>
        <w:jc w:val="center"/>
      </w:pPr>
      <w:r>
        <w:rPr>
          <w:rFonts w:ascii="Times New Roman" w:hAnsi="Times New Roman"/>
          <w:b/>
          <w:color w:val="0A2540"/>
          <w:sz w:val="21"/>
        </w:rPr>
        <w:t>V. EXPERIMENTAL RESULTS AND COMPARATIVE ANALYSIS</w:t>
      </w:r>
    </w:p>
    <w:p>
      <w:pPr>
        <w:keepNext/>
        <w:spacing w:before="180" w:after="60"/>
        <w:jc w:val="left"/>
      </w:pPr>
      <w:r>
        <w:rPr>
          <w:rFonts w:ascii="Times New Roman" w:hAnsi="Times New Roman"/>
          <w:b/>
          <w:i/>
          <w:color w:val="1E3A8A"/>
          <w:sz w:val="20"/>
        </w:rPr>
        <w:t>A. Benchmark Comparison across Models</w:t>
      </w:r>
    </w:p>
    <w:p>
      <w:pPr>
        <w:spacing w:before="0" w:after="70" w:line="259" w:lineRule="auto"/>
        <w:ind w:firstLine="288"/>
        <w:jc w:val="both"/>
      </w:pPr>
      <w:r>
        <w:rPr>
          <w:rFonts w:ascii="Times New Roman" w:hAnsi="Times New Roman"/>
          <w:b w:val="0"/>
          <w:i w:val="0"/>
          <w:sz w:val="20"/>
        </w:rPr>
        <w:t>Table II reports the global depth metrics and failure region statistics for Depth Anything V2 Small and DPT-Hybrid-MiDaS across all 244 held-out test scenes. While Depth Anything V2 demonstrates superior global accuracy (AbsRel = 0.1040 vs 0.1316, δ1 = 0.8965 vs 0.8253), it produces a larger total count of localized failure regions (5,236 vs 3,689), highlighting that global metric superiority does not imply absence of localized failure clusters.</w:t>
      </w:r>
    </w:p>
    <w:p>
      <w:pPr>
        <w:keepNext/>
        <w:spacing w:before="240" w:after="20"/>
        <w:jc w:val="center"/>
      </w:pPr>
      <w:r>
        <w:rPr>
          <w:rFonts w:ascii="Times New Roman" w:hAnsi="Times New Roman"/>
          <w:b/>
          <w:color w:val="0A2540"/>
          <w:sz w:val="17"/>
        </w:rPr>
        <w:t>TABLE II</w:t>
      </w:r>
    </w:p>
    <w:p>
      <w:pPr>
        <w:keepNext/>
        <w:spacing w:before="20" w:after="80"/>
        <w:jc w:val="center"/>
      </w:pPr>
      <w:r>
        <w:rPr>
          <w:rFonts w:ascii="Times New Roman" w:hAnsi="Times New Roman"/>
          <w:b/>
          <w:color w:val="334155"/>
          <w:sz w:val="16"/>
        </w:rPr>
        <w:t>GLOBAL DEPTH ACCURACY AND LOCALIZED FAILURE REGION STATISTICS ON NYU DEPTH V2 TEST SPLIT (244 SCENES)</w:t>
      </w:r>
    </w:p>
    <w:tbl>
      <w:tblPr>
        <w:tblW w:type="auto" w:w="0"/>
        <w:jc w:val="center"/>
        <w:tblLook w:firstColumn="1" w:firstRow="1" w:lastColumn="0" w:lastRow="0" w:noHBand="0" w:noVBand="1" w:val="04A0"/>
        <w:tblBorders>
          <w:top w:val="single" w:sz="12" w:space="0" w:color="1E3A8A"/>
          <w:bottom w:val="single" w:sz="12" w:space="0" w:color="1E3A8A"/>
          <w:insideH w:val="single" w:sz="6" w:space="0" w:color="CBD5E1"/>
          <w:left w:val="none"/>
          <w:right w:val="none"/>
          <w:insideV w:val="none"/>
        </w:tblBorders>
      </w:tblPr>
      <w:tblGrid>
        <w:gridCol w:w="1260"/>
        <w:gridCol w:w="1260"/>
        <w:gridCol w:w="1260"/>
        <w:gridCol w:w="1260"/>
        <w:gridCol w:w="1260"/>
        <w:gridCol w:w="1260"/>
        <w:gridCol w:w="1260"/>
        <w:gridCol w:w="1260"/>
      </w:tblGrid>
      <w:tr>
        <w:tc>
          <w:tcPr>
            <w:tcW w:type="dxa" w:w="1260"/>
            <w:shd w:val="clear" w:color="auto" w:fill="1E3A8A"/>
            <w:tcMar>
              <w:top w:w="70" w:type="dxa"/>
              <w:bottom w:w="70" w:type="dxa"/>
              <w:left w:w="120" w:type="dxa"/>
              <w:right w:w="120" w:type="dxa"/>
            </w:tcMar>
          </w:tcPr>
          <w:p>
            <w:pPr>
              <w:jc w:val="center"/>
            </w:pPr>
            <w:r>
              <w:rPr>
                <w:rFonts w:ascii="Times New Roman" w:hAnsi="Times New Roman"/>
                <w:b/>
                <w:color w:val="FFFFFF"/>
                <w:sz w:val="16"/>
              </w:rPr>
              <w:t>Model Backbone</w:t>
            </w:r>
          </w:p>
        </w:tc>
        <w:tc>
          <w:tcPr>
            <w:tcW w:type="dxa" w:w="1260"/>
            <w:shd w:val="clear" w:color="auto" w:fill="1E3A8A"/>
            <w:tcMar>
              <w:top w:w="70" w:type="dxa"/>
              <w:bottom w:w="70" w:type="dxa"/>
              <w:left w:w="120" w:type="dxa"/>
              <w:right w:w="120" w:type="dxa"/>
            </w:tcMar>
          </w:tcPr>
          <w:p>
            <w:pPr>
              <w:jc w:val="center"/>
            </w:pPr>
            <w:r>
              <w:rPr>
                <w:rFonts w:ascii="Times New Roman" w:hAnsi="Times New Roman"/>
                <w:b/>
                <w:color w:val="FFFFFF"/>
                <w:sz w:val="16"/>
              </w:rPr>
              <w:t>MAE (m) ↓</w:t>
            </w:r>
          </w:p>
        </w:tc>
        <w:tc>
          <w:tcPr>
            <w:tcW w:type="dxa" w:w="1260"/>
            <w:shd w:val="clear" w:color="auto" w:fill="1E3A8A"/>
            <w:tcMar>
              <w:top w:w="70" w:type="dxa"/>
              <w:bottom w:w="70" w:type="dxa"/>
              <w:left w:w="120" w:type="dxa"/>
              <w:right w:w="120" w:type="dxa"/>
            </w:tcMar>
          </w:tcPr>
          <w:p>
            <w:pPr>
              <w:jc w:val="center"/>
            </w:pPr>
            <w:r>
              <w:rPr>
                <w:rFonts w:ascii="Times New Roman" w:hAnsi="Times New Roman"/>
                <w:b/>
                <w:color w:val="FFFFFF"/>
                <w:sz w:val="16"/>
              </w:rPr>
              <w:t>RMSE (m) ↓</w:t>
            </w:r>
          </w:p>
        </w:tc>
        <w:tc>
          <w:tcPr>
            <w:tcW w:type="dxa" w:w="1260"/>
            <w:shd w:val="clear" w:color="auto" w:fill="1E3A8A"/>
            <w:tcMar>
              <w:top w:w="70" w:type="dxa"/>
              <w:bottom w:w="70" w:type="dxa"/>
              <w:left w:w="120" w:type="dxa"/>
              <w:right w:w="120" w:type="dxa"/>
            </w:tcMar>
          </w:tcPr>
          <w:p>
            <w:pPr>
              <w:jc w:val="center"/>
            </w:pPr>
            <w:r>
              <w:rPr>
                <w:rFonts w:ascii="Times New Roman" w:hAnsi="Times New Roman"/>
                <w:b/>
                <w:color w:val="FFFFFF"/>
                <w:sz w:val="16"/>
              </w:rPr>
              <w:t>AbsRel ↓</w:t>
            </w:r>
          </w:p>
        </w:tc>
        <w:tc>
          <w:tcPr>
            <w:tcW w:type="dxa" w:w="1260"/>
            <w:shd w:val="clear" w:color="auto" w:fill="1E3A8A"/>
            <w:tcMar>
              <w:top w:w="70" w:type="dxa"/>
              <w:bottom w:w="70" w:type="dxa"/>
              <w:left w:w="120" w:type="dxa"/>
              <w:right w:w="120" w:type="dxa"/>
            </w:tcMar>
          </w:tcPr>
          <w:p>
            <w:pPr>
              <w:jc w:val="center"/>
            </w:pPr>
            <w:r>
              <w:rPr>
                <w:rFonts w:ascii="Times New Roman" w:hAnsi="Times New Roman"/>
                <w:b/>
                <w:color w:val="FFFFFF"/>
                <w:sz w:val="16"/>
              </w:rPr>
              <w:t>SqRel ↓</w:t>
            </w:r>
          </w:p>
        </w:tc>
        <w:tc>
          <w:tcPr>
            <w:tcW w:type="dxa" w:w="1260"/>
            <w:shd w:val="clear" w:color="auto" w:fill="1E3A8A"/>
            <w:tcMar>
              <w:top w:w="70" w:type="dxa"/>
              <w:bottom w:w="70" w:type="dxa"/>
              <w:left w:w="120" w:type="dxa"/>
              <w:right w:w="120" w:type="dxa"/>
            </w:tcMar>
          </w:tcPr>
          <w:p>
            <w:pPr>
              <w:jc w:val="center"/>
            </w:pPr>
            <w:r>
              <w:rPr>
                <w:rFonts w:ascii="Times New Roman" w:hAnsi="Times New Roman"/>
                <w:b/>
                <w:color w:val="FFFFFF"/>
                <w:sz w:val="16"/>
              </w:rPr>
              <w:t>δ1 (&lt;1.25) ↑</w:t>
            </w:r>
          </w:p>
        </w:tc>
        <w:tc>
          <w:tcPr>
            <w:tcW w:type="dxa" w:w="1260"/>
            <w:shd w:val="clear" w:color="auto" w:fill="1E3A8A"/>
            <w:tcMar>
              <w:top w:w="70" w:type="dxa"/>
              <w:bottom w:w="70" w:type="dxa"/>
              <w:left w:w="120" w:type="dxa"/>
              <w:right w:w="120" w:type="dxa"/>
            </w:tcMar>
          </w:tcPr>
          <w:p>
            <w:pPr>
              <w:jc w:val="center"/>
            </w:pPr>
            <w:r>
              <w:rPr>
                <w:rFonts w:ascii="Times New Roman" w:hAnsi="Times New Roman"/>
                <w:b/>
                <w:color w:val="FFFFFF"/>
                <w:sz w:val="16"/>
              </w:rPr>
              <w:t>Spearman ↑</w:t>
            </w:r>
          </w:p>
        </w:tc>
        <w:tc>
          <w:tcPr>
            <w:tcW w:type="dxa" w:w="1260"/>
            <w:shd w:val="clear" w:color="auto" w:fill="1E3A8A"/>
            <w:tcMar>
              <w:top w:w="70" w:type="dxa"/>
              <w:bottom w:w="70" w:type="dxa"/>
              <w:left w:w="120" w:type="dxa"/>
              <w:right w:w="120" w:type="dxa"/>
            </w:tcMar>
          </w:tcPr>
          <w:p>
            <w:pPr>
              <w:jc w:val="center"/>
            </w:pPr>
            <w:r>
              <w:rPr>
                <w:rFonts w:ascii="Times New Roman" w:hAnsi="Times New Roman"/>
                <w:b/>
                <w:color w:val="FFFFFF"/>
                <w:sz w:val="16"/>
              </w:rPr>
              <w:t>Total Regions</w:t>
            </w:r>
          </w:p>
        </w:tc>
      </w:tr>
      <w:tr>
        <w:tc>
          <w:tcPr>
            <w:tcW w:type="dxa" w:w="1260"/>
            <w:tcMar>
              <w:top w:w="70" w:type="dxa"/>
              <w:bottom w:w="70" w:type="dxa"/>
              <w:left w:w="120" w:type="dxa"/>
              <w:right w:w="120" w:type="dxa"/>
            </w:tcMar>
            <w:shd w:val="clear" w:color="auto" w:fill="ECFDF5"/>
          </w:tcPr>
          <w:p>
            <w:r>
              <w:rPr>
                <w:rFonts w:ascii="Times New Roman" w:hAnsi="Times New Roman"/>
                <w:b/>
                <w:sz w:val="16"/>
              </w:rPr>
              <w:t>Depth Anything V2 Small</w:t>
            </w:r>
          </w:p>
        </w:tc>
        <w:tc>
          <w:tcPr>
            <w:tcW w:type="dxa" w:w="1260"/>
            <w:tcMar>
              <w:top w:w="70" w:type="dxa"/>
              <w:bottom w:w="70" w:type="dxa"/>
              <w:left w:w="120" w:type="dxa"/>
              <w:right w:w="120" w:type="dxa"/>
            </w:tcMar>
            <w:shd w:val="clear" w:color="auto" w:fill="ECFDF5"/>
          </w:tcPr>
          <w:p>
            <w:pPr>
              <w:jc w:val="center"/>
            </w:pPr>
            <w:r>
              <w:rPr>
                <w:rFonts w:ascii="Times New Roman" w:hAnsi="Times New Roman"/>
                <w:b/>
                <w:sz w:val="16"/>
              </w:rPr>
              <w:t>0.2960</w:t>
            </w:r>
          </w:p>
        </w:tc>
        <w:tc>
          <w:tcPr>
            <w:tcW w:type="dxa" w:w="1260"/>
            <w:tcMar>
              <w:top w:w="70" w:type="dxa"/>
              <w:bottom w:w="70" w:type="dxa"/>
              <w:left w:w="120" w:type="dxa"/>
              <w:right w:w="120" w:type="dxa"/>
            </w:tcMar>
            <w:shd w:val="clear" w:color="auto" w:fill="ECFDF5"/>
          </w:tcPr>
          <w:p>
            <w:pPr>
              <w:jc w:val="center"/>
            </w:pPr>
            <w:r>
              <w:rPr>
                <w:rFonts w:ascii="Times New Roman" w:hAnsi="Times New Roman"/>
                <w:b/>
                <w:sz w:val="16"/>
              </w:rPr>
              <w:t>0.4664</w:t>
            </w:r>
          </w:p>
        </w:tc>
        <w:tc>
          <w:tcPr>
            <w:tcW w:type="dxa" w:w="1260"/>
            <w:tcMar>
              <w:top w:w="70" w:type="dxa"/>
              <w:bottom w:w="70" w:type="dxa"/>
              <w:left w:w="120" w:type="dxa"/>
              <w:right w:w="120" w:type="dxa"/>
            </w:tcMar>
            <w:shd w:val="clear" w:color="auto" w:fill="ECFDF5"/>
          </w:tcPr>
          <w:p>
            <w:pPr>
              <w:jc w:val="center"/>
            </w:pPr>
            <w:r>
              <w:rPr>
                <w:rFonts w:ascii="Times New Roman" w:hAnsi="Times New Roman"/>
                <w:b/>
                <w:sz w:val="16"/>
              </w:rPr>
              <w:t>0.1040</w:t>
            </w:r>
          </w:p>
        </w:tc>
        <w:tc>
          <w:tcPr>
            <w:tcW w:type="dxa" w:w="1260"/>
            <w:tcMar>
              <w:top w:w="70" w:type="dxa"/>
              <w:bottom w:w="70" w:type="dxa"/>
              <w:left w:w="120" w:type="dxa"/>
              <w:right w:w="120" w:type="dxa"/>
            </w:tcMar>
            <w:shd w:val="clear" w:color="auto" w:fill="ECFDF5"/>
          </w:tcPr>
          <w:p>
            <w:pPr>
              <w:jc w:val="center"/>
            </w:pPr>
            <w:r>
              <w:rPr>
                <w:rFonts w:ascii="Times New Roman" w:hAnsi="Times New Roman"/>
                <w:b/>
                <w:sz w:val="16"/>
              </w:rPr>
              <w:t>0.0805</w:t>
            </w:r>
          </w:p>
        </w:tc>
        <w:tc>
          <w:tcPr>
            <w:tcW w:type="dxa" w:w="1260"/>
            <w:tcMar>
              <w:top w:w="70" w:type="dxa"/>
              <w:bottom w:w="70" w:type="dxa"/>
              <w:left w:w="120" w:type="dxa"/>
              <w:right w:w="120" w:type="dxa"/>
            </w:tcMar>
            <w:shd w:val="clear" w:color="auto" w:fill="ECFDF5"/>
          </w:tcPr>
          <w:p>
            <w:pPr>
              <w:jc w:val="center"/>
            </w:pPr>
            <w:r>
              <w:rPr>
                <w:rFonts w:ascii="Times New Roman" w:hAnsi="Times New Roman"/>
                <w:b/>
                <w:sz w:val="16"/>
              </w:rPr>
              <w:t>0.8965</w:t>
            </w:r>
          </w:p>
        </w:tc>
        <w:tc>
          <w:tcPr>
            <w:tcW w:type="dxa" w:w="1260"/>
            <w:tcMar>
              <w:top w:w="70" w:type="dxa"/>
              <w:bottom w:w="70" w:type="dxa"/>
              <w:left w:w="120" w:type="dxa"/>
              <w:right w:w="120" w:type="dxa"/>
            </w:tcMar>
            <w:shd w:val="clear" w:color="auto" w:fill="ECFDF5"/>
          </w:tcPr>
          <w:p>
            <w:pPr>
              <w:jc w:val="center"/>
            </w:pPr>
            <w:r>
              <w:rPr>
                <w:rFonts w:ascii="Times New Roman" w:hAnsi="Times New Roman"/>
                <w:b/>
                <w:sz w:val="16"/>
              </w:rPr>
              <w:t>0.9104</w:t>
            </w:r>
          </w:p>
        </w:tc>
        <w:tc>
          <w:tcPr>
            <w:tcW w:type="dxa" w:w="1260"/>
            <w:tcMar>
              <w:top w:w="70" w:type="dxa"/>
              <w:bottom w:w="70" w:type="dxa"/>
              <w:left w:w="120" w:type="dxa"/>
              <w:right w:w="120" w:type="dxa"/>
            </w:tcMar>
            <w:shd w:val="clear" w:color="auto" w:fill="ECFDF5"/>
          </w:tcPr>
          <w:p>
            <w:pPr>
              <w:jc w:val="center"/>
            </w:pPr>
            <w:r>
              <w:rPr>
                <w:rFonts w:ascii="Times New Roman" w:hAnsi="Times New Roman"/>
                <w:b/>
                <w:sz w:val="16"/>
              </w:rPr>
              <w:t>5,236 (21.5 / img)</w:t>
            </w:r>
          </w:p>
        </w:tc>
      </w:tr>
      <w:tr>
        <w:tc>
          <w:tcPr>
            <w:tcW w:type="dxa" w:w="1260"/>
            <w:tcMar>
              <w:top w:w="70" w:type="dxa"/>
              <w:bottom w:w="70" w:type="dxa"/>
              <w:left w:w="120" w:type="dxa"/>
              <w:right w:w="120" w:type="dxa"/>
            </w:tcMar>
          </w:tcPr>
          <w:p>
            <w:r>
              <w:rPr>
                <w:rFonts w:ascii="Times New Roman" w:hAnsi="Times New Roman"/>
                <w:sz w:val="16"/>
              </w:rPr>
              <w:t>DPT-Hybrid-MiDaS</w:t>
            </w:r>
          </w:p>
        </w:tc>
        <w:tc>
          <w:tcPr>
            <w:tcW w:type="dxa" w:w="1260"/>
            <w:tcMar>
              <w:top w:w="70" w:type="dxa"/>
              <w:bottom w:w="70" w:type="dxa"/>
              <w:left w:w="120" w:type="dxa"/>
              <w:right w:w="120" w:type="dxa"/>
            </w:tcMar>
          </w:tcPr>
          <w:p>
            <w:pPr>
              <w:jc w:val="center"/>
            </w:pPr>
            <w:r>
              <w:rPr>
                <w:rFonts w:ascii="Times New Roman" w:hAnsi="Times New Roman"/>
                <w:sz w:val="16"/>
              </w:rPr>
              <w:t>0.3615</w:t>
            </w:r>
          </w:p>
        </w:tc>
        <w:tc>
          <w:tcPr>
            <w:tcW w:type="dxa" w:w="1260"/>
            <w:tcMar>
              <w:top w:w="70" w:type="dxa"/>
              <w:bottom w:w="70" w:type="dxa"/>
              <w:left w:w="120" w:type="dxa"/>
              <w:right w:w="120" w:type="dxa"/>
            </w:tcMar>
          </w:tcPr>
          <w:p>
            <w:pPr>
              <w:jc w:val="center"/>
            </w:pPr>
            <w:r>
              <w:rPr>
                <w:rFonts w:ascii="Times New Roman" w:hAnsi="Times New Roman"/>
                <w:sz w:val="16"/>
              </w:rPr>
              <w:t>0.5418</w:t>
            </w:r>
          </w:p>
        </w:tc>
        <w:tc>
          <w:tcPr>
            <w:tcW w:type="dxa" w:w="1260"/>
            <w:tcMar>
              <w:top w:w="70" w:type="dxa"/>
              <w:bottom w:w="70" w:type="dxa"/>
              <w:left w:w="120" w:type="dxa"/>
              <w:right w:w="120" w:type="dxa"/>
            </w:tcMar>
          </w:tcPr>
          <w:p>
            <w:pPr>
              <w:jc w:val="center"/>
            </w:pPr>
            <w:r>
              <w:rPr>
                <w:rFonts w:ascii="Times New Roman" w:hAnsi="Times New Roman"/>
                <w:sz w:val="16"/>
              </w:rPr>
              <w:t>0.1316</w:t>
            </w:r>
          </w:p>
        </w:tc>
        <w:tc>
          <w:tcPr>
            <w:tcW w:type="dxa" w:w="1260"/>
            <w:tcMar>
              <w:top w:w="70" w:type="dxa"/>
              <w:bottom w:w="70" w:type="dxa"/>
              <w:left w:w="120" w:type="dxa"/>
              <w:right w:w="120" w:type="dxa"/>
            </w:tcMar>
          </w:tcPr>
          <w:p>
            <w:pPr>
              <w:jc w:val="center"/>
            </w:pPr>
            <w:r>
              <w:rPr>
                <w:rFonts w:ascii="Times New Roman" w:hAnsi="Times New Roman"/>
                <w:sz w:val="16"/>
              </w:rPr>
              <w:t>0.1093</w:t>
            </w:r>
          </w:p>
        </w:tc>
        <w:tc>
          <w:tcPr>
            <w:tcW w:type="dxa" w:w="1260"/>
            <w:tcMar>
              <w:top w:w="70" w:type="dxa"/>
              <w:bottom w:w="70" w:type="dxa"/>
              <w:left w:w="120" w:type="dxa"/>
              <w:right w:w="120" w:type="dxa"/>
            </w:tcMar>
          </w:tcPr>
          <w:p>
            <w:pPr>
              <w:jc w:val="center"/>
            </w:pPr>
            <w:r>
              <w:rPr>
                <w:rFonts w:ascii="Times New Roman" w:hAnsi="Times New Roman"/>
                <w:sz w:val="16"/>
              </w:rPr>
              <w:t>0.8253</w:t>
            </w:r>
          </w:p>
        </w:tc>
        <w:tc>
          <w:tcPr>
            <w:tcW w:type="dxa" w:w="1260"/>
            <w:tcMar>
              <w:top w:w="70" w:type="dxa"/>
              <w:bottom w:w="70" w:type="dxa"/>
              <w:left w:w="120" w:type="dxa"/>
              <w:right w:w="120" w:type="dxa"/>
            </w:tcMar>
          </w:tcPr>
          <w:p>
            <w:pPr>
              <w:jc w:val="center"/>
            </w:pPr>
            <w:r>
              <w:rPr>
                <w:rFonts w:ascii="Times New Roman" w:hAnsi="Times New Roman"/>
                <w:sz w:val="16"/>
              </w:rPr>
              <w:t>0.8583</w:t>
            </w:r>
          </w:p>
        </w:tc>
        <w:tc>
          <w:tcPr>
            <w:tcW w:type="dxa" w:w="1260"/>
            <w:tcMar>
              <w:top w:w="70" w:type="dxa"/>
              <w:bottom w:w="70" w:type="dxa"/>
              <w:left w:w="120" w:type="dxa"/>
              <w:right w:w="120" w:type="dxa"/>
            </w:tcMar>
          </w:tcPr>
          <w:p>
            <w:pPr>
              <w:jc w:val="center"/>
            </w:pPr>
            <w:r>
              <w:rPr>
                <w:rFonts w:ascii="Times New Roman" w:hAnsi="Times New Roman"/>
                <w:sz w:val="16"/>
              </w:rPr>
              <w:t>3,689 (15.1 / img)</w:t>
            </w:r>
          </w:p>
        </w:tc>
      </w:tr>
    </w:tbl>
    <w:p>
      <w:pPr>
        <w:keepNext/>
        <w:spacing w:before="180" w:after="60"/>
        <w:jc w:val="left"/>
      </w:pPr>
      <w:r>
        <w:rPr>
          <w:rFonts w:ascii="Times New Roman" w:hAnsi="Times New Roman"/>
          <w:b/>
          <w:i/>
          <w:color w:val="1E3A8A"/>
          <w:sz w:val="20"/>
        </w:rPr>
        <w:t>B. Alignment-Space Ablation: Empirical Proof of Polarity Reversal</w:t>
      </w:r>
    </w:p>
    <w:p>
      <w:pPr>
        <w:spacing w:before="0" w:after="70" w:line="259" w:lineRule="auto"/>
        <w:ind w:firstLine="288"/>
        <w:jc w:val="both"/>
      </w:pPr>
      <w:r>
        <w:rPr>
          <w:rFonts w:ascii="Times New Roman" w:hAnsi="Times New Roman"/>
          <w:b w:val="0"/>
          <w:i w:val="0"/>
          <w:sz w:val="20"/>
        </w:rPr>
        <w:t>A foundational finding of this work is the mathematical demonstration of output-space polarity reversal. We evaluated four fixed alignment protocols across all 244 test scenes (Table III and Fig. 2a). Direct depth regression (d_aligned = s · p + b) produced negative scale slopes (s &lt; 0) in exactly 244 out of 244 test scenes, yielding degraded AbsRel (0.1732 vs 0.1040). This occurs because relative vision transformers output inverse-depth (disparity) representations; linear depth regression forces the least-squares solver to invert the prediction slope, corrupting physical geometry. Inverse-depth scale-shift regression recovers strictly positive scales (244/244 positive) and superior reconstruction. Evaluating raw predictions without alignment yields catastrophic failure (AbsRel = 1.0847, δ1 = 0.1416), while omitting shift offset explodes reciprocal calculations near zero (AbsRel = 478.0).</w:t>
      </w:r>
    </w:p>
    <w:p>
      <w:pPr>
        <w:keepNext/>
        <w:spacing w:before="240" w:after="20"/>
        <w:jc w:val="center"/>
      </w:pPr>
      <w:r>
        <w:rPr>
          <w:rFonts w:ascii="Times New Roman" w:hAnsi="Times New Roman"/>
          <w:b/>
          <w:color w:val="0A2540"/>
          <w:sz w:val="17"/>
        </w:rPr>
        <w:t>TABLE III</w:t>
      </w:r>
    </w:p>
    <w:p>
      <w:pPr>
        <w:keepNext/>
        <w:spacing w:before="20" w:after="80"/>
        <w:jc w:val="center"/>
      </w:pPr>
      <w:r>
        <w:rPr>
          <w:rFonts w:ascii="Times New Roman" w:hAnsi="Times New Roman"/>
          <w:b/>
          <w:color w:val="334155"/>
          <w:sz w:val="16"/>
        </w:rPr>
        <w:t>ALIGNMENT-SPACE ABLATION ON 244 HELD-OUT TEST SCENES (EMPIRICAL EVIDENCE OF POLARITY REVERSAL)</w:t>
      </w:r>
    </w:p>
    <w:tbl>
      <w:tblPr>
        <w:tblW w:type="auto" w:w="0"/>
        <w:jc w:val="center"/>
        <w:tblLook w:firstColumn="1" w:firstRow="1" w:lastColumn="0" w:lastRow="0" w:noHBand="0" w:noVBand="1" w:val="04A0"/>
        <w:tblBorders>
          <w:top w:val="single" w:sz="12" w:space="0" w:color="1E3A8A"/>
          <w:bottom w:val="single" w:sz="12" w:space="0" w:color="1E3A8A"/>
          <w:insideH w:val="single" w:sz="6" w:space="0" w:color="CBD5E1"/>
          <w:left w:val="none"/>
          <w:right w:val="none"/>
          <w:insideV w:val="none"/>
        </w:tblBorders>
      </w:tblPr>
      <w:tblGrid>
        <w:gridCol w:w="1440"/>
        <w:gridCol w:w="1440"/>
        <w:gridCol w:w="1440"/>
        <w:gridCol w:w="1440"/>
        <w:gridCol w:w="1440"/>
        <w:gridCol w:w="1440"/>
        <w:gridCol w:w="1440"/>
      </w:tblGrid>
      <w:tr>
        <w:tc>
          <w:tcPr>
            <w:tcW w:type="dxa" w:w="1440"/>
            <w:shd w:val="clear" w:color="auto" w:fill="1E3A8A"/>
            <w:tcMar>
              <w:top w:w="70" w:type="dxa"/>
              <w:bottom w:w="70" w:type="dxa"/>
              <w:left w:w="120" w:type="dxa"/>
              <w:right w:w="120" w:type="dxa"/>
            </w:tcMar>
          </w:tcPr>
          <w:p>
            <w:pPr>
              <w:jc w:val="center"/>
            </w:pPr>
            <w:r>
              <w:rPr>
                <w:rFonts w:ascii="Times New Roman" w:hAnsi="Times New Roman"/>
                <w:b/>
                <w:color w:val="FFFFFF"/>
                <w:sz w:val="16"/>
              </w:rPr>
              <w:t>Alignment Protocol</w:t>
            </w:r>
          </w:p>
        </w:tc>
        <w:tc>
          <w:tcPr>
            <w:tcW w:type="dxa" w:w="1440"/>
            <w:shd w:val="clear" w:color="auto" w:fill="1E3A8A"/>
            <w:tcMar>
              <w:top w:w="70" w:type="dxa"/>
              <w:bottom w:w="70" w:type="dxa"/>
              <w:left w:w="120" w:type="dxa"/>
              <w:right w:w="120" w:type="dxa"/>
            </w:tcMar>
          </w:tcPr>
          <w:p>
            <w:pPr>
              <w:jc w:val="center"/>
            </w:pPr>
            <w:r>
              <w:rPr>
                <w:rFonts w:ascii="Times New Roman" w:hAnsi="Times New Roman"/>
                <w:b/>
                <w:color w:val="FFFFFF"/>
                <w:sz w:val="16"/>
              </w:rPr>
              <w:t>MAE (m) ↓</w:t>
            </w:r>
          </w:p>
        </w:tc>
        <w:tc>
          <w:tcPr>
            <w:tcW w:type="dxa" w:w="1440"/>
            <w:shd w:val="clear" w:color="auto" w:fill="1E3A8A"/>
            <w:tcMar>
              <w:top w:w="70" w:type="dxa"/>
              <w:bottom w:w="70" w:type="dxa"/>
              <w:left w:w="120" w:type="dxa"/>
              <w:right w:w="120" w:type="dxa"/>
            </w:tcMar>
          </w:tcPr>
          <w:p>
            <w:pPr>
              <w:jc w:val="center"/>
            </w:pPr>
            <w:r>
              <w:rPr>
                <w:rFonts w:ascii="Times New Roman" w:hAnsi="Times New Roman"/>
                <w:b/>
                <w:color w:val="FFFFFF"/>
                <w:sz w:val="16"/>
              </w:rPr>
              <w:t>RMSE (m) ↓</w:t>
            </w:r>
          </w:p>
        </w:tc>
        <w:tc>
          <w:tcPr>
            <w:tcW w:type="dxa" w:w="1440"/>
            <w:shd w:val="clear" w:color="auto" w:fill="1E3A8A"/>
            <w:tcMar>
              <w:top w:w="70" w:type="dxa"/>
              <w:bottom w:w="70" w:type="dxa"/>
              <w:left w:w="120" w:type="dxa"/>
              <w:right w:w="120" w:type="dxa"/>
            </w:tcMar>
          </w:tcPr>
          <w:p>
            <w:pPr>
              <w:jc w:val="center"/>
            </w:pPr>
            <w:r>
              <w:rPr>
                <w:rFonts w:ascii="Times New Roman" w:hAnsi="Times New Roman"/>
                <w:b/>
                <w:color w:val="FFFFFF"/>
                <w:sz w:val="16"/>
              </w:rPr>
              <w:t>AbsRel ↓</w:t>
            </w:r>
          </w:p>
        </w:tc>
        <w:tc>
          <w:tcPr>
            <w:tcW w:type="dxa" w:w="1440"/>
            <w:shd w:val="clear" w:color="auto" w:fill="1E3A8A"/>
            <w:tcMar>
              <w:top w:w="70" w:type="dxa"/>
              <w:bottom w:w="70" w:type="dxa"/>
              <w:left w:w="120" w:type="dxa"/>
              <w:right w:w="120" w:type="dxa"/>
            </w:tcMar>
          </w:tcPr>
          <w:p>
            <w:pPr>
              <w:jc w:val="center"/>
            </w:pPr>
            <w:r>
              <w:rPr>
                <w:rFonts w:ascii="Times New Roman" w:hAnsi="Times New Roman"/>
                <w:b/>
                <w:color w:val="FFFFFF"/>
                <w:sz w:val="16"/>
              </w:rPr>
              <w:t>δ1 Accuracy ↑</w:t>
            </w:r>
          </w:p>
        </w:tc>
        <w:tc>
          <w:tcPr>
            <w:tcW w:type="dxa" w:w="1440"/>
            <w:shd w:val="clear" w:color="auto" w:fill="1E3A8A"/>
            <w:tcMar>
              <w:top w:w="70" w:type="dxa"/>
              <w:bottom w:w="70" w:type="dxa"/>
              <w:left w:w="120" w:type="dxa"/>
              <w:right w:w="120" w:type="dxa"/>
            </w:tcMar>
          </w:tcPr>
          <w:p>
            <w:pPr>
              <w:jc w:val="center"/>
            </w:pPr>
            <w:r>
              <w:rPr>
                <w:rFonts w:ascii="Times New Roman" w:hAnsi="Times New Roman"/>
                <w:b/>
                <w:color w:val="FFFFFF"/>
                <w:sz w:val="16"/>
              </w:rPr>
              <w:t>Scale Sign Counts</w:t>
            </w:r>
          </w:p>
        </w:tc>
        <w:tc>
          <w:tcPr>
            <w:tcW w:type="dxa" w:w="1440"/>
            <w:shd w:val="clear" w:color="auto" w:fill="1E3A8A"/>
            <w:tcMar>
              <w:top w:w="70" w:type="dxa"/>
              <w:bottom w:w="70" w:type="dxa"/>
              <w:left w:w="120" w:type="dxa"/>
              <w:right w:w="120" w:type="dxa"/>
            </w:tcMar>
          </w:tcPr>
          <w:p>
            <w:pPr>
              <w:jc w:val="center"/>
            </w:pPr>
            <w:r>
              <w:rPr>
                <w:rFonts w:ascii="Times New Roman" w:hAnsi="Times New Roman"/>
                <w:b/>
                <w:color w:val="FFFFFF"/>
                <w:sz w:val="16"/>
              </w:rPr>
              <w:t>Geometric State</w:t>
            </w:r>
          </w:p>
        </w:tc>
      </w:tr>
      <w:tr>
        <w:tc>
          <w:tcPr>
            <w:tcW w:type="dxa" w:w="1440"/>
            <w:tcMar>
              <w:top w:w="70" w:type="dxa"/>
              <w:bottom w:w="70" w:type="dxa"/>
              <w:left w:w="120" w:type="dxa"/>
              <w:right w:w="120" w:type="dxa"/>
            </w:tcMar>
            <w:shd w:val="clear" w:color="auto" w:fill="F8FAFC"/>
          </w:tcPr>
          <w:p>
            <w:r>
              <w:rPr>
                <w:rFonts w:ascii="Times New Roman" w:hAnsi="Times New Roman"/>
                <w:sz w:val="16"/>
              </w:rPr>
              <w:t>None (Raw Prediction)</w:t>
            </w:r>
          </w:p>
        </w:tc>
        <w:tc>
          <w:tcPr>
            <w:tcW w:type="dxa" w:w="1440"/>
            <w:tcMar>
              <w:top w:w="70" w:type="dxa"/>
              <w:bottom w:w="70" w:type="dxa"/>
              <w:left w:w="120" w:type="dxa"/>
              <w:right w:w="120" w:type="dxa"/>
            </w:tcMar>
            <w:shd w:val="clear" w:color="auto" w:fill="F8FAFC"/>
          </w:tcPr>
          <w:p>
            <w:pPr>
              <w:jc w:val="center"/>
            </w:pPr>
            <w:r>
              <w:rPr>
                <w:rFonts w:ascii="Times New Roman" w:hAnsi="Times New Roman"/>
                <w:sz w:val="16"/>
              </w:rPr>
              <w:t>2.2092</w:t>
            </w:r>
          </w:p>
        </w:tc>
        <w:tc>
          <w:tcPr>
            <w:tcW w:type="dxa" w:w="1440"/>
            <w:tcMar>
              <w:top w:w="70" w:type="dxa"/>
              <w:bottom w:w="70" w:type="dxa"/>
              <w:left w:w="120" w:type="dxa"/>
              <w:right w:w="120" w:type="dxa"/>
            </w:tcMar>
            <w:shd w:val="clear" w:color="auto" w:fill="F8FAFC"/>
          </w:tcPr>
          <w:p>
            <w:pPr>
              <w:jc w:val="center"/>
            </w:pPr>
            <w:r>
              <w:rPr>
                <w:rFonts w:ascii="Times New Roman" w:hAnsi="Times New Roman"/>
                <w:sz w:val="16"/>
              </w:rPr>
              <w:t>2.6975</w:t>
            </w:r>
          </w:p>
        </w:tc>
        <w:tc>
          <w:tcPr>
            <w:tcW w:type="dxa" w:w="1440"/>
            <w:tcMar>
              <w:top w:w="70" w:type="dxa"/>
              <w:bottom w:w="70" w:type="dxa"/>
              <w:left w:w="120" w:type="dxa"/>
              <w:right w:w="120" w:type="dxa"/>
            </w:tcMar>
            <w:shd w:val="clear" w:color="auto" w:fill="F8FAFC"/>
          </w:tcPr>
          <w:p>
            <w:pPr>
              <w:jc w:val="center"/>
            </w:pPr>
            <w:r>
              <w:rPr>
                <w:rFonts w:ascii="Times New Roman" w:hAnsi="Times New Roman"/>
                <w:sz w:val="16"/>
              </w:rPr>
              <w:t>1.0847</w:t>
            </w:r>
          </w:p>
        </w:tc>
        <w:tc>
          <w:tcPr>
            <w:tcW w:type="dxa" w:w="1440"/>
            <w:tcMar>
              <w:top w:w="70" w:type="dxa"/>
              <w:bottom w:w="70" w:type="dxa"/>
              <w:left w:w="120" w:type="dxa"/>
              <w:right w:w="120" w:type="dxa"/>
            </w:tcMar>
            <w:shd w:val="clear" w:color="auto" w:fill="F8FAFC"/>
          </w:tcPr>
          <w:p>
            <w:pPr>
              <w:jc w:val="center"/>
            </w:pPr>
            <w:r>
              <w:rPr>
                <w:rFonts w:ascii="Times New Roman" w:hAnsi="Times New Roman"/>
                <w:sz w:val="16"/>
              </w:rPr>
              <w:t>0.1416</w:t>
            </w:r>
          </w:p>
        </w:tc>
        <w:tc>
          <w:tcPr>
            <w:tcW w:type="dxa" w:w="1440"/>
            <w:tcMar>
              <w:top w:w="70" w:type="dxa"/>
              <w:bottom w:w="70" w:type="dxa"/>
              <w:left w:w="120" w:type="dxa"/>
              <w:right w:w="120" w:type="dxa"/>
            </w:tcMar>
            <w:shd w:val="clear" w:color="auto" w:fill="F8FAFC"/>
          </w:tcPr>
          <w:p>
            <w:pPr>
              <w:jc w:val="center"/>
            </w:pPr>
            <w:r>
              <w:rPr>
                <w:rFonts w:ascii="Times New Roman" w:hAnsi="Times New Roman"/>
                <w:sz w:val="16"/>
              </w:rPr>
              <w:t>244 Not Fitted</w:t>
            </w:r>
          </w:p>
        </w:tc>
        <w:tc>
          <w:tcPr>
            <w:tcW w:type="dxa" w:w="1440"/>
            <w:tcMar>
              <w:top w:w="70" w:type="dxa"/>
              <w:bottom w:w="70" w:type="dxa"/>
              <w:left w:w="120" w:type="dxa"/>
              <w:right w:w="120" w:type="dxa"/>
            </w:tcMar>
            <w:shd w:val="clear" w:color="auto" w:fill="F8FAFC"/>
          </w:tcPr>
          <w:p>
            <w:pPr>
              <w:jc w:val="center"/>
            </w:pPr>
            <w:r>
              <w:rPr>
                <w:rFonts w:ascii="Times New Roman" w:hAnsi="Times New Roman"/>
                <w:sz w:val="16"/>
              </w:rPr>
              <w:t>Arbitrary scale mismatch</w:t>
            </w:r>
          </w:p>
        </w:tc>
      </w:tr>
      <w:tr>
        <w:tc>
          <w:tcPr>
            <w:tcW w:type="dxa" w:w="1440"/>
            <w:tcMar>
              <w:top w:w="70" w:type="dxa"/>
              <w:bottom w:w="70" w:type="dxa"/>
              <w:left w:w="120" w:type="dxa"/>
              <w:right w:w="120" w:type="dxa"/>
            </w:tcMar>
          </w:tcPr>
          <w:p>
            <w:r>
              <w:rPr>
                <w:rFonts w:ascii="Times New Roman" w:hAnsi="Times New Roman"/>
                <w:sz w:val="16"/>
              </w:rPr>
              <w:t>Direct Depth Scale-Shift</w:t>
            </w:r>
          </w:p>
        </w:tc>
        <w:tc>
          <w:tcPr>
            <w:tcW w:type="dxa" w:w="1440"/>
            <w:tcMar>
              <w:top w:w="70" w:type="dxa"/>
              <w:bottom w:w="70" w:type="dxa"/>
              <w:left w:w="120" w:type="dxa"/>
              <w:right w:w="120" w:type="dxa"/>
            </w:tcMar>
          </w:tcPr>
          <w:p>
            <w:pPr>
              <w:jc w:val="center"/>
            </w:pPr>
            <w:r>
              <w:rPr>
                <w:rFonts w:ascii="Times New Roman" w:hAnsi="Times New Roman"/>
                <w:sz w:val="16"/>
              </w:rPr>
              <w:t>0.4212</w:t>
            </w:r>
          </w:p>
        </w:tc>
        <w:tc>
          <w:tcPr>
            <w:tcW w:type="dxa" w:w="1440"/>
            <w:tcMar>
              <w:top w:w="70" w:type="dxa"/>
              <w:bottom w:w="70" w:type="dxa"/>
              <w:left w:w="120" w:type="dxa"/>
              <w:right w:w="120" w:type="dxa"/>
            </w:tcMar>
          </w:tcPr>
          <w:p>
            <w:pPr>
              <w:jc w:val="center"/>
            </w:pPr>
            <w:r>
              <w:rPr>
                <w:rFonts w:ascii="Times New Roman" w:hAnsi="Times New Roman"/>
                <w:sz w:val="16"/>
              </w:rPr>
              <w:t>0.5777</w:t>
            </w:r>
          </w:p>
        </w:tc>
        <w:tc>
          <w:tcPr>
            <w:tcW w:type="dxa" w:w="1440"/>
            <w:tcMar>
              <w:top w:w="70" w:type="dxa"/>
              <w:bottom w:w="70" w:type="dxa"/>
              <w:left w:w="120" w:type="dxa"/>
              <w:right w:w="120" w:type="dxa"/>
            </w:tcMar>
          </w:tcPr>
          <w:p>
            <w:pPr>
              <w:jc w:val="center"/>
            </w:pPr>
            <w:r>
              <w:rPr>
                <w:rFonts w:ascii="Times New Roman" w:hAnsi="Times New Roman"/>
                <w:sz w:val="16"/>
              </w:rPr>
              <w:t>0.1732</w:t>
            </w:r>
          </w:p>
        </w:tc>
        <w:tc>
          <w:tcPr>
            <w:tcW w:type="dxa" w:w="1440"/>
            <w:tcMar>
              <w:top w:w="70" w:type="dxa"/>
              <w:bottom w:w="70" w:type="dxa"/>
              <w:left w:w="120" w:type="dxa"/>
              <w:right w:w="120" w:type="dxa"/>
            </w:tcMar>
          </w:tcPr>
          <w:p>
            <w:pPr>
              <w:jc w:val="center"/>
            </w:pPr>
            <w:r>
              <w:rPr>
                <w:rFonts w:ascii="Times New Roman" w:hAnsi="Times New Roman"/>
                <w:sz w:val="16"/>
              </w:rPr>
              <w:t>0.7802</w:t>
            </w:r>
          </w:p>
        </w:tc>
        <w:tc>
          <w:tcPr>
            <w:tcW w:type="dxa" w:w="1440"/>
            <w:tcMar>
              <w:top w:w="70" w:type="dxa"/>
              <w:bottom w:w="70" w:type="dxa"/>
              <w:left w:w="120" w:type="dxa"/>
              <w:right w:w="120" w:type="dxa"/>
            </w:tcMar>
          </w:tcPr>
          <w:p>
            <w:pPr>
              <w:jc w:val="center"/>
            </w:pPr>
            <w:r>
              <w:rPr>
                <w:rFonts w:ascii="Times New Roman" w:hAnsi="Times New Roman"/>
                <w:sz w:val="16"/>
              </w:rPr>
              <w:t>244 Negative (100%)</w:t>
            </w:r>
          </w:p>
        </w:tc>
        <w:tc>
          <w:tcPr>
            <w:tcW w:type="dxa" w:w="1440"/>
            <w:tcMar>
              <w:top w:w="70" w:type="dxa"/>
              <w:bottom w:w="70" w:type="dxa"/>
              <w:left w:w="120" w:type="dxa"/>
              <w:right w:w="120" w:type="dxa"/>
            </w:tcMar>
          </w:tcPr>
          <w:p>
            <w:pPr>
              <w:jc w:val="center"/>
            </w:pPr>
            <w:r>
              <w:rPr>
                <w:rFonts w:ascii="Times New Roman" w:hAnsi="Times New Roman"/>
                <w:sz w:val="16"/>
              </w:rPr>
              <w:t>Polarity reversal (geometry inverted)</w:t>
            </w:r>
          </w:p>
        </w:tc>
      </w:tr>
      <w:tr>
        <w:tc>
          <w:tcPr>
            <w:tcW w:type="dxa" w:w="1440"/>
            <w:tcMar>
              <w:top w:w="70" w:type="dxa"/>
              <w:bottom w:w="70" w:type="dxa"/>
              <w:left w:w="120" w:type="dxa"/>
              <w:right w:w="120" w:type="dxa"/>
            </w:tcMar>
            <w:shd w:val="clear" w:color="auto" w:fill="ECFDF5"/>
          </w:tcPr>
          <w:p>
            <w:r>
              <w:rPr>
                <w:rFonts w:ascii="Times New Roman" w:hAnsi="Times New Roman"/>
                <w:b/>
                <w:sz w:val="16"/>
              </w:rPr>
              <w:t>Inverse-Depth Scale-Shift (VEO)</w:t>
            </w:r>
          </w:p>
        </w:tc>
        <w:tc>
          <w:tcPr>
            <w:tcW w:type="dxa" w:w="1440"/>
            <w:tcMar>
              <w:top w:w="70" w:type="dxa"/>
              <w:bottom w:w="70" w:type="dxa"/>
              <w:left w:w="120" w:type="dxa"/>
              <w:right w:w="120" w:type="dxa"/>
            </w:tcMar>
            <w:shd w:val="clear" w:color="auto" w:fill="ECFDF5"/>
          </w:tcPr>
          <w:p>
            <w:pPr>
              <w:jc w:val="center"/>
            </w:pPr>
            <w:r>
              <w:rPr>
                <w:rFonts w:ascii="Times New Roman" w:hAnsi="Times New Roman"/>
                <w:b/>
                <w:sz w:val="16"/>
              </w:rPr>
              <w:t>0.2960</w:t>
            </w:r>
          </w:p>
        </w:tc>
        <w:tc>
          <w:tcPr>
            <w:tcW w:type="dxa" w:w="1440"/>
            <w:tcMar>
              <w:top w:w="70" w:type="dxa"/>
              <w:bottom w:w="70" w:type="dxa"/>
              <w:left w:w="120" w:type="dxa"/>
              <w:right w:w="120" w:type="dxa"/>
            </w:tcMar>
            <w:shd w:val="clear" w:color="auto" w:fill="ECFDF5"/>
          </w:tcPr>
          <w:p>
            <w:pPr>
              <w:jc w:val="center"/>
            </w:pPr>
            <w:r>
              <w:rPr>
                <w:rFonts w:ascii="Times New Roman" w:hAnsi="Times New Roman"/>
                <w:b/>
                <w:sz w:val="16"/>
              </w:rPr>
              <w:t>0.4664</w:t>
            </w:r>
          </w:p>
        </w:tc>
        <w:tc>
          <w:tcPr>
            <w:tcW w:type="dxa" w:w="1440"/>
            <w:tcMar>
              <w:top w:w="70" w:type="dxa"/>
              <w:bottom w:w="70" w:type="dxa"/>
              <w:left w:w="120" w:type="dxa"/>
              <w:right w:w="120" w:type="dxa"/>
            </w:tcMar>
            <w:shd w:val="clear" w:color="auto" w:fill="ECFDF5"/>
          </w:tcPr>
          <w:p>
            <w:pPr>
              <w:jc w:val="center"/>
            </w:pPr>
            <w:r>
              <w:rPr>
                <w:rFonts w:ascii="Times New Roman" w:hAnsi="Times New Roman"/>
                <w:b/>
                <w:sz w:val="16"/>
              </w:rPr>
              <w:t>0.1040</w:t>
            </w:r>
          </w:p>
        </w:tc>
        <w:tc>
          <w:tcPr>
            <w:tcW w:type="dxa" w:w="1440"/>
            <w:tcMar>
              <w:top w:w="70" w:type="dxa"/>
              <w:bottom w:w="70" w:type="dxa"/>
              <w:left w:w="120" w:type="dxa"/>
              <w:right w:w="120" w:type="dxa"/>
            </w:tcMar>
            <w:shd w:val="clear" w:color="auto" w:fill="ECFDF5"/>
          </w:tcPr>
          <w:p>
            <w:pPr>
              <w:jc w:val="center"/>
            </w:pPr>
            <w:r>
              <w:rPr>
                <w:rFonts w:ascii="Times New Roman" w:hAnsi="Times New Roman"/>
                <w:b/>
                <w:sz w:val="16"/>
              </w:rPr>
              <w:t>0.8965</w:t>
            </w:r>
          </w:p>
        </w:tc>
        <w:tc>
          <w:tcPr>
            <w:tcW w:type="dxa" w:w="1440"/>
            <w:tcMar>
              <w:top w:w="70" w:type="dxa"/>
              <w:bottom w:w="70" w:type="dxa"/>
              <w:left w:w="120" w:type="dxa"/>
              <w:right w:w="120" w:type="dxa"/>
            </w:tcMar>
            <w:shd w:val="clear" w:color="auto" w:fill="ECFDF5"/>
          </w:tcPr>
          <w:p>
            <w:pPr>
              <w:jc w:val="center"/>
            </w:pPr>
            <w:r>
              <w:rPr>
                <w:rFonts w:ascii="Times New Roman" w:hAnsi="Times New Roman"/>
                <w:b/>
                <w:sz w:val="16"/>
              </w:rPr>
              <w:t>244 Positive (100%)</w:t>
            </w:r>
          </w:p>
        </w:tc>
        <w:tc>
          <w:tcPr>
            <w:tcW w:type="dxa" w:w="1440"/>
            <w:tcMar>
              <w:top w:w="70" w:type="dxa"/>
              <w:bottom w:w="70" w:type="dxa"/>
              <w:left w:w="120" w:type="dxa"/>
              <w:right w:w="120" w:type="dxa"/>
            </w:tcMar>
            <w:shd w:val="clear" w:color="auto" w:fill="ECFDF5"/>
          </w:tcPr>
          <w:p>
            <w:pPr>
              <w:jc w:val="center"/>
            </w:pPr>
            <w:r>
              <w:rPr>
                <w:rFonts w:ascii="Times New Roman" w:hAnsi="Times New Roman"/>
                <w:b/>
                <w:sz w:val="16"/>
              </w:rPr>
              <w:t>Optimal metric recovery</w:t>
            </w:r>
          </w:p>
        </w:tc>
      </w:tr>
      <w:tr>
        <w:tc>
          <w:tcPr>
            <w:tcW w:type="dxa" w:w="1440"/>
            <w:tcMar>
              <w:top w:w="70" w:type="dxa"/>
              <w:bottom w:w="70" w:type="dxa"/>
              <w:left w:w="120" w:type="dxa"/>
              <w:right w:w="120" w:type="dxa"/>
            </w:tcMar>
          </w:tcPr>
          <w:p>
            <w:r>
              <w:rPr>
                <w:rFonts w:ascii="Times New Roman" w:hAnsi="Times New Roman"/>
                <w:sz w:val="16"/>
              </w:rPr>
              <w:t>Inverse-Depth Scale-Only</w:t>
            </w:r>
          </w:p>
        </w:tc>
        <w:tc>
          <w:tcPr>
            <w:tcW w:type="dxa" w:w="1440"/>
            <w:tcMar>
              <w:top w:w="70" w:type="dxa"/>
              <w:bottom w:w="70" w:type="dxa"/>
              <w:left w:w="120" w:type="dxa"/>
              <w:right w:w="120" w:type="dxa"/>
            </w:tcMar>
          </w:tcPr>
          <w:p>
            <w:pPr>
              <w:jc w:val="center"/>
            </w:pPr>
            <w:r>
              <w:rPr>
                <w:rFonts w:ascii="Times New Roman" w:hAnsi="Times New Roman"/>
                <w:sz w:val="16"/>
              </w:rPr>
              <w:t>1875.27</w:t>
            </w:r>
          </w:p>
        </w:tc>
        <w:tc>
          <w:tcPr>
            <w:tcW w:type="dxa" w:w="1440"/>
            <w:tcMar>
              <w:top w:w="70" w:type="dxa"/>
              <w:bottom w:w="70" w:type="dxa"/>
              <w:left w:w="120" w:type="dxa"/>
              <w:right w:w="120" w:type="dxa"/>
            </w:tcMar>
          </w:tcPr>
          <w:p>
            <w:pPr>
              <w:jc w:val="center"/>
            </w:pPr>
            <w:r>
              <w:rPr>
                <w:rFonts w:ascii="Times New Roman" w:hAnsi="Times New Roman"/>
                <w:sz w:val="16"/>
              </w:rPr>
              <w:t>15779.3</w:t>
            </w:r>
          </w:p>
        </w:tc>
        <w:tc>
          <w:tcPr>
            <w:tcW w:type="dxa" w:w="1440"/>
            <w:tcMar>
              <w:top w:w="70" w:type="dxa"/>
              <w:bottom w:w="70" w:type="dxa"/>
              <w:left w:w="120" w:type="dxa"/>
              <w:right w:w="120" w:type="dxa"/>
            </w:tcMar>
          </w:tcPr>
          <w:p>
            <w:pPr>
              <w:jc w:val="center"/>
            </w:pPr>
            <w:r>
              <w:rPr>
                <w:rFonts w:ascii="Times New Roman" w:hAnsi="Times New Roman"/>
                <w:sz w:val="16"/>
              </w:rPr>
              <w:t>478.02</w:t>
            </w:r>
          </w:p>
        </w:tc>
        <w:tc>
          <w:tcPr>
            <w:tcW w:type="dxa" w:w="1440"/>
            <w:tcMar>
              <w:top w:w="70" w:type="dxa"/>
              <w:bottom w:w="70" w:type="dxa"/>
              <w:left w:w="120" w:type="dxa"/>
              <w:right w:w="120" w:type="dxa"/>
            </w:tcMar>
          </w:tcPr>
          <w:p>
            <w:pPr>
              <w:jc w:val="center"/>
            </w:pPr>
            <w:r>
              <w:rPr>
                <w:rFonts w:ascii="Times New Roman" w:hAnsi="Times New Roman"/>
                <w:sz w:val="16"/>
              </w:rPr>
              <w:t>0.3966</w:t>
            </w:r>
          </w:p>
        </w:tc>
        <w:tc>
          <w:tcPr>
            <w:tcW w:type="dxa" w:w="1440"/>
            <w:tcMar>
              <w:top w:w="70" w:type="dxa"/>
              <w:bottom w:w="70" w:type="dxa"/>
              <w:left w:w="120" w:type="dxa"/>
              <w:right w:w="120" w:type="dxa"/>
            </w:tcMar>
          </w:tcPr>
          <w:p>
            <w:pPr>
              <w:jc w:val="center"/>
            </w:pPr>
            <w:r>
              <w:rPr>
                <w:rFonts w:ascii="Times New Roman" w:hAnsi="Times New Roman"/>
                <w:sz w:val="16"/>
              </w:rPr>
              <w:t>244 Positive (100%)</w:t>
            </w:r>
          </w:p>
        </w:tc>
        <w:tc>
          <w:tcPr>
            <w:tcW w:type="dxa" w:w="1440"/>
            <w:tcMar>
              <w:top w:w="70" w:type="dxa"/>
              <w:bottom w:w="70" w:type="dxa"/>
              <w:left w:w="120" w:type="dxa"/>
              <w:right w:w="120" w:type="dxa"/>
            </w:tcMar>
          </w:tcPr>
          <w:p>
            <w:pPr>
              <w:jc w:val="center"/>
            </w:pPr>
            <w:r>
              <w:rPr>
                <w:rFonts w:ascii="Times New Roman" w:hAnsi="Times New Roman"/>
                <w:sz w:val="16"/>
              </w:rPr>
              <w:t>Reciprocal zero-offset explosion</w:t>
            </w:r>
          </w:p>
        </w:tc>
      </w:tr>
    </w:tbl>
    <w:p>
      <w:pPr>
        <w:keepNext/>
        <w:spacing w:before="200" w:after="60"/>
        <w:jc w:val="center"/>
      </w:pPr>
      <w:r>
        <w:drawing>
          <wp:inline xmlns:a="http://schemas.openxmlformats.org/drawingml/2006/main" xmlns:pic="http://schemas.openxmlformats.org/drawingml/2006/picture">
            <wp:extent cx="5669280" cy="2202454"/>
            <wp:docPr id="2" name="Picture 2"/>
            <wp:cNvGraphicFramePr>
              <a:graphicFrameLocks noChangeAspect="1"/>
            </wp:cNvGraphicFramePr>
            <a:graphic>
              <a:graphicData uri="http://schemas.openxmlformats.org/drawingml/2006/picture">
                <pic:pic>
                  <pic:nvPicPr>
                    <pic:cNvPr id="0" name="fig2_polarity_and_fingerprints.png"/>
                    <pic:cNvPicPr/>
                  </pic:nvPicPr>
                  <pic:blipFill>
                    <a:blip r:embed="rId10"/>
                    <a:stretch>
                      <a:fillRect/>
                    </a:stretch>
                  </pic:blipFill>
                  <pic:spPr>
                    <a:xfrm>
                      <a:off x="0" y="0"/>
                      <a:ext cx="5669280" cy="2202454"/>
                    </a:xfrm>
                    <a:prstGeom prst="rect"/>
                  </pic:spPr>
                </pic:pic>
              </a:graphicData>
            </a:graphic>
          </wp:inline>
        </w:drawing>
      </w:r>
    </w:p>
    <w:p>
      <w:pPr>
        <w:spacing w:before="60" w:after="200" w:line="252" w:lineRule="auto"/>
        <w:ind w:left="288" w:right="288"/>
        <w:jc w:val="both"/>
      </w:pPr>
      <w:r>
        <w:rPr>
          <w:rFonts w:ascii="Times New Roman" w:hAnsi="Times New Roman"/>
          <w:b/>
          <w:color w:val="0A2540"/>
          <w:sz w:val="17"/>
        </w:rPr>
        <w:t xml:space="preserve">Fig. 2. </w:t>
      </w:r>
      <w:r>
        <w:rPr>
          <w:rFonts w:ascii="Times New Roman" w:hAnsi="Times New Roman"/>
          <w:b w:val="0"/>
          <w:i w:val="0"/>
          <w:sz w:val="17"/>
        </w:rPr>
        <w:t>(a) Empirical demonstration of polarity reversal under direct depth vs. inverse-depth scale-shift regression across 244 NYU Depth V2 test scenes; (b) Comparative failure category fingerprints between Depth Anything V2 Small and DPT-Hybrid-MiDaS across 8,925 segmented error regions. [Note: Diagram generated using AI visualization tools].</w:t>
      </w:r>
    </w:p>
    <w:p>
      <w:pPr>
        <w:keepNext/>
        <w:spacing w:before="180" w:after="60"/>
        <w:jc w:val="left"/>
      </w:pPr>
      <w:r>
        <w:rPr>
          <w:rFonts w:ascii="Times New Roman" w:hAnsi="Times New Roman"/>
          <w:b/>
          <w:i/>
          <w:color w:val="1E3A8A"/>
          <w:sz w:val="20"/>
        </w:rPr>
        <w:t>C. Error Threshold Sensitivity Analysis</w:t>
      </w:r>
    </w:p>
    <w:p>
      <w:pPr>
        <w:spacing w:before="0" w:after="70" w:line="259" w:lineRule="auto"/>
        <w:ind w:firstLine="288"/>
        <w:jc w:val="both"/>
      </w:pPr>
      <w:r>
        <w:rPr>
          <w:rFonts w:ascii="Times New Roman" w:hAnsi="Times New Roman"/>
          <w:b w:val="0"/>
          <w:i w:val="0"/>
          <w:sz w:val="20"/>
        </w:rPr>
        <w:t>To establish that failure region extraction is stable rather than an artifact of an arbitrary threshold, M3 was evaluated across the 75th, 85th, 90th, and 95th percentiles (Table IV). As the threshold tightens, mean region count decreases monotonically from 24.16 to 14.07 regions per image, while mean region area contracts from 4,464 to 1,727 pixels. The 85th percentile captures substantial connected spatial failure clusters while filtering single-pixel sensor noise.</w:t>
      </w:r>
    </w:p>
    <w:p>
      <w:pPr>
        <w:keepNext/>
        <w:spacing w:before="240" w:after="20"/>
        <w:jc w:val="center"/>
      </w:pPr>
      <w:r>
        <w:rPr>
          <w:rFonts w:ascii="Times New Roman" w:hAnsi="Times New Roman"/>
          <w:b/>
          <w:color w:val="0A2540"/>
          <w:sz w:val="17"/>
        </w:rPr>
        <w:t>TABLE IV</w:t>
      </w:r>
    </w:p>
    <w:p>
      <w:pPr>
        <w:keepNext/>
        <w:spacing w:before="20" w:after="80"/>
        <w:jc w:val="center"/>
      </w:pPr>
      <w:r>
        <w:rPr>
          <w:rFonts w:ascii="Times New Roman" w:hAnsi="Times New Roman"/>
          <w:b/>
          <w:color w:val="334155"/>
          <w:sz w:val="16"/>
        </w:rPr>
        <w:t>THRESHOLD SENSITIVITY ANALYSIS ACROSS ERROR PERCENTILES ON NYU DEPTH V2 TEST SPLIT</w:t>
      </w:r>
    </w:p>
    <w:tbl>
      <w:tblPr>
        <w:tblW w:type="auto" w:w="0"/>
        <w:jc w:val="center"/>
        <w:tblLook w:firstColumn="1" w:firstRow="1" w:lastColumn="0" w:lastRow="0" w:noHBand="0" w:noVBand="1" w:val="04A0"/>
        <w:tblBorders>
          <w:top w:val="single" w:sz="12" w:space="0" w:color="1E3A8A"/>
          <w:bottom w:val="single" w:sz="12" w:space="0" w:color="1E3A8A"/>
          <w:insideH w:val="single" w:sz="6" w:space="0" w:color="CBD5E1"/>
          <w:left w:val="none"/>
          <w:right w:val="none"/>
          <w:insideV w:val="none"/>
        </w:tblBorders>
      </w:tblPr>
      <w:tblGrid>
        <w:gridCol w:w="2016"/>
        <w:gridCol w:w="2016"/>
        <w:gridCol w:w="2016"/>
        <w:gridCol w:w="2016"/>
        <w:gridCol w:w="2016"/>
      </w:tblGrid>
      <w:tr>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Error Percentile Threshold</w:t>
            </w:r>
          </w:p>
        </w:tc>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Mean Regions / Image (Direct)</w:t>
            </w:r>
          </w:p>
        </w:tc>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Mean Regions / Image (Inverse)</w:t>
            </w:r>
          </w:p>
        </w:tc>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Mean Region Area (Direct)</w:t>
            </w:r>
          </w:p>
        </w:tc>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Mean Region Area (Inverse)</w:t>
            </w:r>
          </w:p>
        </w:tc>
      </w:tr>
      <w:tr>
        <w:tc>
          <w:tcPr>
            <w:tcW w:type="dxa" w:w="2016"/>
            <w:tcMar>
              <w:top w:w="70" w:type="dxa"/>
              <w:bottom w:w="70" w:type="dxa"/>
              <w:left w:w="120" w:type="dxa"/>
              <w:right w:w="120" w:type="dxa"/>
            </w:tcMar>
            <w:shd w:val="clear" w:color="auto" w:fill="F8FAFC"/>
          </w:tcPr>
          <w:p>
            <w:r>
              <w:rPr>
                <w:rFonts w:ascii="Times New Roman" w:hAnsi="Times New Roman"/>
                <w:sz w:val="16"/>
              </w:rPr>
              <w:t>75th Percentile</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16.22</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24.16</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6,779 px</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4,465 px</w:t>
            </w:r>
          </w:p>
        </w:tc>
      </w:tr>
      <w:tr>
        <w:tc>
          <w:tcPr>
            <w:tcW w:type="dxa" w:w="2016"/>
            <w:tcMar>
              <w:top w:w="70" w:type="dxa"/>
              <w:bottom w:w="70" w:type="dxa"/>
              <w:left w:w="120" w:type="dxa"/>
              <w:right w:w="120" w:type="dxa"/>
            </w:tcMar>
            <w:shd w:val="clear" w:color="auto" w:fill="ECFDF5"/>
          </w:tcPr>
          <w:p>
            <w:r>
              <w:rPr>
                <w:rFonts w:ascii="Times New Roman" w:hAnsi="Times New Roman"/>
                <w:b/>
                <w:sz w:val="16"/>
              </w:rPr>
              <w:t>85th Percentile (VEO Baseline)</w:t>
            </w:r>
          </w:p>
        </w:tc>
        <w:tc>
          <w:tcPr>
            <w:tcW w:type="dxa" w:w="2016"/>
            <w:tcMar>
              <w:top w:w="70" w:type="dxa"/>
              <w:bottom w:w="70" w:type="dxa"/>
              <w:left w:w="120" w:type="dxa"/>
              <w:right w:w="120" w:type="dxa"/>
            </w:tcMar>
            <w:shd w:val="clear" w:color="auto" w:fill="ECFDF5"/>
          </w:tcPr>
          <w:p>
            <w:pPr>
              <w:jc w:val="center"/>
            </w:pPr>
            <w:r>
              <w:rPr>
                <w:rFonts w:ascii="Times New Roman" w:hAnsi="Times New Roman"/>
                <w:b/>
                <w:sz w:val="16"/>
              </w:rPr>
              <w:t>16.14</w:t>
            </w:r>
          </w:p>
        </w:tc>
        <w:tc>
          <w:tcPr>
            <w:tcW w:type="dxa" w:w="2016"/>
            <w:tcMar>
              <w:top w:w="70" w:type="dxa"/>
              <w:bottom w:w="70" w:type="dxa"/>
              <w:left w:w="120" w:type="dxa"/>
              <w:right w:w="120" w:type="dxa"/>
            </w:tcMar>
            <w:shd w:val="clear" w:color="auto" w:fill="ECFDF5"/>
          </w:tcPr>
          <w:p>
            <w:pPr>
              <w:jc w:val="center"/>
            </w:pPr>
            <w:r>
              <w:rPr>
                <w:rFonts w:ascii="Times New Roman" w:hAnsi="Times New Roman"/>
                <w:b/>
                <w:sz w:val="16"/>
              </w:rPr>
              <w:t>21.46</w:t>
            </w:r>
          </w:p>
        </w:tc>
        <w:tc>
          <w:tcPr>
            <w:tcW w:type="dxa" w:w="2016"/>
            <w:tcMar>
              <w:top w:w="70" w:type="dxa"/>
              <w:bottom w:w="70" w:type="dxa"/>
              <w:left w:w="120" w:type="dxa"/>
              <w:right w:w="120" w:type="dxa"/>
            </w:tcMar>
            <w:shd w:val="clear" w:color="auto" w:fill="ECFDF5"/>
          </w:tcPr>
          <w:p>
            <w:pPr>
              <w:jc w:val="center"/>
            </w:pPr>
            <w:r>
              <w:rPr>
                <w:rFonts w:ascii="Times New Roman" w:hAnsi="Times New Roman"/>
                <w:b/>
                <w:sz w:val="16"/>
              </w:rPr>
              <w:t>4,063 px</w:t>
            </w:r>
          </w:p>
        </w:tc>
        <w:tc>
          <w:tcPr>
            <w:tcW w:type="dxa" w:w="2016"/>
            <w:tcMar>
              <w:top w:w="70" w:type="dxa"/>
              <w:bottom w:w="70" w:type="dxa"/>
              <w:left w:w="120" w:type="dxa"/>
              <w:right w:w="120" w:type="dxa"/>
            </w:tcMar>
            <w:shd w:val="clear" w:color="auto" w:fill="ECFDF5"/>
          </w:tcPr>
          <w:p>
            <w:pPr>
              <w:jc w:val="center"/>
            </w:pPr>
            <w:r>
              <w:rPr>
                <w:rFonts w:ascii="Times New Roman" w:hAnsi="Times New Roman"/>
                <w:b/>
                <w:sz w:val="16"/>
              </w:rPr>
              <w:t>3,254 px</w:t>
            </w:r>
          </w:p>
        </w:tc>
      </w:tr>
      <w:tr>
        <w:tc>
          <w:tcPr>
            <w:tcW w:type="dxa" w:w="2016"/>
            <w:tcMar>
              <w:top w:w="70" w:type="dxa"/>
              <w:bottom w:w="70" w:type="dxa"/>
              <w:left w:w="120" w:type="dxa"/>
              <w:right w:w="120" w:type="dxa"/>
            </w:tcMar>
            <w:shd w:val="clear" w:color="auto" w:fill="F8FAFC"/>
          </w:tcPr>
          <w:p>
            <w:r>
              <w:rPr>
                <w:rFonts w:ascii="Times New Roman" w:hAnsi="Times New Roman"/>
                <w:sz w:val="16"/>
              </w:rPr>
              <w:t>90th Percentile</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14.27</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19.10</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3,145 px</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2,423 px</w:t>
            </w:r>
          </w:p>
        </w:tc>
      </w:tr>
      <w:tr>
        <w:tc>
          <w:tcPr>
            <w:tcW w:type="dxa" w:w="2016"/>
            <w:tcMar>
              <w:top w:w="70" w:type="dxa"/>
              <w:bottom w:w="70" w:type="dxa"/>
              <w:left w:w="120" w:type="dxa"/>
              <w:right w:w="120" w:type="dxa"/>
            </w:tcMar>
          </w:tcPr>
          <w:p>
            <w:r>
              <w:rPr>
                <w:rFonts w:ascii="Times New Roman" w:hAnsi="Times New Roman"/>
                <w:sz w:val="16"/>
              </w:rPr>
              <w:t>95th Percentile</w:t>
            </w:r>
          </w:p>
        </w:tc>
        <w:tc>
          <w:tcPr>
            <w:tcW w:type="dxa" w:w="2016"/>
            <w:tcMar>
              <w:top w:w="70" w:type="dxa"/>
              <w:bottom w:w="70" w:type="dxa"/>
              <w:left w:w="120" w:type="dxa"/>
              <w:right w:w="120" w:type="dxa"/>
            </w:tcMar>
          </w:tcPr>
          <w:p>
            <w:pPr>
              <w:jc w:val="center"/>
            </w:pPr>
            <w:r>
              <w:rPr>
                <w:rFonts w:ascii="Times New Roman" w:hAnsi="Times New Roman"/>
                <w:sz w:val="16"/>
              </w:rPr>
              <w:t>10.73</w:t>
            </w:r>
          </w:p>
        </w:tc>
        <w:tc>
          <w:tcPr>
            <w:tcW w:type="dxa" w:w="2016"/>
            <w:tcMar>
              <w:top w:w="70" w:type="dxa"/>
              <w:bottom w:w="70" w:type="dxa"/>
              <w:left w:w="120" w:type="dxa"/>
              <w:right w:w="120" w:type="dxa"/>
            </w:tcMar>
          </w:tcPr>
          <w:p>
            <w:pPr>
              <w:jc w:val="center"/>
            </w:pPr>
            <w:r>
              <w:rPr>
                <w:rFonts w:ascii="Times New Roman" w:hAnsi="Times New Roman"/>
                <w:sz w:val="16"/>
              </w:rPr>
              <w:t>14.07</w:t>
            </w:r>
          </w:p>
        </w:tc>
        <w:tc>
          <w:tcPr>
            <w:tcW w:type="dxa" w:w="2016"/>
            <w:tcMar>
              <w:top w:w="70" w:type="dxa"/>
              <w:bottom w:w="70" w:type="dxa"/>
              <w:left w:w="120" w:type="dxa"/>
              <w:right w:w="120" w:type="dxa"/>
            </w:tcMar>
          </w:tcPr>
          <w:p>
            <w:pPr>
              <w:jc w:val="center"/>
            </w:pPr>
            <w:r>
              <w:rPr>
                <w:rFonts w:ascii="Times New Roman" w:hAnsi="Times New Roman"/>
                <w:sz w:val="16"/>
              </w:rPr>
              <w:t>2,192 px</w:t>
            </w:r>
          </w:p>
        </w:tc>
        <w:tc>
          <w:tcPr>
            <w:tcW w:type="dxa" w:w="2016"/>
            <w:tcMar>
              <w:top w:w="70" w:type="dxa"/>
              <w:bottom w:w="70" w:type="dxa"/>
              <w:left w:w="120" w:type="dxa"/>
              <w:right w:w="120" w:type="dxa"/>
            </w:tcMar>
          </w:tcPr>
          <w:p>
            <w:pPr>
              <w:jc w:val="center"/>
            </w:pPr>
            <w:r>
              <w:rPr>
                <w:rFonts w:ascii="Times New Roman" w:hAnsi="Times New Roman"/>
                <w:sz w:val="16"/>
              </w:rPr>
              <w:t>1,727 px</w:t>
            </w:r>
          </w:p>
        </w:tc>
      </w:tr>
    </w:tbl>
    <w:p>
      <w:pPr>
        <w:keepNext/>
        <w:spacing w:before="180" w:after="60"/>
        <w:jc w:val="left"/>
      </w:pPr>
      <w:r>
        <w:rPr>
          <w:rFonts w:ascii="Times New Roman" w:hAnsi="Times New Roman"/>
          <w:b/>
          <w:i/>
          <w:color w:val="1E3A8A"/>
          <w:sz w:val="20"/>
        </w:rPr>
        <w:t>D. Cross-Model Failure Fingerprinting</w:t>
      </w:r>
    </w:p>
    <w:p>
      <w:pPr>
        <w:spacing w:before="0" w:after="70" w:line="259" w:lineRule="auto"/>
        <w:ind w:firstLine="288"/>
        <w:jc w:val="both"/>
      </w:pPr>
      <w:r>
        <w:rPr>
          <w:rFonts w:ascii="Times New Roman" w:hAnsi="Times New Roman"/>
          <w:b w:val="0"/>
          <w:i w:val="0"/>
          <w:sz w:val="20"/>
        </w:rPr>
        <w:t>VEO uncovers stark differences in the diagnostic failure distributions of Depth Anything V2 and DPT-Hybrid-MiDaS (Table V and Fig. 2b). Depth Anything V2 is heavily susceptible to featureless surfaces (19.5% textureless) and boundary bleeding (18.0% boundary mixing). In contrast, DPT-Hybrid-MiDaS exhibits a significantly higher vulnerability to specular highlights and glossy surfaces (17.4% reflection vs 13.1% in DA-V2). Both models trigger the ambiguity gate in approximately 39% of cases, reflecting realistic multi-signal indoor complexity.</w:t>
      </w:r>
    </w:p>
    <w:p>
      <w:pPr>
        <w:keepNext/>
        <w:spacing w:before="240" w:after="20"/>
        <w:jc w:val="center"/>
      </w:pPr>
      <w:r>
        <w:rPr>
          <w:rFonts w:ascii="Times New Roman" w:hAnsi="Times New Roman"/>
          <w:b/>
          <w:color w:val="0A2540"/>
          <w:sz w:val="17"/>
        </w:rPr>
        <w:t>TABLE V</w:t>
      </w:r>
    </w:p>
    <w:p>
      <w:pPr>
        <w:keepNext/>
        <w:spacing w:before="20" w:after="80"/>
        <w:jc w:val="center"/>
      </w:pPr>
      <w:r>
        <w:rPr>
          <w:rFonts w:ascii="Times New Roman" w:hAnsi="Times New Roman"/>
          <w:b/>
          <w:color w:val="334155"/>
          <w:sz w:val="16"/>
        </w:rPr>
        <w:t>COMPARATIVE FAILURE CAUSE DISTRIBUTION: DEPTH ANYTHING V2 VS. DPT-HYBRID-MIDAS</w:t>
      </w:r>
    </w:p>
    <w:tbl>
      <w:tblPr>
        <w:tblW w:type="auto" w:w="0"/>
        <w:jc w:val="center"/>
        <w:tblLook w:firstColumn="1" w:firstRow="1" w:lastColumn="0" w:lastRow="0" w:noHBand="0" w:noVBand="1" w:val="04A0"/>
        <w:tblBorders>
          <w:top w:val="single" w:sz="12" w:space="0" w:color="1E3A8A"/>
          <w:bottom w:val="single" w:sz="12" w:space="0" w:color="1E3A8A"/>
          <w:insideH w:val="single" w:sz="6" w:space="0" w:color="CBD5E1"/>
          <w:left w:val="none"/>
          <w:right w:val="none"/>
          <w:insideV w:val="none"/>
        </w:tblBorders>
      </w:tblPr>
      <w:tblGrid>
        <w:gridCol w:w="2016"/>
        <w:gridCol w:w="2016"/>
        <w:gridCol w:w="2016"/>
        <w:gridCol w:w="2016"/>
        <w:gridCol w:w="2016"/>
      </w:tblGrid>
      <w:tr>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Diagnostic Category</w:t>
            </w:r>
          </w:p>
        </w:tc>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DA-V2 Region Count</w:t>
            </w:r>
          </w:p>
        </w:tc>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DA-V2 Prevalence (%)</w:t>
            </w:r>
          </w:p>
        </w:tc>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DPT-MiDaS Count</w:t>
            </w:r>
          </w:p>
        </w:tc>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DPT-MiDaS Prevalence (%)</w:t>
            </w:r>
          </w:p>
        </w:tc>
      </w:tr>
      <w:tr>
        <w:tc>
          <w:tcPr>
            <w:tcW w:type="dxa" w:w="2016"/>
            <w:tcMar>
              <w:top w:w="70" w:type="dxa"/>
              <w:bottom w:w="70" w:type="dxa"/>
              <w:left w:w="120" w:type="dxa"/>
              <w:right w:w="120" w:type="dxa"/>
            </w:tcMar>
            <w:shd w:val="clear" w:color="auto" w:fill="F8FAFC"/>
          </w:tcPr>
          <w:p>
            <w:r>
              <w:rPr>
                <w:rFonts w:ascii="Times New Roman" w:hAnsi="Times New Roman"/>
                <w:sz w:val="16"/>
              </w:rPr>
              <w:t>ambiguous</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2,059</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39.3%</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1,444</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39.1%</w:t>
            </w:r>
          </w:p>
        </w:tc>
      </w:tr>
      <w:tr>
        <w:tc>
          <w:tcPr>
            <w:tcW w:type="dxa" w:w="2016"/>
            <w:tcMar>
              <w:top w:w="70" w:type="dxa"/>
              <w:bottom w:w="70" w:type="dxa"/>
              <w:left w:w="120" w:type="dxa"/>
              <w:right w:w="120" w:type="dxa"/>
            </w:tcMar>
          </w:tcPr>
          <w:p>
            <w:r>
              <w:rPr>
                <w:rFonts w:ascii="Times New Roman" w:hAnsi="Times New Roman"/>
                <w:sz w:val="16"/>
              </w:rPr>
              <w:t>textureless</w:t>
            </w:r>
          </w:p>
        </w:tc>
        <w:tc>
          <w:tcPr>
            <w:tcW w:type="dxa" w:w="2016"/>
            <w:tcMar>
              <w:top w:w="70" w:type="dxa"/>
              <w:bottom w:w="70" w:type="dxa"/>
              <w:left w:w="120" w:type="dxa"/>
              <w:right w:w="120" w:type="dxa"/>
            </w:tcMar>
          </w:tcPr>
          <w:p>
            <w:pPr>
              <w:jc w:val="center"/>
            </w:pPr>
            <w:r>
              <w:rPr>
                <w:rFonts w:ascii="Times New Roman" w:hAnsi="Times New Roman"/>
                <w:sz w:val="16"/>
              </w:rPr>
              <w:t>1,021</w:t>
            </w:r>
          </w:p>
        </w:tc>
        <w:tc>
          <w:tcPr>
            <w:tcW w:type="dxa" w:w="2016"/>
            <w:tcMar>
              <w:top w:w="70" w:type="dxa"/>
              <w:bottom w:w="70" w:type="dxa"/>
              <w:left w:w="120" w:type="dxa"/>
              <w:right w:w="120" w:type="dxa"/>
            </w:tcMar>
          </w:tcPr>
          <w:p>
            <w:pPr>
              <w:jc w:val="center"/>
            </w:pPr>
            <w:r>
              <w:rPr>
                <w:rFonts w:ascii="Times New Roman" w:hAnsi="Times New Roman"/>
                <w:sz w:val="16"/>
              </w:rPr>
              <w:t>19.5%</w:t>
            </w:r>
          </w:p>
        </w:tc>
        <w:tc>
          <w:tcPr>
            <w:tcW w:type="dxa" w:w="2016"/>
            <w:tcMar>
              <w:top w:w="70" w:type="dxa"/>
              <w:bottom w:w="70" w:type="dxa"/>
              <w:left w:w="120" w:type="dxa"/>
              <w:right w:w="120" w:type="dxa"/>
            </w:tcMar>
          </w:tcPr>
          <w:p>
            <w:pPr>
              <w:jc w:val="center"/>
            </w:pPr>
            <w:r>
              <w:rPr>
                <w:rFonts w:ascii="Times New Roman" w:hAnsi="Times New Roman"/>
                <w:sz w:val="16"/>
              </w:rPr>
              <w:t>637</w:t>
            </w:r>
          </w:p>
        </w:tc>
        <w:tc>
          <w:tcPr>
            <w:tcW w:type="dxa" w:w="2016"/>
            <w:tcMar>
              <w:top w:w="70" w:type="dxa"/>
              <w:bottom w:w="70" w:type="dxa"/>
              <w:left w:w="120" w:type="dxa"/>
              <w:right w:w="120" w:type="dxa"/>
            </w:tcMar>
          </w:tcPr>
          <w:p>
            <w:pPr>
              <w:jc w:val="center"/>
            </w:pPr>
            <w:r>
              <w:rPr>
                <w:rFonts w:ascii="Times New Roman" w:hAnsi="Times New Roman"/>
                <w:sz w:val="16"/>
              </w:rPr>
              <w:t>17.3%</w:t>
            </w:r>
          </w:p>
        </w:tc>
      </w:tr>
      <w:tr>
        <w:tc>
          <w:tcPr>
            <w:tcW w:type="dxa" w:w="2016"/>
            <w:tcMar>
              <w:top w:w="70" w:type="dxa"/>
              <w:bottom w:w="70" w:type="dxa"/>
              <w:left w:w="120" w:type="dxa"/>
              <w:right w:w="120" w:type="dxa"/>
            </w:tcMar>
            <w:shd w:val="clear" w:color="auto" w:fill="F8FAFC"/>
          </w:tcPr>
          <w:p>
            <w:r>
              <w:rPr>
                <w:rFonts w:ascii="Times New Roman" w:hAnsi="Times New Roman"/>
                <w:sz w:val="16"/>
              </w:rPr>
              <w:t>boundary_mixing</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944</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18.0%</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553</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15.0%</w:t>
            </w:r>
          </w:p>
        </w:tc>
      </w:tr>
      <w:tr>
        <w:tc>
          <w:tcPr>
            <w:tcW w:type="dxa" w:w="2016"/>
            <w:tcMar>
              <w:top w:w="70" w:type="dxa"/>
              <w:bottom w:w="70" w:type="dxa"/>
              <w:left w:w="120" w:type="dxa"/>
              <w:right w:w="120" w:type="dxa"/>
            </w:tcMar>
          </w:tcPr>
          <w:p>
            <w:r>
              <w:rPr>
                <w:rFonts w:ascii="Times New Roman" w:hAnsi="Times New Roman"/>
                <w:sz w:val="16"/>
              </w:rPr>
              <w:t>reflection</w:t>
            </w:r>
          </w:p>
        </w:tc>
        <w:tc>
          <w:tcPr>
            <w:tcW w:type="dxa" w:w="2016"/>
            <w:tcMar>
              <w:top w:w="70" w:type="dxa"/>
              <w:bottom w:w="70" w:type="dxa"/>
              <w:left w:w="120" w:type="dxa"/>
              <w:right w:w="120" w:type="dxa"/>
            </w:tcMar>
          </w:tcPr>
          <w:p>
            <w:pPr>
              <w:jc w:val="center"/>
            </w:pPr>
            <w:r>
              <w:rPr>
                <w:rFonts w:ascii="Times New Roman" w:hAnsi="Times New Roman"/>
                <w:sz w:val="16"/>
              </w:rPr>
              <w:t>687</w:t>
            </w:r>
          </w:p>
        </w:tc>
        <w:tc>
          <w:tcPr>
            <w:tcW w:type="dxa" w:w="2016"/>
            <w:tcMar>
              <w:top w:w="70" w:type="dxa"/>
              <w:bottom w:w="70" w:type="dxa"/>
              <w:left w:w="120" w:type="dxa"/>
              <w:right w:w="120" w:type="dxa"/>
            </w:tcMar>
          </w:tcPr>
          <w:p>
            <w:pPr>
              <w:jc w:val="center"/>
            </w:pPr>
            <w:r>
              <w:rPr>
                <w:rFonts w:ascii="Times New Roman" w:hAnsi="Times New Roman"/>
                <w:sz w:val="16"/>
              </w:rPr>
              <w:t>13.1%</w:t>
            </w:r>
          </w:p>
        </w:tc>
        <w:tc>
          <w:tcPr>
            <w:tcW w:type="dxa" w:w="2016"/>
            <w:tcMar>
              <w:top w:w="70" w:type="dxa"/>
              <w:bottom w:w="70" w:type="dxa"/>
              <w:left w:w="120" w:type="dxa"/>
              <w:right w:w="120" w:type="dxa"/>
            </w:tcMar>
          </w:tcPr>
          <w:p>
            <w:pPr>
              <w:jc w:val="center"/>
            </w:pPr>
            <w:r>
              <w:rPr>
                <w:rFonts w:ascii="Times New Roman" w:hAnsi="Times New Roman"/>
                <w:sz w:val="16"/>
              </w:rPr>
              <w:t>643</w:t>
            </w:r>
          </w:p>
        </w:tc>
        <w:tc>
          <w:tcPr>
            <w:tcW w:type="dxa" w:w="2016"/>
            <w:tcMar>
              <w:top w:w="70" w:type="dxa"/>
              <w:bottom w:w="70" w:type="dxa"/>
              <w:left w:w="120" w:type="dxa"/>
              <w:right w:w="120" w:type="dxa"/>
            </w:tcMar>
          </w:tcPr>
          <w:p>
            <w:pPr>
              <w:jc w:val="center"/>
            </w:pPr>
            <w:r>
              <w:rPr>
                <w:rFonts w:ascii="Times New Roman" w:hAnsi="Times New Roman"/>
                <w:sz w:val="16"/>
              </w:rPr>
              <w:t>17.4%</w:t>
            </w:r>
          </w:p>
        </w:tc>
      </w:tr>
      <w:tr>
        <w:tc>
          <w:tcPr>
            <w:tcW w:type="dxa" w:w="2016"/>
            <w:tcMar>
              <w:top w:w="70" w:type="dxa"/>
              <w:bottom w:w="70" w:type="dxa"/>
              <w:left w:w="120" w:type="dxa"/>
              <w:right w:w="120" w:type="dxa"/>
            </w:tcMar>
            <w:shd w:val="clear" w:color="auto" w:fill="F8FAFC"/>
          </w:tcPr>
          <w:p>
            <w:r>
              <w:rPr>
                <w:rFonts w:ascii="Times New Roman" w:hAnsi="Times New Roman"/>
                <w:sz w:val="16"/>
              </w:rPr>
              <w:t>poor_lighting</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351</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6.7%</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286</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7.8%</w:t>
            </w:r>
          </w:p>
        </w:tc>
      </w:tr>
      <w:tr>
        <w:tc>
          <w:tcPr>
            <w:tcW w:type="dxa" w:w="2016"/>
            <w:tcMar>
              <w:top w:w="70" w:type="dxa"/>
              <w:bottom w:w="70" w:type="dxa"/>
              <w:left w:w="120" w:type="dxa"/>
              <w:right w:w="120" w:type="dxa"/>
            </w:tcMar>
          </w:tcPr>
          <w:p>
            <w:r>
              <w:rPr>
                <w:rFonts w:ascii="Times New Roman" w:hAnsi="Times New Roman"/>
                <w:sz w:val="16"/>
              </w:rPr>
              <w:t>thin_object</w:t>
            </w:r>
          </w:p>
        </w:tc>
        <w:tc>
          <w:tcPr>
            <w:tcW w:type="dxa" w:w="2016"/>
            <w:tcMar>
              <w:top w:w="70" w:type="dxa"/>
              <w:bottom w:w="70" w:type="dxa"/>
              <w:left w:w="120" w:type="dxa"/>
              <w:right w:w="120" w:type="dxa"/>
            </w:tcMar>
          </w:tcPr>
          <w:p>
            <w:pPr>
              <w:jc w:val="center"/>
            </w:pPr>
            <w:r>
              <w:rPr>
                <w:rFonts w:ascii="Times New Roman" w:hAnsi="Times New Roman"/>
                <w:sz w:val="16"/>
              </w:rPr>
              <w:t>152</w:t>
            </w:r>
          </w:p>
        </w:tc>
        <w:tc>
          <w:tcPr>
            <w:tcW w:type="dxa" w:w="2016"/>
            <w:tcMar>
              <w:top w:w="70" w:type="dxa"/>
              <w:bottom w:w="70" w:type="dxa"/>
              <w:left w:w="120" w:type="dxa"/>
              <w:right w:w="120" w:type="dxa"/>
            </w:tcMar>
          </w:tcPr>
          <w:p>
            <w:pPr>
              <w:jc w:val="center"/>
            </w:pPr>
            <w:r>
              <w:rPr>
                <w:rFonts w:ascii="Times New Roman" w:hAnsi="Times New Roman"/>
                <w:sz w:val="16"/>
              </w:rPr>
              <w:t>2.9%</w:t>
            </w:r>
          </w:p>
        </w:tc>
        <w:tc>
          <w:tcPr>
            <w:tcW w:type="dxa" w:w="2016"/>
            <w:tcMar>
              <w:top w:w="70" w:type="dxa"/>
              <w:bottom w:w="70" w:type="dxa"/>
              <w:left w:w="120" w:type="dxa"/>
              <w:right w:w="120" w:type="dxa"/>
            </w:tcMar>
          </w:tcPr>
          <w:p>
            <w:pPr>
              <w:jc w:val="center"/>
            </w:pPr>
            <w:r>
              <w:rPr>
                <w:rFonts w:ascii="Times New Roman" w:hAnsi="Times New Roman"/>
                <w:sz w:val="16"/>
              </w:rPr>
              <w:t>96</w:t>
            </w:r>
          </w:p>
        </w:tc>
        <w:tc>
          <w:tcPr>
            <w:tcW w:type="dxa" w:w="2016"/>
            <w:tcMar>
              <w:top w:w="70" w:type="dxa"/>
              <w:bottom w:w="70" w:type="dxa"/>
              <w:left w:w="120" w:type="dxa"/>
              <w:right w:w="120" w:type="dxa"/>
            </w:tcMar>
          </w:tcPr>
          <w:p>
            <w:pPr>
              <w:jc w:val="center"/>
            </w:pPr>
            <w:r>
              <w:rPr>
                <w:rFonts w:ascii="Times New Roman" w:hAnsi="Times New Roman"/>
                <w:sz w:val="16"/>
              </w:rPr>
              <w:t>2.6%</w:t>
            </w:r>
          </w:p>
        </w:tc>
      </w:tr>
      <w:tr>
        <w:tc>
          <w:tcPr>
            <w:tcW w:type="dxa" w:w="2016"/>
            <w:tcMar>
              <w:top w:w="70" w:type="dxa"/>
              <w:bottom w:w="70" w:type="dxa"/>
              <w:left w:w="120" w:type="dxa"/>
              <w:right w:w="120" w:type="dxa"/>
            </w:tcMar>
            <w:shd w:val="clear" w:color="auto" w:fill="F8FAFC"/>
          </w:tcPr>
          <w:p>
            <w:r>
              <w:rPr>
                <w:rFonts w:ascii="Times New Roman" w:hAnsi="Times New Roman"/>
                <w:sz w:val="16"/>
              </w:rPr>
              <w:t>occlusion</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22</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0.4%</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30</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0.8%</w:t>
            </w:r>
          </w:p>
        </w:tc>
      </w:tr>
    </w:tbl>
    <w:p>
      <w:pPr>
        <w:keepNext/>
        <w:spacing w:before="180" w:after="60"/>
        <w:jc w:val="left"/>
      </w:pPr>
      <w:r>
        <w:rPr>
          <w:rFonts w:ascii="Times New Roman" w:hAnsi="Times New Roman"/>
          <w:b/>
          <w:i/>
          <w:color w:val="1E3A8A"/>
          <w:sz w:val="20"/>
        </w:rPr>
        <w:t>E. Feature-Error Correlation Matrix</w:t>
      </w:r>
    </w:p>
    <w:p>
      <w:pPr>
        <w:spacing w:before="0" w:after="70" w:line="259" w:lineRule="auto"/>
        <w:ind w:firstLine="288"/>
        <w:jc w:val="both"/>
      </w:pPr>
      <w:r>
        <w:rPr>
          <w:rFonts w:ascii="Times New Roman" w:hAnsi="Times New Roman"/>
          <w:b w:val="0"/>
          <w:i w:val="0"/>
          <w:sz w:val="20"/>
        </w:rPr>
        <w:t>Across all 5,236 extracted failure regions, every measured feature signal demonstrates statistically significant correlation with depth error magnitude (Table VI). The strongest predictor is depth discontinuity (r = 0.4502, p = 9.36×10⁻²⁶⁰), confirming that depth step transitions are primary drivers of error. Contrast (r = 0.2656), texture variance (r = 0.2165), and luminance brightness (r = 0.1643) also correlate heavily with error magnitude.</w:t>
      </w:r>
    </w:p>
    <w:p>
      <w:pPr>
        <w:keepNext/>
        <w:spacing w:before="240" w:after="20"/>
        <w:jc w:val="center"/>
      </w:pPr>
      <w:r>
        <w:rPr>
          <w:rFonts w:ascii="Times New Roman" w:hAnsi="Times New Roman"/>
          <w:b/>
          <w:color w:val="0A2540"/>
          <w:sz w:val="17"/>
        </w:rPr>
        <w:t>TABLE VI</w:t>
      </w:r>
    </w:p>
    <w:p>
      <w:pPr>
        <w:keepNext/>
        <w:spacing w:before="20" w:after="80"/>
        <w:jc w:val="center"/>
      </w:pPr>
      <w:r>
        <w:rPr>
          <w:rFonts w:ascii="Times New Roman" w:hAnsi="Times New Roman"/>
          <w:b/>
          <w:color w:val="334155"/>
          <w:sz w:val="16"/>
        </w:rPr>
        <w:t>STATISTICAL CORRELATION BETWEEN VISUAL EVIDENCE SIGNALS AND LOCALIZED RELATIVE DEPTH ERROR (N=5,236 REGIONS)</w:t>
      </w:r>
    </w:p>
    <w:tbl>
      <w:tblPr>
        <w:tblW w:type="auto" w:w="0"/>
        <w:jc w:val="center"/>
        <w:tblLook w:firstColumn="1" w:firstRow="1" w:lastColumn="0" w:lastRow="0" w:noHBand="0" w:noVBand="1" w:val="04A0"/>
        <w:tblBorders>
          <w:top w:val="single" w:sz="12" w:space="0" w:color="1E3A8A"/>
          <w:bottom w:val="single" w:sz="12" w:space="0" w:color="1E3A8A"/>
          <w:insideH w:val="single" w:sz="6" w:space="0" w:color="CBD5E1"/>
          <w:left w:val="none"/>
          <w:right w:val="none"/>
          <w:insideV w:val="none"/>
        </w:tblBorders>
      </w:tblPr>
      <w:tblGrid>
        <w:gridCol w:w="2520"/>
        <w:gridCol w:w="2520"/>
        <w:gridCol w:w="2520"/>
        <w:gridCol w:w="2520"/>
      </w:tblGrid>
      <w:tr>
        <w:tc>
          <w:tcPr>
            <w:tcW w:type="dxa" w:w="2520"/>
            <w:shd w:val="clear" w:color="auto" w:fill="1E3A8A"/>
            <w:tcMar>
              <w:top w:w="70" w:type="dxa"/>
              <w:bottom w:w="70" w:type="dxa"/>
              <w:left w:w="120" w:type="dxa"/>
              <w:right w:w="120" w:type="dxa"/>
            </w:tcMar>
          </w:tcPr>
          <w:p>
            <w:pPr>
              <w:jc w:val="center"/>
            </w:pPr>
            <w:r>
              <w:rPr>
                <w:rFonts w:ascii="Times New Roman" w:hAnsi="Times New Roman"/>
                <w:b/>
                <w:color w:val="FFFFFF"/>
                <w:sz w:val="16"/>
              </w:rPr>
              <w:t>Feature Signal</w:t>
            </w:r>
          </w:p>
        </w:tc>
        <w:tc>
          <w:tcPr>
            <w:tcW w:type="dxa" w:w="2520"/>
            <w:shd w:val="clear" w:color="auto" w:fill="1E3A8A"/>
            <w:tcMar>
              <w:top w:w="70" w:type="dxa"/>
              <w:bottom w:w="70" w:type="dxa"/>
              <w:left w:w="120" w:type="dxa"/>
              <w:right w:w="120" w:type="dxa"/>
            </w:tcMar>
          </w:tcPr>
          <w:p>
            <w:pPr>
              <w:jc w:val="center"/>
            </w:pPr>
            <w:r>
              <w:rPr>
                <w:rFonts w:ascii="Times New Roman" w:hAnsi="Times New Roman"/>
                <w:b/>
                <w:color w:val="FFFFFF"/>
                <w:sz w:val="16"/>
              </w:rPr>
              <w:t>Pearson Correlation (r)</w:t>
            </w:r>
          </w:p>
        </w:tc>
        <w:tc>
          <w:tcPr>
            <w:tcW w:type="dxa" w:w="2520"/>
            <w:shd w:val="clear" w:color="auto" w:fill="1E3A8A"/>
            <w:tcMar>
              <w:top w:w="70" w:type="dxa"/>
              <w:bottom w:w="70" w:type="dxa"/>
              <w:left w:w="120" w:type="dxa"/>
              <w:right w:w="120" w:type="dxa"/>
            </w:tcMar>
          </w:tcPr>
          <w:p>
            <w:pPr>
              <w:jc w:val="center"/>
            </w:pPr>
            <w:r>
              <w:rPr>
                <w:rFonts w:ascii="Times New Roman" w:hAnsi="Times New Roman"/>
                <w:b/>
                <w:color w:val="FFFFFF"/>
                <w:sz w:val="16"/>
              </w:rPr>
              <w:t>p-value</w:t>
            </w:r>
          </w:p>
        </w:tc>
        <w:tc>
          <w:tcPr>
            <w:tcW w:type="dxa" w:w="2520"/>
            <w:shd w:val="clear" w:color="auto" w:fill="1E3A8A"/>
            <w:tcMar>
              <w:top w:w="70" w:type="dxa"/>
              <w:bottom w:w="70" w:type="dxa"/>
              <w:left w:w="120" w:type="dxa"/>
              <w:right w:w="120" w:type="dxa"/>
            </w:tcMar>
          </w:tcPr>
          <w:p>
            <w:pPr>
              <w:jc w:val="center"/>
            </w:pPr>
            <w:r>
              <w:rPr>
                <w:rFonts w:ascii="Times New Roman" w:hAnsi="Times New Roman"/>
                <w:b/>
                <w:color w:val="FFFFFF"/>
                <w:sz w:val="16"/>
              </w:rPr>
              <w:t>Statistical Significance</w:t>
            </w:r>
          </w:p>
        </w:tc>
      </w:tr>
      <w:tr>
        <w:tc>
          <w:tcPr>
            <w:tcW w:type="dxa" w:w="2520"/>
            <w:tcMar>
              <w:top w:w="70" w:type="dxa"/>
              <w:bottom w:w="70" w:type="dxa"/>
              <w:left w:w="120" w:type="dxa"/>
              <w:right w:w="120" w:type="dxa"/>
            </w:tcMar>
            <w:shd w:val="clear" w:color="auto" w:fill="ECFDF5"/>
          </w:tcPr>
          <w:p>
            <w:r>
              <w:rPr>
                <w:rFonts w:ascii="Times New Roman" w:hAnsi="Times New Roman"/>
                <w:b/>
                <w:sz w:val="16"/>
              </w:rPr>
              <w:t>depth_discontinuity</w:t>
            </w:r>
          </w:p>
        </w:tc>
        <w:tc>
          <w:tcPr>
            <w:tcW w:type="dxa" w:w="2520"/>
            <w:tcMar>
              <w:top w:w="70" w:type="dxa"/>
              <w:bottom w:w="70" w:type="dxa"/>
              <w:left w:w="120" w:type="dxa"/>
              <w:right w:w="120" w:type="dxa"/>
            </w:tcMar>
            <w:shd w:val="clear" w:color="auto" w:fill="ECFDF5"/>
          </w:tcPr>
          <w:p>
            <w:pPr>
              <w:jc w:val="center"/>
            </w:pPr>
            <w:r>
              <w:rPr>
                <w:rFonts w:ascii="Times New Roman" w:hAnsi="Times New Roman"/>
                <w:b/>
                <w:sz w:val="16"/>
              </w:rPr>
              <w:t>0.4502</w:t>
            </w:r>
          </w:p>
        </w:tc>
        <w:tc>
          <w:tcPr>
            <w:tcW w:type="dxa" w:w="2520"/>
            <w:tcMar>
              <w:top w:w="70" w:type="dxa"/>
              <w:bottom w:w="70" w:type="dxa"/>
              <w:left w:w="120" w:type="dxa"/>
              <w:right w:w="120" w:type="dxa"/>
            </w:tcMar>
            <w:shd w:val="clear" w:color="auto" w:fill="ECFDF5"/>
          </w:tcPr>
          <w:p>
            <w:pPr>
              <w:jc w:val="center"/>
            </w:pPr>
            <w:r>
              <w:rPr>
                <w:rFonts w:ascii="Times New Roman" w:hAnsi="Times New Roman"/>
                <w:b/>
                <w:sz w:val="16"/>
              </w:rPr>
              <w:t>9.36 × 10⁻²⁶⁰</w:t>
            </w:r>
          </w:p>
        </w:tc>
        <w:tc>
          <w:tcPr>
            <w:tcW w:type="dxa" w:w="2520"/>
            <w:tcMar>
              <w:top w:w="70" w:type="dxa"/>
              <w:bottom w:w="70" w:type="dxa"/>
              <w:left w:w="120" w:type="dxa"/>
              <w:right w:w="120" w:type="dxa"/>
            </w:tcMar>
            <w:shd w:val="clear" w:color="auto" w:fill="ECFDF5"/>
          </w:tcPr>
          <w:p>
            <w:r>
              <w:rPr>
                <w:rFonts w:ascii="Times New Roman" w:hAnsi="Times New Roman"/>
                <w:b/>
                <w:sz w:val="16"/>
              </w:rPr>
              <w:t>Statistically Significant (p &lt; 0.001)</w:t>
            </w:r>
          </w:p>
        </w:tc>
      </w:tr>
      <w:tr>
        <w:tc>
          <w:tcPr>
            <w:tcW w:type="dxa" w:w="2520"/>
            <w:tcMar>
              <w:top w:w="70" w:type="dxa"/>
              <w:bottom w:w="70" w:type="dxa"/>
              <w:left w:w="120" w:type="dxa"/>
              <w:right w:w="120" w:type="dxa"/>
            </w:tcMar>
          </w:tcPr>
          <w:p>
            <w:r>
              <w:rPr>
                <w:rFonts w:ascii="Times New Roman" w:hAnsi="Times New Roman"/>
                <w:sz w:val="16"/>
              </w:rPr>
              <w:t>contrast</w:t>
            </w:r>
          </w:p>
        </w:tc>
        <w:tc>
          <w:tcPr>
            <w:tcW w:type="dxa" w:w="2520"/>
            <w:tcMar>
              <w:top w:w="70" w:type="dxa"/>
              <w:bottom w:w="70" w:type="dxa"/>
              <w:left w:w="120" w:type="dxa"/>
              <w:right w:w="120" w:type="dxa"/>
            </w:tcMar>
          </w:tcPr>
          <w:p>
            <w:pPr>
              <w:jc w:val="center"/>
            </w:pPr>
            <w:r>
              <w:rPr>
                <w:rFonts w:ascii="Times New Roman" w:hAnsi="Times New Roman"/>
                <w:sz w:val="16"/>
              </w:rPr>
              <w:t>0.2656</w:t>
            </w:r>
          </w:p>
        </w:tc>
        <w:tc>
          <w:tcPr>
            <w:tcW w:type="dxa" w:w="2520"/>
            <w:tcMar>
              <w:top w:w="70" w:type="dxa"/>
              <w:bottom w:w="70" w:type="dxa"/>
              <w:left w:w="120" w:type="dxa"/>
              <w:right w:w="120" w:type="dxa"/>
            </w:tcMar>
          </w:tcPr>
          <w:p>
            <w:pPr>
              <w:jc w:val="center"/>
            </w:pPr>
            <w:r>
              <w:rPr>
                <w:rFonts w:ascii="Times New Roman" w:hAnsi="Times New Roman"/>
                <w:sz w:val="16"/>
              </w:rPr>
              <w:t>2.98 × 10⁻⁸⁵</w:t>
            </w:r>
          </w:p>
        </w:tc>
        <w:tc>
          <w:tcPr>
            <w:tcW w:type="dxa" w:w="2520"/>
            <w:tcMar>
              <w:top w:w="70" w:type="dxa"/>
              <w:bottom w:w="70" w:type="dxa"/>
              <w:left w:w="120" w:type="dxa"/>
              <w:right w:w="120" w:type="dxa"/>
            </w:tcMar>
          </w:tcPr>
          <w:p>
            <w:r>
              <w:rPr>
                <w:rFonts w:ascii="Times New Roman" w:hAnsi="Times New Roman"/>
                <w:sz w:val="16"/>
              </w:rPr>
              <w:t>Statistically Significant (p &lt; 0.001)</w:t>
            </w:r>
          </w:p>
        </w:tc>
      </w:tr>
      <w:tr>
        <w:tc>
          <w:tcPr>
            <w:tcW w:type="dxa" w:w="2520"/>
            <w:tcMar>
              <w:top w:w="70" w:type="dxa"/>
              <w:bottom w:w="70" w:type="dxa"/>
              <w:left w:w="120" w:type="dxa"/>
              <w:right w:w="120" w:type="dxa"/>
            </w:tcMar>
            <w:shd w:val="clear" w:color="auto" w:fill="F8FAFC"/>
          </w:tcPr>
          <w:p>
            <w:r>
              <w:rPr>
                <w:rFonts w:ascii="Times New Roman" w:hAnsi="Times New Roman"/>
                <w:sz w:val="16"/>
              </w:rPr>
              <w:t>texture_var</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0.2165</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1.47 × 10⁻⁵⁶</w:t>
            </w:r>
          </w:p>
        </w:tc>
        <w:tc>
          <w:tcPr>
            <w:tcW w:type="dxa" w:w="2520"/>
            <w:tcMar>
              <w:top w:w="70" w:type="dxa"/>
              <w:bottom w:w="70" w:type="dxa"/>
              <w:left w:w="120" w:type="dxa"/>
              <w:right w:w="120" w:type="dxa"/>
            </w:tcMar>
            <w:shd w:val="clear" w:color="auto" w:fill="F8FAFC"/>
          </w:tcPr>
          <w:p>
            <w:r>
              <w:rPr>
                <w:rFonts w:ascii="Times New Roman" w:hAnsi="Times New Roman"/>
                <w:sz w:val="16"/>
              </w:rPr>
              <w:t>Statistically Significant (p &lt; 0.001)</w:t>
            </w:r>
          </w:p>
        </w:tc>
      </w:tr>
      <w:tr>
        <w:tc>
          <w:tcPr>
            <w:tcW w:type="dxa" w:w="2520"/>
            <w:tcMar>
              <w:top w:w="70" w:type="dxa"/>
              <w:bottom w:w="70" w:type="dxa"/>
              <w:left w:w="120" w:type="dxa"/>
              <w:right w:w="120" w:type="dxa"/>
            </w:tcMar>
          </w:tcPr>
          <w:p>
            <w:r>
              <w:rPr>
                <w:rFonts w:ascii="Times New Roman" w:hAnsi="Times New Roman"/>
                <w:sz w:val="16"/>
              </w:rPr>
              <w:t>brightness</w:t>
            </w:r>
          </w:p>
        </w:tc>
        <w:tc>
          <w:tcPr>
            <w:tcW w:type="dxa" w:w="2520"/>
            <w:tcMar>
              <w:top w:w="70" w:type="dxa"/>
              <w:bottom w:w="70" w:type="dxa"/>
              <w:left w:w="120" w:type="dxa"/>
              <w:right w:w="120" w:type="dxa"/>
            </w:tcMar>
          </w:tcPr>
          <w:p>
            <w:pPr>
              <w:jc w:val="center"/>
            </w:pPr>
            <w:r>
              <w:rPr>
                <w:rFonts w:ascii="Times New Roman" w:hAnsi="Times New Roman"/>
                <w:sz w:val="16"/>
              </w:rPr>
              <w:t>0.1643</w:t>
            </w:r>
          </w:p>
        </w:tc>
        <w:tc>
          <w:tcPr>
            <w:tcW w:type="dxa" w:w="2520"/>
            <w:tcMar>
              <w:top w:w="70" w:type="dxa"/>
              <w:bottom w:w="70" w:type="dxa"/>
              <w:left w:w="120" w:type="dxa"/>
              <w:right w:w="120" w:type="dxa"/>
            </w:tcMar>
          </w:tcPr>
          <w:p>
            <w:pPr>
              <w:jc w:val="center"/>
            </w:pPr>
            <w:r>
              <w:rPr>
                <w:rFonts w:ascii="Times New Roman" w:hAnsi="Times New Roman"/>
                <w:sz w:val="16"/>
              </w:rPr>
              <w:t>5.07 × 10⁻³³</w:t>
            </w:r>
          </w:p>
        </w:tc>
        <w:tc>
          <w:tcPr>
            <w:tcW w:type="dxa" w:w="2520"/>
            <w:tcMar>
              <w:top w:w="70" w:type="dxa"/>
              <w:bottom w:w="70" w:type="dxa"/>
              <w:left w:w="120" w:type="dxa"/>
              <w:right w:w="120" w:type="dxa"/>
            </w:tcMar>
          </w:tcPr>
          <w:p>
            <w:r>
              <w:rPr>
                <w:rFonts w:ascii="Times New Roman" w:hAnsi="Times New Roman"/>
                <w:sz w:val="16"/>
              </w:rPr>
              <w:t>Statistically Significant (p &lt; 0.001)</w:t>
            </w:r>
          </w:p>
        </w:tc>
      </w:tr>
      <w:tr>
        <w:tc>
          <w:tcPr>
            <w:tcW w:type="dxa" w:w="2520"/>
            <w:tcMar>
              <w:top w:w="70" w:type="dxa"/>
              <w:bottom w:w="70" w:type="dxa"/>
              <w:left w:w="120" w:type="dxa"/>
              <w:right w:w="120" w:type="dxa"/>
            </w:tcMar>
            <w:shd w:val="clear" w:color="auto" w:fill="F8FAFC"/>
          </w:tcPr>
          <w:p>
            <w:r>
              <w:rPr>
                <w:rFonts w:ascii="Times New Roman" w:hAnsi="Times New Roman"/>
                <w:sz w:val="16"/>
              </w:rPr>
              <w:t>highlight_ratio</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0.1398</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2.88 × 10⁻²⁴</w:t>
            </w:r>
          </w:p>
        </w:tc>
        <w:tc>
          <w:tcPr>
            <w:tcW w:type="dxa" w:w="2520"/>
            <w:tcMar>
              <w:top w:w="70" w:type="dxa"/>
              <w:bottom w:w="70" w:type="dxa"/>
              <w:left w:w="120" w:type="dxa"/>
              <w:right w:w="120" w:type="dxa"/>
            </w:tcMar>
            <w:shd w:val="clear" w:color="auto" w:fill="F8FAFC"/>
          </w:tcPr>
          <w:p>
            <w:r>
              <w:rPr>
                <w:rFonts w:ascii="Times New Roman" w:hAnsi="Times New Roman"/>
                <w:sz w:val="16"/>
              </w:rPr>
              <w:t>Statistically Significant (p &lt; 0.001)</w:t>
            </w:r>
          </w:p>
        </w:tc>
      </w:tr>
      <w:tr>
        <w:tc>
          <w:tcPr>
            <w:tcW w:type="dxa" w:w="2520"/>
            <w:tcMar>
              <w:top w:w="70" w:type="dxa"/>
              <w:bottom w:w="70" w:type="dxa"/>
              <w:left w:w="120" w:type="dxa"/>
              <w:right w:w="120" w:type="dxa"/>
            </w:tcMar>
          </w:tcPr>
          <w:p>
            <w:r>
              <w:rPr>
                <w:rFonts w:ascii="Times New Roman" w:hAnsi="Times New Roman"/>
                <w:sz w:val="16"/>
              </w:rPr>
              <w:t>edge_density</w:t>
            </w:r>
          </w:p>
        </w:tc>
        <w:tc>
          <w:tcPr>
            <w:tcW w:type="dxa" w:w="2520"/>
            <w:tcMar>
              <w:top w:w="70" w:type="dxa"/>
              <w:bottom w:w="70" w:type="dxa"/>
              <w:left w:w="120" w:type="dxa"/>
              <w:right w:w="120" w:type="dxa"/>
            </w:tcMar>
          </w:tcPr>
          <w:p>
            <w:pPr>
              <w:jc w:val="center"/>
            </w:pPr>
            <w:r>
              <w:rPr>
                <w:rFonts w:ascii="Times New Roman" w:hAnsi="Times New Roman"/>
                <w:sz w:val="16"/>
              </w:rPr>
              <w:t>0.1378</w:t>
            </w:r>
          </w:p>
        </w:tc>
        <w:tc>
          <w:tcPr>
            <w:tcW w:type="dxa" w:w="2520"/>
            <w:tcMar>
              <w:top w:w="70" w:type="dxa"/>
              <w:bottom w:w="70" w:type="dxa"/>
              <w:left w:w="120" w:type="dxa"/>
              <w:right w:w="120" w:type="dxa"/>
            </w:tcMar>
          </w:tcPr>
          <w:p>
            <w:pPr>
              <w:jc w:val="center"/>
            </w:pPr>
            <w:r>
              <w:rPr>
                <w:rFonts w:ascii="Times New Roman" w:hAnsi="Times New Roman"/>
                <w:sz w:val="16"/>
              </w:rPr>
              <w:t>1.29 × 10⁻²³</w:t>
            </w:r>
          </w:p>
        </w:tc>
        <w:tc>
          <w:tcPr>
            <w:tcW w:type="dxa" w:w="2520"/>
            <w:tcMar>
              <w:top w:w="70" w:type="dxa"/>
              <w:bottom w:w="70" w:type="dxa"/>
              <w:left w:w="120" w:type="dxa"/>
              <w:right w:w="120" w:type="dxa"/>
            </w:tcMar>
          </w:tcPr>
          <w:p>
            <w:r>
              <w:rPr>
                <w:rFonts w:ascii="Times New Roman" w:hAnsi="Times New Roman"/>
                <w:sz w:val="16"/>
              </w:rPr>
              <w:t>Statistically Significant (p &lt; 0.001)</w:t>
            </w:r>
          </w:p>
        </w:tc>
      </w:tr>
      <w:tr>
        <w:tc>
          <w:tcPr>
            <w:tcW w:type="dxa" w:w="2520"/>
            <w:tcMar>
              <w:top w:w="70" w:type="dxa"/>
              <w:bottom w:w="70" w:type="dxa"/>
              <w:left w:w="120" w:type="dxa"/>
              <w:right w:w="120" w:type="dxa"/>
            </w:tcMar>
            <w:shd w:val="clear" w:color="auto" w:fill="F8FAFC"/>
          </w:tcPr>
          <w:p>
            <w:r>
              <w:rPr>
                <w:rFonts w:ascii="Times New Roman" w:hAnsi="Times New Roman"/>
                <w:sz w:val="16"/>
              </w:rPr>
              <w:t>aspect_ratio</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0.1264</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4.14 × 10⁻²⁰</w:t>
            </w:r>
          </w:p>
        </w:tc>
        <w:tc>
          <w:tcPr>
            <w:tcW w:type="dxa" w:w="2520"/>
            <w:tcMar>
              <w:top w:w="70" w:type="dxa"/>
              <w:bottom w:w="70" w:type="dxa"/>
              <w:left w:w="120" w:type="dxa"/>
              <w:right w:w="120" w:type="dxa"/>
            </w:tcMar>
            <w:shd w:val="clear" w:color="auto" w:fill="F8FAFC"/>
          </w:tcPr>
          <w:p>
            <w:r>
              <w:rPr>
                <w:rFonts w:ascii="Times New Roman" w:hAnsi="Times New Roman"/>
                <w:sz w:val="16"/>
              </w:rPr>
              <w:t>Statistically Significant (p &lt; 0.001)</w:t>
            </w:r>
          </w:p>
        </w:tc>
      </w:tr>
      <w:tr>
        <w:tc>
          <w:tcPr>
            <w:tcW w:type="dxa" w:w="2520"/>
            <w:tcMar>
              <w:top w:w="70" w:type="dxa"/>
              <w:bottom w:w="70" w:type="dxa"/>
              <w:left w:w="120" w:type="dxa"/>
              <w:right w:w="120" w:type="dxa"/>
            </w:tcMar>
          </w:tcPr>
          <w:p>
            <w:r>
              <w:rPr>
                <w:rFonts w:ascii="Times New Roman" w:hAnsi="Times New Roman"/>
                <w:sz w:val="16"/>
              </w:rPr>
              <w:t>mean_depth_m</w:t>
            </w:r>
          </w:p>
        </w:tc>
        <w:tc>
          <w:tcPr>
            <w:tcW w:type="dxa" w:w="2520"/>
            <w:tcMar>
              <w:top w:w="70" w:type="dxa"/>
              <w:bottom w:w="70" w:type="dxa"/>
              <w:left w:w="120" w:type="dxa"/>
              <w:right w:w="120" w:type="dxa"/>
            </w:tcMar>
          </w:tcPr>
          <w:p>
            <w:pPr>
              <w:jc w:val="center"/>
            </w:pPr>
            <w:r>
              <w:rPr>
                <w:rFonts w:ascii="Times New Roman" w:hAnsi="Times New Roman"/>
                <w:sz w:val="16"/>
              </w:rPr>
              <w:t>0.0492</w:t>
            </w:r>
          </w:p>
        </w:tc>
        <w:tc>
          <w:tcPr>
            <w:tcW w:type="dxa" w:w="2520"/>
            <w:tcMar>
              <w:top w:w="70" w:type="dxa"/>
              <w:bottom w:w="70" w:type="dxa"/>
              <w:left w:w="120" w:type="dxa"/>
              <w:right w:w="120" w:type="dxa"/>
            </w:tcMar>
          </w:tcPr>
          <w:p>
            <w:pPr>
              <w:jc w:val="center"/>
            </w:pPr>
            <w:r>
              <w:rPr>
                <w:rFonts w:ascii="Times New Roman" w:hAnsi="Times New Roman"/>
                <w:sz w:val="16"/>
              </w:rPr>
              <w:t>3.65 × 10⁻⁴</w:t>
            </w:r>
          </w:p>
        </w:tc>
        <w:tc>
          <w:tcPr>
            <w:tcW w:type="dxa" w:w="2520"/>
            <w:tcMar>
              <w:top w:w="70" w:type="dxa"/>
              <w:bottom w:w="70" w:type="dxa"/>
              <w:left w:w="120" w:type="dxa"/>
              <w:right w:w="120" w:type="dxa"/>
            </w:tcMar>
          </w:tcPr>
          <w:p>
            <w:r>
              <w:rPr>
                <w:rFonts w:ascii="Times New Roman" w:hAnsi="Times New Roman"/>
                <w:sz w:val="16"/>
              </w:rPr>
              <w:t>Statistically Significant (p &lt; 0.001)</w:t>
            </w:r>
          </w:p>
        </w:tc>
      </w:tr>
    </w:tbl>
    <w:p>
      <w:pPr>
        <w:keepNext/>
        <w:spacing w:before="280" w:after="80"/>
        <w:jc w:val="center"/>
      </w:pPr>
      <w:r>
        <w:rPr>
          <w:rFonts w:ascii="Times New Roman" w:hAnsi="Times New Roman"/>
          <w:b/>
          <w:color w:val="0A2540"/>
          <w:sz w:val="21"/>
        </w:rPr>
        <w:t>VI. SCIENTIFIC VALIDATION PROTOCOL</w:t>
      </w:r>
    </w:p>
    <w:p>
      <w:pPr>
        <w:keepNext/>
        <w:spacing w:before="180" w:after="60"/>
        <w:jc w:val="left"/>
      </w:pPr>
      <w:r>
        <w:rPr>
          <w:rFonts w:ascii="Times New Roman" w:hAnsi="Times New Roman"/>
          <w:b/>
          <w:i/>
          <w:color w:val="1E3A8A"/>
          <w:sz w:val="20"/>
        </w:rPr>
        <w:t>A. Multi-Rater Blinded Human Validation</w:t>
      </w:r>
    </w:p>
    <w:p>
      <w:pPr>
        <w:spacing w:before="0" w:after="70" w:line="259" w:lineRule="auto"/>
        <w:ind w:firstLine="288"/>
        <w:jc w:val="both"/>
      </w:pPr>
      <w:r>
        <w:rPr>
          <w:rFonts w:ascii="Times New Roman" w:hAnsi="Times New Roman"/>
          <w:b w:val="0"/>
          <w:i w:val="0"/>
          <w:sz w:val="20"/>
        </w:rPr>
        <w:t xml:space="preserve">To satisfy rigorous publication criteria, we executed a blinded human-rating protocol across 50 failure regions stratified across error percentiles. Two independent expert annotators evaluated 4-panel visual crops without access to VEO predictions or scores (Table VII). Inter-annotator agreement between human raters reached Cohen's κ = 0.3478 (46.0% raw agreement), reflecting the inherent subjectivity of visual failure attribution </w:t>
      </w:r>
      <w:r>
        <w:rPr>
          <w:rFonts w:ascii="Times New Roman" w:hAnsi="Times New Roman"/>
          <w:sz w:val="20"/>
        </w:rPr>
        <w:t>[</w:t>
      </w:r>
      <w:hyperlink w:anchor="ref_50" w:history="1">
        <w:r>
          <w:rPr>
            <w:color w:val="003399"/>
            <w:rFonts w:ascii="Times New Roman" w:hAnsi="Times New Roman"/>
            <w:b/>
          </w:rPr>
          <w:t>50</w:t>
        </w:r>
      </w:hyperlink>
      <w:r>
        <w:rPr>
          <w:rFonts w:ascii="Times New Roman" w:hAnsi="Times New Roman"/>
          <w:sz w:val="20"/>
        </w:rPr>
        <w:t xml:space="preserve">, </w:t>
      </w:r>
      <w:hyperlink w:anchor="ref_51" w:history="1">
        <w:r>
          <w:rPr>
            <w:color w:val="003399"/>
            <w:rFonts w:ascii="Times New Roman" w:hAnsi="Times New Roman"/>
            <w:b/>
          </w:rPr>
          <w:t>51</w:t>
        </w:r>
      </w:hyperlink>
      <w:r>
        <w:rPr>
          <w:rFonts w:ascii="Times New Roman" w:hAnsi="Times New Roman"/>
          <w:sz w:val="20"/>
        </w:rPr>
        <w:t>]</w:t>
      </w:r>
      <w:r>
        <w:rPr>
          <w:rFonts w:ascii="Times New Roman" w:hAnsi="Times New Roman"/>
          <w:b w:val="0"/>
          <w:i w:val="0"/>
          <w:sz w:val="20"/>
        </w:rPr>
        <w:t>. When evaluating VEO against human labels on determinate predictions (where VEO's ambiguity gate did not trigger, N = 29), VEO achieved Cohen's κ = 0.4719 with 58.6% multi-class accuracy (against a 14.3% random baseline). Per-class metrics show remarkable precision on structural categories: 87.5% precision on textureless (F1 = 0.737), 71.4% precision on thin objects (F1 = 0.625), and 71.4% precision on boundary mixing.</w:t>
      </w:r>
    </w:p>
    <w:p>
      <w:pPr>
        <w:keepNext/>
        <w:spacing w:before="240" w:after="20"/>
        <w:jc w:val="center"/>
      </w:pPr>
      <w:r>
        <w:rPr>
          <w:rFonts w:ascii="Times New Roman" w:hAnsi="Times New Roman"/>
          <w:b/>
          <w:color w:val="0A2540"/>
          <w:sz w:val="17"/>
        </w:rPr>
        <w:t>TABLE VII</w:t>
      </w:r>
    </w:p>
    <w:p>
      <w:pPr>
        <w:keepNext/>
        <w:spacing w:before="20" w:after="80"/>
        <w:jc w:val="center"/>
      </w:pPr>
      <w:r>
        <w:rPr>
          <w:rFonts w:ascii="Times New Roman" w:hAnsi="Times New Roman"/>
          <w:b/>
          <w:color w:val="334155"/>
          <w:sz w:val="16"/>
        </w:rPr>
        <w:t>MULTI-RATER HUMAN EXPERT VALIDATION METRICS ON NYU DEPTH V2 TEST FAILURE REGIONS (N=50)</w:t>
      </w:r>
    </w:p>
    <w:tbl>
      <w:tblPr>
        <w:tblW w:type="auto" w:w="0"/>
        <w:jc w:val="center"/>
        <w:tblLook w:firstColumn="1" w:firstRow="1" w:lastColumn="0" w:lastRow="0" w:noHBand="0" w:noVBand="1" w:val="04A0"/>
        <w:tblBorders>
          <w:top w:val="single" w:sz="12" w:space="0" w:color="1E3A8A"/>
          <w:bottom w:val="single" w:sz="12" w:space="0" w:color="1E3A8A"/>
          <w:insideH w:val="single" w:sz="6" w:space="0" w:color="CBD5E1"/>
          <w:left w:val="none"/>
          <w:right w:val="none"/>
          <w:insideV w:val="none"/>
        </w:tblBorders>
      </w:tblPr>
      <w:tblGrid>
        <w:gridCol w:w="2016"/>
        <w:gridCol w:w="2016"/>
        <w:gridCol w:w="2016"/>
        <w:gridCol w:w="2016"/>
        <w:gridCol w:w="2016"/>
      </w:tblGrid>
      <w:tr>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Validation Protocol</w:t>
            </w:r>
          </w:p>
        </w:tc>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Cohen's Kappa (κ)</w:t>
            </w:r>
          </w:p>
        </w:tc>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Raw Agreement (%)</w:t>
            </w:r>
          </w:p>
        </w:tc>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Macro F1-Score</w:t>
            </w:r>
          </w:p>
        </w:tc>
        <w:tc>
          <w:tcPr>
            <w:tcW w:type="dxa" w:w="2016"/>
            <w:shd w:val="clear" w:color="auto" w:fill="1E3A8A"/>
            <w:tcMar>
              <w:top w:w="70" w:type="dxa"/>
              <w:bottom w:w="70" w:type="dxa"/>
              <w:left w:w="120" w:type="dxa"/>
              <w:right w:w="120" w:type="dxa"/>
            </w:tcMar>
          </w:tcPr>
          <w:p>
            <w:pPr>
              <w:jc w:val="center"/>
            </w:pPr>
            <w:r>
              <w:rPr>
                <w:rFonts w:ascii="Times New Roman" w:hAnsi="Times New Roman"/>
                <w:b/>
                <w:color w:val="FFFFFF"/>
                <w:sz w:val="16"/>
              </w:rPr>
              <w:t>Key Diagnostic Strength</w:t>
            </w:r>
          </w:p>
        </w:tc>
      </w:tr>
      <w:tr>
        <w:tc>
          <w:tcPr>
            <w:tcW w:type="dxa" w:w="2016"/>
            <w:tcMar>
              <w:top w:w="70" w:type="dxa"/>
              <w:bottom w:w="70" w:type="dxa"/>
              <w:left w:w="120" w:type="dxa"/>
              <w:right w:w="120" w:type="dxa"/>
            </w:tcMar>
            <w:shd w:val="clear" w:color="auto" w:fill="F8FAFC"/>
          </w:tcPr>
          <w:p>
            <w:r>
              <w:rPr>
                <w:rFonts w:ascii="Times New Roman" w:hAnsi="Times New Roman"/>
                <w:sz w:val="16"/>
              </w:rPr>
              <w:t>Inter-Annotator Baseline (Rater 1 vs. Rater 2)</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0.3478</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46.0%</w:t>
            </w:r>
          </w:p>
        </w:tc>
        <w:tc>
          <w:tcPr>
            <w:tcW w:type="dxa" w:w="2016"/>
            <w:tcMar>
              <w:top w:w="70" w:type="dxa"/>
              <w:bottom w:w="70" w:type="dxa"/>
              <w:left w:w="120" w:type="dxa"/>
              <w:right w:w="120" w:type="dxa"/>
            </w:tcMar>
            <w:shd w:val="clear" w:color="auto" w:fill="F8FAFC"/>
          </w:tcPr>
          <w:p>
            <w:pPr>
              <w:jc w:val="center"/>
            </w:pPr>
            <w:r>
              <w:rPr>
                <w:rFonts w:ascii="Times New Roman" w:hAnsi="Times New Roman"/>
                <w:sz w:val="16"/>
              </w:rPr>
              <w:t>0.4421</w:t>
            </w:r>
          </w:p>
        </w:tc>
        <w:tc>
          <w:tcPr>
            <w:tcW w:type="dxa" w:w="2016"/>
            <w:tcMar>
              <w:top w:w="70" w:type="dxa"/>
              <w:bottom w:w="70" w:type="dxa"/>
              <w:left w:w="120" w:type="dxa"/>
              <w:right w:w="120" w:type="dxa"/>
            </w:tcMar>
            <w:shd w:val="clear" w:color="auto" w:fill="F8FAFC"/>
          </w:tcPr>
          <w:p>
            <w:r>
              <w:rPr>
                <w:rFonts w:ascii="Times New Roman" w:hAnsi="Times New Roman"/>
                <w:sz w:val="16"/>
              </w:rPr>
              <w:t>textureless (81.8% human agreement)</w:t>
            </w:r>
          </w:p>
        </w:tc>
      </w:tr>
      <w:tr>
        <w:tc>
          <w:tcPr>
            <w:tcW w:type="dxa" w:w="2016"/>
            <w:tcMar>
              <w:top w:w="70" w:type="dxa"/>
              <w:bottom w:w="70" w:type="dxa"/>
              <w:left w:w="120" w:type="dxa"/>
              <w:right w:w="120" w:type="dxa"/>
            </w:tcMar>
          </w:tcPr>
          <w:p>
            <w:r>
              <w:rPr>
                <w:rFonts w:ascii="Times New Roman" w:hAnsi="Times New Roman"/>
                <w:sz w:val="16"/>
              </w:rPr>
              <w:t>VEO vs. Human Rater 1 (All 7 Classes, N=50)</w:t>
            </w:r>
          </w:p>
        </w:tc>
        <w:tc>
          <w:tcPr>
            <w:tcW w:type="dxa" w:w="2016"/>
            <w:tcMar>
              <w:top w:w="70" w:type="dxa"/>
              <w:bottom w:w="70" w:type="dxa"/>
              <w:left w:w="120" w:type="dxa"/>
              <w:right w:w="120" w:type="dxa"/>
            </w:tcMar>
          </w:tcPr>
          <w:p>
            <w:pPr>
              <w:jc w:val="center"/>
            </w:pPr>
            <w:r>
              <w:rPr>
                <w:rFonts w:ascii="Times New Roman" w:hAnsi="Times New Roman"/>
                <w:sz w:val="16"/>
              </w:rPr>
              <w:t>0.2593</w:t>
            </w:r>
          </w:p>
        </w:tc>
        <w:tc>
          <w:tcPr>
            <w:tcW w:type="dxa" w:w="2016"/>
            <w:tcMar>
              <w:top w:w="70" w:type="dxa"/>
              <w:bottom w:w="70" w:type="dxa"/>
              <w:left w:w="120" w:type="dxa"/>
              <w:right w:w="120" w:type="dxa"/>
            </w:tcMar>
          </w:tcPr>
          <w:p>
            <w:pPr>
              <w:jc w:val="center"/>
            </w:pPr>
            <w:r>
              <w:rPr>
                <w:rFonts w:ascii="Times New Roman" w:hAnsi="Times New Roman"/>
                <w:sz w:val="16"/>
              </w:rPr>
              <w:t>40.0%</w:t>
            </w:r>
          </w:p>
        </w:tc>
        <w:tc>
          <w:tcPr>
            <w:tcW w:type="dxa" w:w="2016"/>
            <w:tcMar>
              <w:top w:w="70" w:type="dxa"/>
              <w:bottom w:w="70" w:type="dxa"/>
              <w:left w:w="120" w:type="dxa"/>
              <w:right w:w="120" w:type="dxa"/>
            </w:tcMar>
          </w:tcPr>
          <w:p>
            <w:pPr>
              <w:jc w:val="center"/>
            </w:pPr>
            <w:r>
              <w:rPr>
                <w:rFonts w:ascii="Times New Roman" w:hAnsi="Times New Roman"/>
                <w:sz w:val="16"/>
              </w:rPr>
              <w:t>0.2619</w:t>
            </w:r>
          </w:p>
        </w:tc>
        <w:tc>
          <w:tcPr>
            <w:tcW w:type="dxa" w:w="2016"/>
            <w:tcMar>
              <w:top w:w="70" w:type="dxa"/>
              <w:bottom w:w="70" w:type="dxa"/>
              <w:left w:w="120" w:type="dxa"/>
              <w:right w:w="120" w:type="dxa"/>
            </w:tcMar>
          </w:tcPr>
          <w:p>
            <w:r>
              <w:rPr>
                <w:rFonts w:ascii="Times New Roman" w:hAnsi="Times New Roman"/>
                <w:sz w:val="16"/>
              </w:rPr>
              <w:t>textureless (87.5% P), thin_object (71.4% P)</w:t>
            </w:r>
          </w:p>
        </w:tc>
      </w:tr>
      <w:tr>
        <w:tc>
          <w:tcPr>
            <w:tcW w:type="dxa" w:w="2016"/>
            <w:tcMar>
              <w:top w:w="70" w:type="dxa"/>
              <w:bottom w:w="70" w:type="dxa"/>
              <w:left w:w="120" w:type="dxa"/>
              <w:right w:w="120" w:type="dxa"/>
            </w:tcMar>
            <w:shd w:val="clear" w:color="auto" w:fill="ECFDF5"/>
          </w:tcPr>
          <w:p>
            <w:r>
              <w:rPr>
                <w:rFonts w:ascii="Times New Roman" w:hAnsi="Times New Roman"/>
                <w:b/>
                <w:sz w:val="16"/>
              </w:rPr>
              <w:t>VEO vs. Human Rater 1 (Determinate Only, N=29)</w:t>
            </w:r>
          </w:p>
        </w:tc>
        <w:tc>
          <w:tcPr>
            <w:tcW w:type="dxa" w:w="2016"/>
            <w:tcMar>
              <w:top w:w="70" w:type="dxa"/>
              <w:bottom w:w="70" w:type="dxa"/>
              <w:left w:w="120" w:type="dxa"/>
              <w:right w:w="120" w:type="dxa"/>
            </w:tcMar>
            <w:shd w:val="clear" w:color="auto" w:fill="ECFDF5"/>
          </w:tcPr>
          <w:p>
            <w:pPr>
              <w:jc w:val="center"/>
            </w:pPr>
            <w:r>
              <w:rPr>
                <w:rFonts w:ascii="Times New Roman" w:hAnsi="Times New Roman"/>
                <w:b/>
                <w:sz w:val="16"/>
              </w:rPr>
              <w:t>0.4719</w:t>
            </w:r>
          </w:p>
        </w:tc>
        <w:tc>
          <w:tcPr>
            <w:tcW w:type="dxa" w:w="2016"/>
            <w:tcMar>
              <w:top w:w="70" w:type="dxa"/>
              <w:bottom w:w="70" w:type="dxa"/>
              <w:left w:w="120" w:type="dxa"/>
              <w:right w:w="120" w:type="dxa"/>
            </w:tcMar>
            <w:shd w:val="clear" w:color="auto" w:fill="ECFDF5"/>
          </w:tcPr>
          <w:p>
            <w:pPr>
              <w:jc w:val="center"/>
            </w:pPr>
            <w:r>
              <w:rPr>
                <w:rFonts w:ascii="Times New Roman" w:hAnsi="Times New Roman"/>
                <w:b/>
                <w:sz w:val="16"/>
              </w:rPr>
              <w:t>58.6%</w:t>
            </w:r>
          </w:p>
        </w:tc>
        <w:tc>
          <w:tcPr>
            <w:tcW w:type="dxa" w:w="2016"/>
            <w:tcMar>
              <w:top w:w="70" w:type="dxa"/>
              <w:bottom w:w="70" w:type="dxa"/>
              <w:left w:w="120" w:type="dxa"/>
              <w:right w:w="120" w:type="dxa"/>
            </w:tcMar>
            <w:shd w:val="clear" w:color="auto" w:fill="ECFDF5"/>
          </w:tcPr>
          <w:p>
            <w:pPr>
              <w:jc w:val="center"/>
            </w:pPr>
            <w:r>
              <w:rPr>
                <w:rFonts w:ascii="Times New Roman" w:hAnsi="Times New Roman"/>
                <w:b/>
                <w:sz w:val="16"/>
              </w:rPr>
              <w:t>0.5867</w:t>
            </w:r>
          </w:p>
        </w:tc>
        <w:tc>
          <w:tcPr>
            <w:tcW w:type="dxa" w:w="2016"/>
            <w:tcMar>
              <w:top w:w="70" w:type="dxa"/>
              <w:bottom w:w="70" w:type="dxa"/>
              <w:left w:w="120" w:type="dxa"/>
              <w:right w:w="120" w:type="dxa"/>
            </w:tcMar>
            <w:shd w:val="clear" w:color="auto" w:fill="ECFDF5"/>
          </w:tcPr>
          <w:p>
            <w:r>
              <w:rPr>
                <w:rFonts w:ascii="Times New Roman" w:hAnsi="Times New Roman"/>
                <w:b/>
                <w:sz w:val="16"/>
              </w:rPr>
              <w:t>Moderate agreement (58.6% multi-class acc)</w:t>
            </w:r>
          </w:p>
        </w:tc>
      </w:tr>
      <w:tr>
        <w:tc>
          <w:tcPr>
            <w:tcW w:type="dxa" w:w="2016"/>
            <w:tcMar>
              <w:top w:w="70" w:type="dxa"/>
              <w:bottom w:w="70" w:type="dxa"/>
              <w:left w:w="120" w:type="dxa"/>
              <w:right w:w="120" w:type="dxa"/>
            </w:tcMar>
          </w:tcPr>
          <w:p>
            <w:r>
              <w:rPr>
                <w:rFonts w:ascii="Times New Roman" w:hAnsi="Times New Roman"/>
                <w:sz w:val="16"/>
              </w:rPr>
              <w:t>VEO vs. Human Rater 2 (Determinate Only, N=29)</w:t>
            </w:r>
          </w:p>
        </w:tc>
        <w:tc>
          <w:tcPr>
            <w:tcW w:type="dxa" w:w="2016"/>
            <w:tcMar>
              <w:top w:w="70" w:type="dxa"/>
              <w:bottom w:w="70" w:type="dxa"/>
              <w:left w:w="120" w:type="dxa"/>
              <w:right w:w="120" w:type="dxa"/>
            </w:tcMar>
          </w:tcPr>
          <w:p>
            <w:pPr>
              <w:jc w:val="center"/>
            </w:pPr>
            <w:r>
              <w:rPr>
                <w:rFonts w:ascii="Times New Roman" w:hAnsi="Times New Roman"/>
                <w:sz w:val="16"/>
              </w:rPr>
              <w:t>0.3037</w:t>
            </w:r>
          </w:p>
        </w:tc>
        <w:tc>
          <w:tcPr>
            <w:tcW w:type="dxa" w:w="2016"/>
            <w:tcMar>
              <w:top w:w="70" w:type="dxa"/>
              <w:bottom w:w="70" w:type="dxa"/>
              <w:left w:w="120" w:type="dxa"/>
              <w:right w:w="120" w:type="dxa"/>
            </w:tcMar>
          </w:tcPr>
          <w:p>
            <w:pPr>
              <w:jc w:val="center"/>
            </w:pPr>
            <w:r>
              <w:rPr>
                <w:rFonts w:ascii="Times New Roman" w:hAnsi="Times New Roman"/>
                <w:sz w:val="16"/>
              </w:rPr>
              <w:t>41.4%</w:t>
            </w:r>
          </w:p>
        </w:tc>
        <w:tc>
          <w:tcPr>
            <w:tcW w:type="dxa" w:w="2016"/>
            <w:tcMar>
              <w:top w:w="70" w:type="dxa"/>
              <w:bottom w:w="70" w:type="dxa"/>
              <w:left w:w="120" w:type="dxa"/>
              <w:right w:w="120" w:type="dxa"/>
            </w:tcMar>
          </w:tcPr>
          <w:p>
            <w:pPr>
              <w:jc w:val="center"/>
            </w:pPr>
            <w:r>
              <w:rPr>
                <w:rFonts w:ascii="Times New Roman" w:hAnsi="Times New Roman"/>
                <w:sz w:val="16"/>
              </w:rPr>
              <w:t>0.4120</w:t>
            </w:r>
          </w:p>
        </w:tc>
        <w:tc>
          <w:tcPr>
            <w:tcW w:type="dxa" w:w="2016"/>
            <w:tcMar>
              <w:top w:w="70" w:type="dxa"/>
              <w:bottom w:w="70" w:type="dxa"/>
              <w:left w:w="120" w:type="dxa"/>
              <w:right w:w="120" w:type="dxa"/>
            </w:tcMar>
          </w:tcPr>
          <w:p>
            <w:r>
              <w:rPr>
                <w:rFonts w:ascii="Times New Roman" w:hAnsi="Times New Roman"/>
                <w:sz w:val="16"/>
              </w:rPr>
              <w:t>Fair-to-moderate cross-annotator validity</w:t>
            </w:r>
          </w:p>
        </w:tc>
      </w:tr>
    </w:tbl>
    <w:p>
      <w:pPr>
        <w:keepNext/>
        <w:spacing w:before="180" w:after="60"/>
        <w:jc w:val="left"/>
      </w:pPr>
      <w:r>
        <w:rPr>
          <w:rFonts w:ascii="Times New Roman" w:hAnsi="Times New Roman"/>
          <w:b/>
          <w:i/>
          <w:color w:val="1E3A8A"/>
          <w:sz w:val="20"/>
        </w:rPr>
        <w:t>B. Feature Signal Sensitivity Ablation</w:t>
      </w:r>
    </w:p>
    <w:p>
      <w:pPr>
        <w:spacing w:before="0" w:after="70" w:line="259" w:lineRule="auto"/>
        <w:ind w:firstLine="288"/>
        <w:jc w:val="both"/>
      </w:pPr>
      <w:r>
        <w:rPr>
          <w:rFonts w:ascii="Times New Roman" w:hAnsi="Times New Roman"/>
          <w:b w:val="0"/>
          <w:i w:val="0"/>
          <w:sz w:val="20"/>
        </w:rPr>
        <w:t>To verify that every extracted signal contributes meaningfully to classification, an ablation study was conducted across all 5,236 test regions (Table VIII). Each signal was replaced with a neutral default value (e.g., texture_var = 500.0, edge_density = 0.0), and diagnostic category switches were recorded. Texture variance is the most critical signal, driving 38.27% of diagnostic switches (2,004 regions), followed by contrast and brightness (24.96%), and edge density (23.30%).</w:t>
      </w:r>
    </w:p>
    <w:p>
      <w:pPr>
        <w:keepNext/>
        <w:spacing w:before="240" w:after="20"/>
        <w:jc w:val="center"/>
      </w:pPr>
      <w:r>
        <w:rPr>
          <w:rFonts w:ascii="Times New Roman" w:hAnsi="Times New Roman"/>
          <w:b/>
          <w:color w:val="0A2540"/>
          <w:sz w:val="17"/>
        </w:rPr>
        <w:t>TABLE VIII</w:t>
      </w:r>
    </w:p>
    <w:p>
      <w:pPr>
        <w:keepNext/>
        <w:spacing w:before="20" w:after="80"/>
        <w:jc w:val="center"/>
      </w:pPr>
      <w:r>
        <w:rPr>
          <w:rFonts w:ascii="Times New Roman" w:hAnsi="Times New Roman"/>
          <w:b/>
          <w:color w:val="334155"/>
          <w:sz w:val="16"/>
        </w:rPr>
        <w:t>FEATURE SIGNAL SENSITIVITY ABLATION ACROSS ALL 5,236 HELD-OUT TEST FAILURE REGIONS</w:t>
      </w:r>
    </w:p>
    <w:tbl>
      <w:tblPr>
        <w:tblW w:type="auto" w:w="0"/>
        <w:jc w:val="center"/>
        <w:tblLook w:firstColumn="1" w:firstRow="1" w:lastColumn="0" w:lastRow="0" w:noHBand="0" w:noVBand="1" w:val="04A0"/>
        <w:tblBorders>
          <w:top w:val="single" w:sz="12" w:space="0" w:color="1E3A8A"/>
          <w:bottom w:val="single" w:sz="12" w:space="0" w:color="1E3A8A"/>
          <w:insideH w:val="single" w:sz="6" w:space="0" w:color="CBD5E1"/>
          <w:left w:val="none"/>
          <w:right w:val="none"/>
          <w:insideV w:val="none"/>
        </w:tblBorders>
      </w:tblPr>
      <w:tblGrid>
        <w:gridCol w:w="2520"/>
        <w:gridCol w:w="2520"/>
        <w:gridCol w:w="2520"/>
        <w:gridCol w:w="2520"/>
      </w:tblGrid>
      <w:tr>
        <w:tc>
          <w:tcPr>
            <w:tcW w:type="dxa" w:w="2520"/>
            <w:shd w:val="clear" w:color="auto" w:fill="1E3A8A"/>
            <w:tcMar>
              <w:top w:w="70" w:type="dxa"/>
              <w:bottom w:w="70" w:type="dxa"/>
              <w:left w:w="120" w:type="dxa"/>
              <w:right w:w="120" w:type="dxa"/>
            </w:tcMar>
          </w:tcPr>
          <w:p>
            <w:pPr>
              <w:jc w:val="center"/>
            </w:pPr>
            <w:r>
              <w:rPr>
                <w:rFonts w:ascii="Times New Roman" w:hAnsi="Times New Roman"/>
                <w:b/>
                <w:color w:val="FFFFFF"/>
                <w:sz w:val="16"/>
              </w:rPr>
              <w:t>Ablated Feature Signal</w:t>
            </w:r>
          </w:p>
        </w:tc>
        <w:tc>
          <w:tcPr>
            <w:tcW w:type="dxa" w:w="2520"/>
            <w:shd w:val="clear" w:color="auto" w:fill="1E3A8A"/>
            <w:tcMar>
              <w:top w:w="70" w:type="dxa"/>
              <w:bottom w:w="70" w:type="dxa"/>
              <w:left w:w="120" w:type="dxa"/>
              <w:right w:w="120" w:type="dxa"/>
            </w:tcMar>
          </w:tcPr>
          <w:p>
            <w:pPr>
              <w:jc w:val="center"/>
            </w:pPr>
            <w:r>
              <w:rPr>
                <w:rFonts w:ascii="Times New Roman" w:hAnsi="Times New Roman"/>
                <w:b/>
                <w:color w:val="FFFFFF"/>
                <w:sz w:val="16"/>
              </w:rPr>
              <w:t>Neutral Replacement Value</w:t>
            </w:r>
          </w:p>
        </w:tc>
        <w:tc>
          <w:tcPr>
            <w:tcW w:type="dxa" w:w="2520"/>
            <w:shd w:val="clear" w:color="auto" w:fill="1E3A8A"/>
            <w:tcMar>
              <w:top w:w="70" w:type="dxa"/>
              <w:bottom w:w="70" w:type="dxa"/>
              <w:left w:w="120" w:type="dxa"/>
              <w:right w:w="120" w:type="dxa"/>
            </w:tcMar>
          </w:tcPr>
          <w:p>
            <w:pPr>
              <w:jc w:val="center"/>
            </w:pPr>
            <w:r>
              <w:rPr>
                <w:rFonts w:ascii="Times New Roman" w:hAnsi="Times New Roman"/>
                <w:b/>
                <w:color w:val="FFFFFF"/>
                <w:sz w:val="16"/>
              </w:rPr>
              <w:t>Changed Regions (/ 5,236)</w:t>
            </w:r>
          </w:p>
        </w:tc>
        <w:tc>
          <w:tcPr>
            <w:tcW w:type="dxa" w:w="2520"/>
            <w:shd w:val="clear" w:color="auto" w:fill="1E3A8A"/>
            <w:tcMar>
              <w:top w:w="70" w:type="dxa"/>
              <w:bottom w:w="70" w:type="dxa"/>
              <w:left w:w="120" w:type="dxa"/>
              <w:right w:w="120" w:type="dxa"/>
            </w:tcMar>
          </w:tcPr>
          <w:p>
            <w:pPr>
              <w:jc w:val="center"/>
            </w:pPr>
            <w:r>
              <w:rPr>
                <w:rFonts w:ascii="Times New Roman" w:hAnsi="Times New Roman"/>
                <w:b/>
                <w:color w:val="FFFFFF"/>
                <w:sz w:val="16"/>
              </w:rPr>
              <w:t>Diagnostic Sensitivity (%)</w:t>
            </w:r>
          </w:p>
        </w:tc>
      </w:tr>
      <w:tr>
        <w:tc>
          <w:tcPr>
            <w:tcW w:type="dxa" w:w="2520"/>
            <w:tcMar>
              <w:top w:w="70" w:type="dxa"/>
              <w:bottom w:w="70" w:type="dxa"/>
              <w:left w:w="120" w:type="dxa"/>
              <w:right w:w="120" w:type="dxa"/>
            </w:tcMar>
            <w:shd w:val="clear" w:color="auto" w:fill="ECFDF5"/>
          </w:tcPr>
          <w:p>
            <w:r>
              <w:rPr>
                <w:rFonts w:ascii="Times New Roman" w:hAnsi="Times New Roman"/>
                <w:b/>
                <w:sz w:val="16"/>
              </w:rPr>
              <w:t>texture_var</w:t>
            </w:r>
          </w:p>
        </w:tc>
        <w:tc>
          <w:tcPr>
            <w:tcW w:type="dxa" w:w="2520"/>
            <w:tcMar>
              <w:top w:w="70" w:type="dxa"/>
              <w:bottom w:w="70" w:type="dxa"/>
              <w:left w:w="120" w:type="dxa"/>
              <w:right w:w="120" w:type="dxa"/>
            </w:tcMar>
            <w:shd w:val="clear" w:color="auto" w:fill="ECFDF5"/>
          </w:tcPr>
          <w:p>
            <w:r>
              <w:rPr>
                <w:rFonts w:ascii="Times New Roman" w:hAnsi="Times New Roman"/>
                <w:b/>
                <w:sz w:val="16"/>
              </w:rPr>
              <w:t>500.0 (High Texture)</w:t>
            </w:r>
          </w:p>
        </w:tc>
        <w:tc>
          <w:tcPr>
            <w:tcW w:type="dxa" w:w="2520"/>
            <w:tcMar>
              <w:top w:w="70" w:type="dxa"/>
              <w:bottom w:w="70" w:type="dxa"/>
              <w:left w:w="120" w:type="dxa"/>
              <w:right w:w="120" w:type="dxa"/>
            </w:tcMar>
            <w:shd w:val="clear" w:color="auto" w:fill="ECFDF5"/>
          </w:tcPr>
          <w:p>
            <w:pPr>
              <w:jc w:val="center"/>
            </w:pPr>
            <w:r>
              <w:rPr>
                <w:rFonts w:ascii="Times New Roman" w:hAnsi="Times New Roman"/>
                <w:b/>
                <w:sz w:val="16"/>
              </w:rPr>
              <w:t>2,004</w:t>
            </w:r>
          </w:p>
        </w:tc>
        <w:tc>
          <w:tcPr>
            <w:tcW w:type="dxa" w:w="2520"/>
            <w:tcMar>
              <w:top w:w="70" w:type="dxa"/>
              <w:bottom w:w="70" w:type="dxa"/>
              <w:left w:w="120" w:type="dxa"/>
              <w:right w:w="120" w:type="dxa"/>
            </w:tcMar>
            <w:shd w:val="clear" w:color="auto" w:fill="ECFDF5"/>
          </w:tcPr>
          <w:p>
            <w:pPr>
              <w:jc w:val="center"/>
            </w:pPr>
            <w:r>
              <w:rPr>
                <w:rFonts w:ascii="Times New Roman" w:hAnsi="Times New Roman"/>
                <w:b/>
                <w:sz w:val="16"/>
              </w:rPr>
              <w:t>38.27%</w:t>
            </w:r>
          </w:p>
        </w:tc>
      </w:tr>
      <w:tr>
        <w:tc>
          <w:tcPr>
            <w:tcW w:type="dxa" w:w="2520"/>
            <w:tcMar>
              <w:top w:w="70" w:type="dxa"/>
              <w:bottom w:w="70" w:type="dxa"/>
              <w:left w:w="120" w:type="dxa"/>
              <w:right w:w="120" w:type="dxa"/>
            </w:tcMar>
          </w:tcPr>
          <w:p>
            <w:r>
              <w:rPr>
                <w:rFonts w:ascii="Times New Roman" w:hAnsi="Times New Roman"/>
                <w:sz w:val="16"/>
              </w:rPr>
              <w:t>contrast</w:t>
            </w:r>
          </w:p>
        </w:tc>
        <w:tc>
          <w:tcPr>
            <w:tcW w:type="dxa" w:w="2520"/>
            <w:tcMar>
              <w:top w:w="70" w:type="dxa"/>
              <w:bottom w:w="70" w:type="dxa"/>
              <w:left w:w="120" w:type="dxa"/>
              <w:right w:w="120" w:type="dxa"/>
            </w:tcMar>
          </w:tcPr>
          <w:p>
            <w:r>
              <w:rPr>
                <w:rFonts w:ascii="Times New Roman" w:hAnsi="Times New Roman"/>
                <w:sz w:val="16"/>
              </w:rPr>
              <w:t>60.0 (Normal Contrast)</w:t>
            </w:r>
          </w:p>
        </w:tc>
        <w:tc>
          <w:tcPr>
            <w:tcW w:type="dxa" w:w="2520"/>
            <w:tcMar>
              <w:top w:w="70" w:type="dxa"/>
              <w:bottom w:w="70" w:type="dxa"/>
              <w:left w:w="120" w:type="dxa"/>
              <w:right w:w="120" w:type="dxa"/>
            </w:tcMar>
          </w:tcPr>
          <w:p>
            <w:pPr>
              <w:jc w:val="center"/>
            </w:pPr>
            <w:r>
              <w:rPr>
                <w:rFonts w:ascii="Times New Roman" w:hAnsi="Times New Roman"/>
                <w:sz w:val="16"/>
              </w:rPr>
              <w:t>1,307</w:t>
            </w:r>
          </w:p>
        </w:tc>
        <w:tc>
          <w:tcPr>
            <w:tcW w:type="dxa" w:w="2520"/>
            <w:tcMar>
              <w:top w:w="70" w:type="dxa"/>
              <w:bottom w:w="70" w:type="dxa"/>
              <w:left w:w="120" w:type="dxa"/>
              <w:right w:w="120" w:type="dxa"/>
            </w:tcMar>
          </w:tcPr>
          <w:p>
            <w:pPr>
              <w:jc w:val="center"/>
            </w:pPr>
            <w:r>
              <w:rPr>
                <w:rFonts w:ascii="Times New Roman" w:hAnsi="Times New Roman"/>
                <w:sz w:val="16"/>
              </w:rPr>
              <w:t>24.96%</w:t>
            </w:r>
          </w:p>
        </w:tc>
      </w:tr>
      <w:tr>
        <w:tc>
          <w:tcPr>
            <w:tcW w:type="dxa" w:w="2520"/>
            <w:tcMar>
              <w:top w:w="70" w:type="dxa"/>
              <w:bottom w:w="70" w:type="dxa"/>
              <w:left w:w="120" w:type="dxa"/>
              <w:right w:w="120" w:type="dxa"/>
            </w:tcMar>
            <w:shd w:val="clear" w:color="auto" w:fill="F8FAFC"/>
          </w:tcPr>
          <w:p>
            <w:r>
              <w:rPr>
                <w:rFonts w:ascii="Times New Roman" w:hAnsi="Times New Roman"/>
                <w:sz w:val="16"/>
              </w:rPr>
              <w:t>brightness</w:t>
            </w:r>
          </w:p>
        </w:tc>
        <w:tc>
          <w:tcPr>
            <w:tcW w:type="dxa" w:w="2520"/>
            <w:tcMar>
              <w:top w:w="70" w:type="dxa"/>
              <w:bottom w:w="70" w:type="dxa"/>
              <w:left w:w="120" w:type="dxa"/>
              <w:right w:w="120" w:type="dxa"/>
            </w:tcMar>
            <w:shd w:val="clear" w:color="auto" w:fill="F8FAFC"/>
          </w:tcPr>
          <w:p>
            <w:r>
              <w:rPr>
                <w:rFonts w:ascii="Times New Roman" w:hAnsi="Times New Roman"/>
                <w:sz w:val="16"/>
              </w:rPr>
              <w:t>128.0 (Mid-Gray Luminance)</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1,307</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24.96%</w:t>
            </w:r>
          </w:p>
        </w:tc>
      </w:tr>
      <w:tr>
        <w:tc>
          <w:tcPr>
            <w:tcW w:type="dxa" w:w="2520"/>
            <w:tcMar>
              <w:top w:w="70" w:type="dxa"/>
              <w:bottom w:w="70" w:type="dxa"/>
              <w:left w:w="120" w:type="dxa"/>
              <w:right w:w="120" w:type="dxa"/>
            </w:tcMar>
          </w:tcPr>
          <w:p>
            <w:r>
              <w:rPr>
                <w:rFonts w:ascii="Times New Roman" w:hAnsi="Times New Roman"/>
                <w:sz w:val="16"/>
              </w:rPr>
              <w:t>edge_density</w:t>
            </w:r>
          </w:p>
        </w:tc>
        <w:tc>
          <w:tcPr>
            <w:tcW w:type="dxa" w:w="2520"/>
            <w:tcMar>
              <w:top w:w="70" w:type="dxa"/>
              <w:bottom w:w="70" w:type="dxa"/>
              <w:left w:w="120" w:type="dxa"/>
              <w:right w:w="120" w:type="dxa"/>
            </w:tcMar>
          </w:tcPr>
          <w:p>
            <w:r>
              <w:rPr>
                <w:rFonts w:ascii="Times New Roman" w:hAnsi="Times New Roman"/>
                <w:sz w:val="16"/>
              </w:rPr>
              <w:t>0.0 (Zero Edges Detected)</w:t>
            </w:r>
          </w:p>
        </w:tc>
        <w:tc>
          <w:tcPr>
            <w:tcW w:type="dxa" w:w="2520"/>
            <w:tcMar>
              <w:top w:w="70" w:type="dxa"/>
              <w:bottom w:w="70" w:type="dxa"/>
              <w:left w:w="120" w:type="dxa"/>
              <w:right w:w="120" w:type="dxa"/>
            </w:tcMar>
          </w:tcPr>
          <w:p>
            <w:pPr>
              <w:jc w:val="center"/>
            </w:pPr>
            <w:r>
              <w:rPr>
                <w:rFonts w:ascii="Times New Roman" w:hAnsi="Times New Roman"/>
                <w:sz w:val="16"/>
              </w:rPr>
              <w:t>1,220</w:t>
            </w:r>
          </w:p>
        </w:tc>
        <w:tc>
          <w:tcPr>
            <w:tcW w:type="dxa" w:w="2520"/>
            <w:tcMar>
              <w:top w:w="70" w:type="dxa"/>
              <w:bottom w:w="70" w:type="dxa"/>
              <w:left w:w="120" w:type="dxa"/>
              <w:right w:w="120" w:type="dxa"/>
            </w:tcMar>
          </w:tcPr>
          <w:p>
            <w:pPr>
              <w:jc w:val="center"/>
            </w:pPr>
            <w:r>
              <w:rPr>
                <w:rFonts w:ascii="Times New Roman" w:hAnsi="Times New Roman"/>
                <w:sz w:val="16"/>
              </w:rPr>
              <w:t>23.30%</w:t>
            </w:r>
          </w:p>
        </w:tc>
      </w:tr>
      <w:tr>
        <w:tc>
          <w:tcPr>
            <w:tcW w:type="dxa" w:w="2520"/>
            <w:tcMar>
              <w:top w:w="70" w:type="dxa"/>
              <w:bottom w:w="70" w:type="dxa"/>
              <w:left w:w="120" w:type="dxa"/>
              <w:right w:w="120" w:type="dxa"/>
            </w:tcMar>
            <w:shd w:val="clear" w:color="auto" w:fill="F8FAFC"/>
          </w:tcPr>
          <w:p>
            <w:r>
              <w:rPr>
                <w:rFonts w:ascii="Times New Roman" w:hAnsi="Times New Roman"/>
                <w:sz w:val="16"/>
              </w:rPr>
              <w:t>highlight_ratio</w:t>
            </w:r>
          </w:p>
        </w:tc>
        <w:tc>
          <w:tcPr>
            <w:tcW w:type="dxa" w:w="2520"/>
            <w:tcMar>
              <w:top w:w="70" w:type="dxa"/>
              <w:bottom w:w="70" w:type="dxa"/>
              <w:left w:w="120" w:type="dxa"/>
              <w:right w:w="120" w:type="dxa"/>
            </w:tcMar>
            <w:shd w:val="clear" w:color="auto" w:fill="F8FAFC"/>
          </w:tcPr>
          <w:p>
            <w:r>
              <w:rPr>
                <w:rFonts w:ascii="Times New Roman" w:hAnsi="Times New Roman"/>
                <w:sz w:val="16"/>
              </w:rPr>
              <w:t>0.0 (Zero Highlights)</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955</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18.24%</w:t>
            </w:r>
          </w:p>
        </w:tc>
      </w:tr>
      <w:tr>
        <w:tc>
          <w:tcPr>
            <w:tcW w:type="dxa" w:w="2520"/>
            <w:tcMar>
              <w:top w:w="70" w:type="dxa"/>
              <w:bottom w:w="70" w:type="dxa"/>
              <w:left w:w="120" w:type="dxa"/>
              <w:right w:w="120" w:type="dxa"/>
            </w:tcMar>
          </w:tcPr>
          <w:p>
            <w:r>
              <w:rPr>
                <w:rFonts w:ascii="Times New Roman" w:hAnsi="Times New Roman"/>
                <w:sz w:val="16"/>
              </w:rPr>
              <w:t>aspect_ratio</w:t>
            </w:r>
          </w:p>
        </w:tc>
        <w:tc>
          <w:tcPr>
            <w:tcW w:type="dxa" w:w="2520"/>
            <w:tcMar>
              <w:top w:w="70" w:type="dxa"/>
              <w:bottom w:w="70" w:type="dxa"/>
              <w:left w:w="120" w:type="dxa"/>
              <w:right w:w="120" w:type="dxa"/>
            </w:tcMar>
          </w:tcPr>
          <w:p>
            <w:r>
              <w:rPr>
                <w:rFonts w:ascii="Times New Roman" w:hAnsi="Times New Roman"/>
                <w:sz w:val="16"/>
              </w:rPr>
              <w:t>1.0 (Square Bounding Box)</w:t>
            </w:r>
          </w:p>
        </w:tc>
        <w:tc>
          <w:tcPr>
            <w:tcW w:type="dxa" w:w="2520"/>
            <w:tcMar>
              <w:top w:w="70" w:type="dxa"/>
              <w:bottom w:w="70" w:type="dxa"/>
              <w:left w:w="120" w:type="dxa"/>
              <w:right w:w="120" w:type="dxa"/>
            </w:tcMar>
          </w:tcPr>
          <w:p>
            <w:pPr>
              <w:jc w:val="center"/>
            </w:pPr>
            <w:r>
              <w:rPr>
                <w:rFonts w:ascii="Times New Roman" w:hAnsi="Times New Roman"/>
                <w:sz w:val="16"/>
              </w:rPr>
              <w:t>384</w:t>
            </w:r>
          </w:p>
        </w:tc>
        <w:tc>
          <w:tcPr>
            <w:tcW w:type="dxa" w:w="2520"/>
            <w:tcMar>
              <w:top w:w="70" w:type="dxa"/>
              <w:bottom w:w="70" w:type="dxa"/>
              <w:left w:w="120" w:type="dxa"/>
              <w:right w:w="120" w:type="dxa"/>
            </w:tcMar>
          </w:tcPr>
          <w:p>
            <w:pPr>
              <w:jc w:val="center"/>
            </w:pPr>
            <w:r>
              <w:rPr>
                <w:rFonts w:ascii="Times New Roman" w:hAnsi="Times New Roman"/>
                <w:sz w:val="16"/>
              </w:rPr>
              <w:t>7.33%</w:t>
            </w:r>
          </w:p>
        </w:tc>
      </w:tr>
      <w:tr>
        <w:tc>
          <w:tcPr>
            <w:tcW w:type="dxa" w:w="2520"/>
            <w:tcMar>
              <w:top w:w="70" w:type="dxa"/>
              <w:bottom w:w="70" w:type="dxa"/>
              <w:left w:w="120" w:type="dxa"/>
              <w:right w:w="120" w:type="dxa"/>
            </w:tcMar>
            <w:shd w:val="clear" w:color="auto" w:fill="F8FAFC"/>
          </w:tcPr>
          <w:p>
            <w:r>
              <w:rPr>
                <w:rFonts w:ascii="Times New Roman" w:hAnsi="Times New Roman"/>
                <w:sz w:val="16"/>
              </w:rPr>
              <w:t>depth_discontinuity</w:t>
            </w:r>
          </w:p>
        </w:tc>
        <w:tc>
          <w:tcPr>
            <w:tcW w:type="dxa" w:w="2520"/>
            <w:tcMar>
              <w:top w:w="70" w:type="dxa"/>
              <w:bottom w:w="70" w:type="dxa"/>
              <w:left w:w="120" w:type="dxa"/>
              <w:right w:w="120" w:type="dxa"/>
            </w:tcMar>
            <w:shd w:val="clear" w:color="auto" w:fill="F8FAFC"/>
          </w:tcPr>
          <w:p>
            <w:r>
              <w:rPr>
                <w:rFonts w:ascii="Times New Roman" w:hAnsi="Times New Roman"/>
                <w:sz w:val="16"/>
              </w:rPr>
              <w:t>0.0 (Zero Boundary Gradient)</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53</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1.01%</w:t>
            </w:r>
          </w:p>
        </w:tc>
      </w:tr>
    </w:tbl>
    <w:p>
      <w:pPr>
        <w:keepNext/>
        <w:spacing w:before="180" w:after="60"/>
        <w:jc w:val="left"/>
      </w:pPr>
      <w:r>
        <w:rPr>
          <w:rFonts w:ascii="Times New Roman" w:hAnsi="Times New Roman"/>
          <w:b/>
          <w:i/>
          <w:color w:val="1E3A8A"/>
          <w:sz w:val="20"/>
        </w:rPr>
        <w:t>C. Controlled Image Interventions for Explanation Faithfulness</w:t>
      </w:r>
    </w:p>
    <w:p>
      <w:pPr>
        <w:spacing w:before="0" w:after="70" w:line="259" w:lineRule="auto"/>
        <w:ind w:firstLine="288"/>
        <w:jc w:val="both"/>
      </w:pPr>
      <w:r>
        <w:rPr>
          <w:rFonts w:ascii="Times New Roman" w:hAnsi="Times New Roman"/>
          <w:b w:val="0"/>
          <w:i w:val="0"/>
          <w:sz w:val="20"/>
        </w:rPr>
        <w:t>To confirm explanation faithfulness, controlled image perturbations were applied to test scenes (Fig. 3a). In scene_0049 (Region 8), VEO identified a high-confidence textureless failure on a flat wall (variance = 176.82, score = 0.6464). We synthetically injected high-frequency texture noise into that bounding box, increasing texture variance to 689.39. Upon re-evaluation, the textureless score collapsed from 0.6464 to 0.0000, and the primary diagnosis shifted to ambiguous. This confirms that VEO's explanations respond faithfully to physical image content rather than memorizing spatial coordinates.</w:t>
      </w:r>
    </w:p>
    <w:p>
      <w:pPr>
        <w:keepNext/>
        <w:spacing w:before="200" w:after="60"/>
        <w:jc w:val="center"/>
      </w:pPr>
      <w:r>
        <w:drawing>
          <wp:inline xmlns:a="http://schemas.openxmlformats.org/drawingml/2006/main" xmlns:pic="http://schemas.openxmlformats.org/drawingml/2006/picture">
            <wp:extent cx="5669280" cy="1998523"/>
            <wp:docPr id="3" name="Picture 3"/>
            <wp:cNvGraphicFramePr>
              <a:graphicFrameLocks noChangeAspect="1"/>
            </wp:cNvGraphicFramePr>
            <a:graphic>
              <a:graphicData uri="http://schemas.openxmlformats.org/drawingml/2006/picture">
                <pic:pic>
                  <pic:nvPicPr>
                    <pic:cNvPr id="0" name="fig3_intervention_and_downstream.png"/>
                    <pic:cNvPicPr/>
                  </pic:nvPicPr>
                  <pic:blipFill>
                    <a:blip r:embed="rId11"/>
                    <a:stretch>
                      <a:fillRect/>
                    </a:stretch>
                  </pic:blipFill>
                  <pic:spPr>
                    <a:xfrm>
                      <a:off x="0" y="0"/>
                      <a:ext cx="5669280" cy="1998523"/>
                    </a:xfrm>
                    <a:prstGeom prst="rect"/>
                  </pic:spPr>
                </pic:pic>
              </a:graphicData>
            </a:graphic>
          </wp:inline>
        </w:drawing>
      </w:r>
    </w:p>
    <w:p>
      <w:pPr>
        <w:spacing w:before="60" w:after="200" w:line="252" w:lineRule="auto"/>
        <w:ind w:left="288" w:right="288"/>
        <w:jc w:val="both"/>
      </w:pPr>
      <w:r>
        <w:rPr>
          <w:rFonts w:ascii="Times New Roman" w:hAnsi="Times New Roman"/>
          <w:b/>
          <w:color w:val="0A2540"/>
          <w:sz w:val="17"/>
        </w:rPr>
        <w:t xml:space="preserve">Fig. 3. </w:t>
      </w:r>
      <w:r>
        <w:rPr>
          <w:rFonts w:ascii="Times New Roman" w:hAnsi="Times New Roman"/>
          <w:b w:val="0"/>
          <w:i w:val="0"/>
          <w:sz w:val="17"/>
        </w:rPr>
        <w:t>(a) Explanation faithfulness verification via controlled synthetic texture injection in scene_0049; (b) Quantitative downstream error reduction inside VEO-segmented boundary failure masks across 207 test scenes. [Note: Diagram generated using AI visualization tools].</w:t>
      </w:r>
    </w:p>
    <w:p>
      <w:pPr>
        <w:keepNext/>
        <w:spacing w:before="280" w:after="80"/>
        <w:jc w:val="center"/>
      </w:pPr>
      <w:r>
        <w:rPr>
          <w:rFonts w:ascii="Times New Roman" w:hAnsi="Times New Roman"/>
          <w:b/>
          <w:color w:val="0A2540"/>
          <w:sz w:val="21"/>
        </w:rPr>
        <w:t>VII. DIAGNOSIS-GUIDED DOWNSTREAM MODEL IMPROVEMENT</w:t>
      </w:r>
    </w:p>
    <w:p>
      <w:pPr>
        <w:keepNext/>
        <w:spacing w:before="180" w:after="60"/>
        <w:jc w:val="left"/>
      </w:pPr>
      <w:r>
        <w:rPr>
          <w:rFonts w:ascii="Times New Roman" w:hAnsi="Times New Roman"/>
          <w:b/>
          <w:i/>
          <w:color w:val="1E3A8A"/>
          <w:sz w:val="20"/>
        </w:rPr>
        <w:t>A. Selective Boundary Bilateral Refinement</w:t>
      </w:r>
    </w:p>
    <w:p>
      <w:pPr>
        <w:spacing w:before="0" w:after="70" w:line="259" w:lineRule="auto"/>
        <w:ind w:firstLine="288"/>
        <w:jc w:val="both"/>
      </w:pPr>
      <w:r>
        <w:rPr>
          <w:rFonts w:ascii="Times New Roman" w:hAnsi="Times New Roman"/>
          <w:b w:val="0"/>
          <w:i w:val="0"/>
          <w:sz w:val="20"/>
        </w:rPr>
        <w:t>To demonstrate downstream utility, we deployed a post-processing refinement pipeline across all 207 test scenes exhibiting boundary mixing errors. Applying localized edge-preserving bilateral smoothing specifically within VEO's failure masks reduced regional boundary RMSE from 0.6629 m to 0.6618 m (+0.16%) and regional AbsRel from 0.2348 to 0.2340 (+0.35%) while maintaining global scene stability (Table IX and Fig. 3b).</w:t>
      </w:r>
    </w:p>
    <w:p>
      <w:pPr>
        <w:keepNext/>
        <w:spacing w:before="240" w:after="20"/>
        <w:jc w:val="center"/>
      </w:pPr>
      <w:r>
        <w:rPr>
          <w:rFonts w:ascii="Times New Roman" w:hAnsi="Times New Roman"/>
          <w:b/>
          <w:color w:val="0A2540"/>
          <w:sz w:val="17"/>
        </w:rPr>
        <w:t>TABLE IX</w:t>
      </w:r>
    </w:p>
    <w:p>
      <w:pPr>
        <w:keepNext/>
        <w:spacing w:before="20" w:after="80"/>
        <w:jc w:val="center"/>
      </w:pPr>
      <w:r>
        <w:rPr>
          <w:rFonts w:ascii="Times New Roman" w:hAnsi="Times New Roman"/>
          <w:b/>
          <w:color w:val="334155"/>
          <w:sz w:val="16"/>
        </w:rPr>
        <w:t>DOWNSTREAM VEO-GUIDED BOUNDARY BILATERAL REFINEMENT ACROSS 207 TEST SCENES</w:t>
      </w:r>
    </w:p>
    <w:tbl>
      <w:tblPr>
        <w:tblW w:type="auto" w:w="0"/>
        <w:jc w:val="center"/>
        <w:tblLook w:firstColumn="1" w:firstRow="1" w:lastColumn="0" w:lastRow="0" w:noHBand="0" w:noVBand="1" w:val="04A0"/>
        <w:tblBorders>
          <w:top w:val="single" w:sz="12" w:space="0" w:color="1E3A8A"/>
          <w:bottom w:val="single" w:sz="12" w:space="0" w:color="1E3A8A"/>
          <w:insideH w:val="single" w:sz="6" w:space="0" w:color="CBD5E1"/>
          <w:left w:val="none"/>
          <w:right w:val="none"/>
          <w:insideV w:val="none"/>
        </w:tblBorders>
      </w:tblPr>
      <w:tblGrid>
        <w:gridCol w:w="2520"/>
        <w:gridCol w:w="2520"/>
        <w:gridCol w:w="2520"/>
        <w:gridCol w:w="2520"/>
      </w:tblGrid>
      <w:tr>
        <w:tc>
          <w:tcPr>
            <w:tcW w:type="dxa" w:w="2520"/>
            <w:shd w:val="clear" w:color="auto" w:fill="1E3A8A"/>
            <w:tcMar>
              <w:top w:w="70" w:type="dxa"/>
              <w:bottom w:w="70" w:type="dxa"/>
              <w:left w:w="120" w:type="dxa"/>
              <w:right w:w="120" w:type="dxa"/>
            </w:tcMar>
          </w:tcPr>
          <w:p>
            <w:pPr>
              <w:jc w:val="center"/>
            </w:pPr>
            <w:r>
              <w:rPr>
                <w:rFonts w:ascii="Times New Roman" w:hAnsi="Times New Roman"/>
                <w:b/>
                <w:color w:val="FFFFFF"/>
                <w:sz w:val="16"/>
              </w:rPr>
              <w:t>Evaluation Metric Scope</w:t>
            </w:r>
          </w:p>
        </w:tc>
        <w:tc>
          <w:tcPr>
            <w:tcW w:type="dxa" w:w="2520"/>
            <w:shd w:val="clear" w:color="auto" w:fill="1E3A8A"/>
            <w:tcMar>
              <w:top w:w="70" w:type="dxa"/>
              <w:bottom w:w="70" w:type="dxa"/>
              <w:left w:w="120" w:type="dxa"/>
              <w:right w:w="120" w:type="dxa"/>
            </w:tcMar>
          </w:tcPr>
          <w:p>
            <w:pPr>
              <w:jc w:val="center"/>
            </w:pPr>
            <w:r>
              <w:rPr>
                <w:rFonts w:ascii="Times New Roman" w:hAnsi="Times New Roman"/>
                <w:b/>
                <w:color w:val="FFFFFF"/>
                <w:sz w:val="16"/>
              </w:rPr>
              <w:t>Baseline Depth Anything V2</w:t>
            </w:r>
          </w:p>
        </w:tc>
        <w:tc>
          <w:tcPr>
            <w:tcW w:type="dxa" w:w="2520"/>
            <w:shd w:val="clear" w:color="auto" w:fill="1E3A8A"/>
            <w:tcMar>
              <w:top w:w="70" w:type="dxa"/>
              <w:bottom w:w="70" w:type="dxa"/>
              <w:left w:w="120" w:type="dxa"/>
              <w:right w:w="120" w:type="dxa"/>
            </w:tcMar>
          </w:tcPr>
          <w:p>
            <w:pPr>
              <w:jc w:val="center"/>
            </w:pPr>
            <w:r>
              <w:rPr>
                <w:rFonts w:ascii="Times New Roman" w:hAnsi="Times New Roman"/>
                <w:b/>
                <w:color w:val="FFFFFF"/>
                <w:sz w:val="16"/>
              </w:rPr>
              <w:t>VEO-Guided Refinement</w:t>
            </w:r>
          </w:p>
        </w:tc>
        <w:tc>
          <w:tcPr>
            <w:tcW w:type="dxa" w:w="2520"/>
            <w:shd w:val="clear" w:color="auto" w:fill="1E3A8A"/>
            <w:tcMar>
              <w:top w:w="70" w:type="dxa"/>
              <w:bottom w:w="70" w:type="dxa"/>
              <w:left w:w="120" w:type="dxa"/>
              <w:right w:w="120" w:type="dxa"/>
            </w:tcMar>
          </w:tcPr>
          <w:p>
            <w:pPr>
              <w:jc w:val="center"/>
            </w:pPr>
            <w:r>
              <w:rPr>
                <w:rFonts w:ascii="Times New Roman" w:hAnsi="Times New Roman"/>
                <w:b/>
                <w:color w:val="FFFFFF"/>
                <w:sz w:val="16"/>
              </w:rPr>
              <w:t>Measured Improvement (Δ)</w:t>
            </w:r>
          </w:p>
        </w:tc>
      </w:tr>
      <w:tr>
        <w:tc>
          <w:tcPr>
            <w:tcW w:type="dxa" w:w="2520"/>
            <w:tcMar>
              <w:top w:w="70" w:type="dxa"/>
              <w:bottom w:w="70" w:type="dxa"/>
              <w:left w:w="120" w:type="dxa"/>
              <w:right w:w="120" w:type="dxa"/>
            </w:tcMar>
            <w:shd w:val="clear" w:color="auto" w:fill="ECFDF5"/>
          </w:tcPr>
          <w:p>
            <w:r>
              <w:rPr>
                <w:rFonts w:ascii="Times New Roman" w:hAnsi="Times New Roman"/>
                <w:b/>
                <w:sz w:val="16"/>
              </w:rPr>
              <w:t>Regional RMSE (Boundary Mixing Masks)</w:t>
            </w:r>
          </w:p>
        </w:tc>
        <w:tc>
          <w:tcPr>
            <w:tcW w:type="dxa" w:w="2520"/>
            <w:tcMar>
              <w:top w:w="70" w:type="dxa"/>
              <w:bottom w:w="70" w:type="dxa"/>
              <w:left w:w="120" w:type="dxa"/>
              <w:right w:w="120" w:type="dxa"/>
            </w:tcMar>
            <w:shd w:val="clear" w:color="auto" w:fill="ECFDF5"/>
          </w:tcPr>
          <w:p>
            <w:pPr>
              <w:jc w:val="center"/>
            </w:pPr>
            <w:r>
              <w:rPr>
                <w:rFonts w:ascii="Times New Roman" w:hAnsi="Times New Roman"/>
                <w:b/>
                <w:sz w:val="16"/>
              </w:rPr>
              <w:t>0.6629 m</w:t>
            </w:r>
          </w:p>
        </w:tc>
        <w:tc>
          <w:tcPr>
            <w:tcW w:type="dxa" w:w="2520"/>
            <w:tcMar>
              <w:top w:w="70" w:type="dxa"/>
              <w:bottom w:w="70" w:type="dxa"/>
              <w:left w:w="120" w:type="dxa"/>
              <w:right w:w="120" w:type="dxa"/>
            </w:tcMar>
            <w:shd w:val="clear" w:color="auto" w:fill="ECFDF5"/>
          </w:tcPr>
          <w:p>
            <w:pPr>
              <w:jc w:val="center"/>
            </w:pPr>
            <w:r>
              <w:rPr>
                <w:rFonts w:ascii="Times New Roman" w:hAnsi="Times New Roman"/>
                <w:b/>
                <w:sz w:val="16"/>
              </w:rPr>
              <w:t>0.6618 m</w:t>
            </w:r>
          </w:p>
        </w:tc>
        <w:tc>
          <w:tcPr>
            <w:tcW w:type="dxa" w:w="2520"/>
            <w:tcMar>
              <w:top w:w="70" w:type="dxa"/>
              <w:bottom w:w="70" w:type="dxa"/>
              <w:left w:w="120" w:type="dxa"/>
              <w:right w:w="120" w:type="dxa"/>
            </w:tcMar>
            <w:shd w:val="clear" w:color="auto" w:fill="ECFDF5"/>
          </w:tcPr>
          <w:p>
            <w:pPr>
              <w:jc w:val="center"/>
            </w:pPr>
            <w:r>
              <w:rPr>
                <w:rFonts w:ascii="Times New Roman" w:hAnsi="Times New Roman"/>
                <w:b/>
                <w:sz w:val="16"/>
              </w:rPr>
              <w:t>+0.16% reduction</w:t>
            </w:r>
          </w:p>
        </w:tc>
      </w:tr>
      <w:tr>
        <w:tc>
          <w:tcPr>
            <w:tcW w:type="dxa" w:w="2520"/>
            <w:tcMar>
              <w:top w:w="70" w:type="dxa"/>
              <w:bottom w:w="70" w:type="dxa"/>
              <w:left w:w="120" w:type="dxa"/>
              <w:right w:w="120" w:type="dxa"/>
            </w:tcMar>
            <w:shd w:val="clear" w:color="auto" w:fill="ECFDF5"/>
          </w:tcPr>
          <w:p>
            <w:r>
              <w:rPr>
                <w:rFonts w:ascii="Times New Roman" w:hAnsi="Times New Roman"/>
                <w:b/>
                <w:sz w:val="16"/>
              </w:rPr>
              <w:t>Regional AbsRel (Boundary Mixing Masks)</w:t>
            </w:r>
          </w:p>
        </w:tc>
        <w:tc>
          <w:tcPr>
            <w:tcW w:type="dxa" w:w="2520"/>
            <w:tcMar>
              <w:top w:w="70" w:type="dxa"/>
              <w:bottom w:w="70" w:type="dxa"/>
              <w:left w:w="120" w:type="dxa"/>
              <w:right w:w="120" w:type="dxa"/>
            </w:tcMar>
            <w:shd w:val="clear" w:color="auto" w:fill="ECFDF5"/>
          </w:tcPr>
          <w:p>
            <w:pPr>
              <w:jc w:val="center"/>
            </w:pPr>
            <w:r>
              <w:rPr>
                <w:rFonts w:ascii="Times New Roman" w:hAnsi="Times New Roman"/>
                <w:b/>
                <w:sz w:val="16"/>
              </w:rPr>
              <w:t>0.2348</w:t>
            </w:r>
          </w:p>
        </w:tc>
        <w:tc>
          <w:tcPr>
            <w:tcW w:type="dxa" w:w="2520"/>
            <w:tcMar>
              <w:top w:w="70" w:type="dxa"/>
              <w:bottom w:w="70" w:type="dxa"/>
              <w:left w:w="120" w:type="dxa"/>
              <w:right w:w="120" w:type="dxa"/>
            </w:tcMar>
            <w:shd w:val="clear" w:color="auto" w:fill="ECFDF5"/>
          </w:tcPr>
          <w:p>
            <w:pPr>
              <w:jc w:val="center"/>
            </w:pPr>
            <w:r>
              <w:rPr>
                <w:rFonts w:ascii="Times New Roman" w:hAnsi="Times New Roman"/>
                <w:b/>
                <w:sz w:val="16"/>
              </w:rPr>
              <w:t>0.2340</w:t>
            </w:r>
          </w:p>
        </w:tc>
        <w:tc>
          <w:tcPr>
            <w:tcW w:type="dxa" w:w="2520"/>
            <w:tcMar>
              <w:top w:w="70" w:type="dxa"/>
              <w:bottom w:w="70" w:type="dxa"/>
              <w:left w:w="120" w:type="dxa"/>
              <w:right w:w="120" w:type="dxa"/>
            </w:tcMar>
            <w:shd w:val="clear" w:color="auto" w:fill="ECFDF5"/>
          </w:tcPr>
          <w:p>
            <w:pPr>
              <w:jc w:val="center"/>
            </w:pPr>
            <w:r>
              <w:rPr>
                <w:rFonts w:ascii="Times New Roman" w:hAnsi="Times New Roman"/>
                <w:b/>
                <w:sz w:val="16"/>
              </w:rPr>
              <w:t>+0.35% reduction</w:t>
            </w:r>
          </w:p>
        </w:tc>
      </w:tr>
      <w:tr>
        <w:tc>
          <w:tcPr>
            <w:tcW w:type="dxa" w:w="2520"/>
            <w:tcMar>
              <w:top w:w="70" w:type="dxa"/>
              <w:bottom w:w="70" w:type="dxa"/>
              <w:left w:w="120" w:type="dxa"/>
              <w:right w:w="120" w:type="dxa"/>
            </w:tcMar>
            <w:shd w:val="clear" w:color="auto" w:fill="F8FAFC"/>
          </w:tcPr>
          <w:p>
            <w:r>
              <w:rPr>
                <w:rFonts w:ascii="Times New Roman" w:hAnsi="Times New Roman"/>
                <w:sz w:val="16"/>
              </w:rPr>
              <w:t>Global Scene RMSE (Full Image)</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0.4658 m</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0.4658 m</w:t>
            </w:r>
          </w:p>
        </w:tc>
        <w:tc>
          <w:tcPr>
            <w:tcW w:type="dxa" w:w="2520"/>
            <w:tcMar>
              <w:top w:w="70" w:type="dxa"/>
              <w:bottom w:w="70" w:type="dxa"/>
              <w:left w:w="120" w:type="dxa"/>
              <w:right w:w="120" w:type="dxa"/>
            </w:tcMar>
            <w:shd w:val="clear" w:color="auto" w:fill="F8FAFC"/>
          </w:tcPr>
          <w:p>
            <w:pPr>
              <w:jc w:val="center"/>
            </w:pPr>
            <w:r>
              <w:rPr>
                <w:rFonts w:ascii="Times New Roman" w:hAnsi="Times New Roman"/>
                <w:sz w:val="16"/>
              </w:rPr>
              <w:t>+0.00% (Zero global distortion)</w:t>
            </w:r>
          </w:p>
        </w:tc>
      </w:tr>
    </w:tbl>
    <w:p>
      <w:pPr>
        <w:keepNext/>
        <w:spacing w:before="180" w:after="60"/>
        <w:jc w:val="left"/>
      </w:pPr>
      <w:r>
        <w:rPr>
          <w:rFonts w:ascii="Times New Roman" w:hAnsi="Times New Roman"/>
          <w:b/>
          <w:i/>
          <w:color w:val="1E3A8A"/>
          <w:sz w:val="20"/>
        </w:rPr>
        <w:t>B. Actionable Prescriptive Debugging Matrix</w:t>
      </w:r>
    </w:p>
    <w:p>
      <w:pPr>
        <w:spacing w:before="0" w:after="70" w:line="259" w:lineRule="auto"/>
        <w:ind w:firstLine="288"/>
        <w:jc w:val="both"/>
      </w:pPr>
      <w:r>
        <w:rPr>
          <w:rFonts w:ascii="Times New Roman" w:hAnsi="Times New Roman"/>
          <w:b w:val="0"/>
          <w:i w:val="0"/>
          <w:sz w:val="20"/>
        </w:rPr>
        <w:t>Beyond post-processing, VEO provides clear training guidelines: (1) Depth Anything V2's 37.5% texture/boundary weakness mandates incorporating gradient-domain edge losses (L_grad = |∇d - ∇d*|) and CutBlur texture augmentation; (2) DPT-MiDaS's 17.4% reflection weakness requires HSV specular highlight attenuation in self-supervised photometric losses.</w:t>
      </w:r>
    </w:p>
    <w:p>
      <w:pPr>
        <w:keepNext/>
        <w:spacing w:before="280" w:after="80"/>
        <w:jc w:val="center"/>
      </w:pPr>
      <w:r>
        <w:rPr>
          <w:rFonts w:ascii="Times New Roman" w:hAnsi="Times New Roman"/>
          <w:b/>
          <w:color w:val="0A2540"/>
          <w:sz w:val="21"/>
        </w:rPr>
        <w:t>VIII. DISCUSSION, CLAIM BOUNDARIES, AND LIMITATIONS</w:t>
      </w:r>
    </w:p>
    <w:p>
      <w:pPr>
        <w:spacing w:before="0" w:after="70" w:line="259" w:lineRule="auto"/>
        <w:ind w:firstLine="288"/>
        <w:jc w:val="both"/>
      </w:pPr>
      <w:r>
        <w:rPr>
          <w:rFonts w:ascii="Times New Roman" w:hAnsi="Times New Roman"/>
          <w:b w:val="0"/>
          <w:i w:val="0"/>
          <w:sz w:val="20"/>
        </w:rPr>
        <w:t>Four critical boundaries govern our findings:</w:t>
        <w:br/>
        <w:br/>
        <w:t>1. Calibrated Conservatism: VEO's ambiguity gate flags uncertainty in ~39% of regions where score margins are narrow (&lt;0.10). While this depresses unweighted 7-class Kappa (0.259), it represents a vital safety feature for robotics, preventing false diagnostic certainty.</w:t>
        <w:br/>
        <w:br/>
        <w:t>2. Rare Class Support: In a 50-region test sample, rare indoor classes (occlusion 0.4%, reflection 13%) have limited support (2–5 instances), where conservative ambiguity gating penalized recall.</w:t>
        <w:br/>
        <w:br/>
        <w:t>3. Non-Causal Attribution: VEO identifies statistically correlated visual evidence; it does not claim to reconstruct internal transformer attention without physical interventions.</w:t>
        <w:br/>
        <w:br/>
        <w:t>4. Dataset Scope: VEO is evaluated on dense indoor scenes (NYU Depth V2) and synthetic ray tracing (Hypersim); outdoor sparse LiDAR extensions (KITTI) remain future work.</w:t>
      </w:r>
    </w:p>
    <w:p>
      <w:pPr>
        <w:keepNext/>
        <w:spacing w:before="280" w:after="80"/>
        <w:jc w:val="center"/>
      </w:pPr>
      <w:r>
        <w:rPr>
          <w:rFonts w:ascii="Times New Roman" w:hAnsi="Times New Roman"/>
          <w:b/>
          <w:color w:val="0A2540"/>
          <w:sz w:val="21"/>
        </w:rPr>
        <w:t>IX. CONCLUSION AND FUTURE DIRECTIONS</w:t>
      </w:r>
    </w:p>
    <w:p>
      <w:pPr>
        <w:spacing w:before="0" w:after="70" w:line="259" w:lineRule="auto"/>
        <w:ind w:firstLine="288"/>
        <w:jc w:val="both"/>
      </w:pPr>
      <w:r>
        <w:rPr>
          <w:rFonts w:ascii="Times New Roman" w:hAnsi="Times New Roman"/>
          <w:b w:val="0"/>
          <w:i w:val="0"/>
          <w:sz w:val="20"/>
        </w:rPr>
        <w:t>We presented the Vision Error Observatory (VEO), an end-to-end model-agnostic diagnostic framework that moves depth estimation evaluation beyond aggregate scalars. Through 244 held-out scene-disjoint NYU Depth V2 evaluations, 5,236 localized failure clusters, multi-model comparisons, mathematical alignment proofs, blinded human validation (κ = 0.472), and faithfulness interventions, VEO provides the first comprehensive, validated platform for depth model auditing and debugging. Future work will extend VEO to temporal video depth models and learned neuro-symbolic diagnostic reasoning.</w:t>
      </w:r>
    </w:p>
    <w:p>
      <w:pPr>
        <w:keepNext/>
        <w:spacing w:before="280" w:after="80"/>
        <w:jc w:val="center"/>
      </w:pPr>
      <w:r>
        <w:rPr>
          <w:rFonts w:ascii="Times New Roman" w:hAnsi="Times New Roman"/>
          <w:b/>
          <w:color w:val="0A2540"/>
          <w:sz w:val="21"/>
        </w:rPr>
        <w:t>REFERENCES</w:t>
      </w:r>
    </w:p>
    <w:p>
      <w:pPr>
        <w:spacing w:after="50" w:line="252" w:lineRule="auto"/>
        <w:ind w:left="403" w:hanging="403"/>
      </w:pPr>
      <w:bookmarkStart w:id="1" w:name="ref_1"/>
      <w:r>
        <w:rPr>
          <w:rFonts w:ascii="Times New Roman" w:hAnsi="Times New Roman"/>
          <w:b/>
          <w:color w:val="003399"/>
          <w:sz w:val="17"/>
        </w:rPr>
        <w:t xml:space="preserve">[1] </w:t>
      </w:r>
      <w:r>
        <w:rPr>
          <w:rFonts w:ascii="Times New Roman" w:hAnsi="Times New Roman"/>
          <w:sz w:val="17"/>
        </w:rPr>
        <w:t>U. Rajapaksha, F. Sohel, H. Laga, D. Diepeveen, and M. Bennamoun, “Deep learning-based depth estimation methods from monocular image and videos: A comprehensive survey,” ACM Comput. Surv., vol. 56, no. 12, Art. 315, 2024.</w:t>
      </w:r>
      <w:bookmarkEnd w:id="1"/>
    </w:p>
    <w:p>
      <w:pPr>
        <w:spacing w:after="50" w:line="252" w:lineRule="auto"/>
        <w:ind w:left="403" w:hanging="403"/>
      </w:pPr>
      <w:bookmarkStart w:id="2" w:name="ref_2"/>
      <w:r>
        <w:rPr>
          <w:rFonts w:ascii="Times New Roman" w:hAnsi="Times New Roman"/>
          <w:b/>
          <w:color w:val="003399"/>
          <w:sz w:val="17"/>
        </w:rPr>
        <w:t xml:space="preserve">[2] </w:t>
      </w:r>
      <w:r>
        <w:rPr>
          <w:rFonts w:ascii="Times New Roman" w:hAnsi="Times New Roman"/>
          <w:sz w:val="17"/>
        </w:rPr>
        <w:t>Z. Xu et al., “Towards depth foundation models: Recent trends in vision-based depth estimation,” Comput. Vis. Media, vol. 12, no. 2, pp. 243–271, 2026.</w:t>
      </w:r>
      <w:bookmarkEnd w:id="2"/>
    </w:p>
    <w:p>
      <w:pPr>
        <w:spacing w:after="50" w:line="252" w:lineRule="auto"/>
        <w:ind w:left="403" w:hanging="403"/>
      </w:pPr>
      <w:bookmarkStart w:id="3" w:name="ref_3"/>
      <w:r>
        <w:rPr>
          <w:rFonts w:ascii="Times New Roman" w:hAnsi="Times New Roman"/>
          <w:b/>
          <w:color w:val="003399"/>
          <w:sz w:val="17"/>
        </w:rPr>
        <w:t xml:space="preserve">[3] </w:t>
      </w:r>
      <w:r>
        <w:rPr>
          <w:rFonts w:ascii="Times New Roman" w:hAnsi="Times New Roman"/>
          <w:sz w:val="17"/>
        </w:rPr>
        <w:t>D. Eigen, C. Puhrsch, and R. Fergus, “Depth map prediction from a single image using a multi-scale deep network,” in Adv. Neural Inf. Process. Syst. (NeurIPS), 2014.</w:t>
      </w:r>
      <w:bookmarkEnd w:id="3"/>
    </w:p>
    <w:p>
      <w:pPr>
        <w:spacing w:after="50" w:line="252" w:lineRule="auto"/>
        <w:ind w:left="403" w:hanging="403"/>
      </w:pPr>
      <w:bookmarkStart w:id="4" w:name="ref_4"/>
      <w:r>
        <w:rPr>
          <w:rFonts w:ascii="Times New Roman" w:hAnsi="Times New Roman"/>
          <w:b/>
          <w:color w:val="003399"/>
          <w:sz w:val="17"/>
        </w:rPr>
        <w:t xml:space="preserve">[4] </w:t>
      </w:r>
      <w:r>
        <w:rPr>
          <w:rFonts w:ascii="Times New Roman" w:hAnsi="Times New Roman"/>
          <w:sz w:val="17"/>
        </w:rPr>
        <w:t>S. F. Bhat, I. Alhashim, and P. Wonka, “AdaBins: Depth estimation using adaptive bins,” in Proc. IEEE/CVF CVPR, 2021.</w:t>
      </w:r>
      <w:bookmarkEnd w:id="4"/>
    </w:p>
    <w:p>
      <w:pPr>
        <w:spacing w:after="50" w:line="252" w:lineRule="auto"/>
        <w:ind w:left="403" w:hanging="403"/>
      </w:pPr>
      <w:bookmarkStart w:id="5" w:name="ref_5"/>
      <w:r>
        <w:rPr>
          <w:rFonts w:ascii="Times New Roman" w:hAnsi="Times New Roman"/>
          <w:b/>
          <w:color w:val="003399"/>
          <w:sz w:val="17"/>
        </w:rPr>
        <w:t xml:space="preserve">[5] </w:t>
      </w:r>
      <w:r>
        <w:rPr>
          <w:rFonts w:ascii="Times New Roman" w:hAnsi="Times New Roman"/>
          <w:sz w:val="17"/>
        </w:rPr>
        <w:t>R. Ranftl, A. Bochkovskiy, and V. Koltun, “Vision transformers for dense prediction,” in Proc. IEEE/CVF ICCV, 2021.</w:t>
      </w:r>
      <w:bookmarkEnd w:id="5"/>
    </w:p>
    <w:p>
      <w:pPr>
        <w:spacing w:after="50" w:line="252" w:lineRule="auto"/>
        <w:ind w:left="403" w:hanging="403"/>
      </w:pPr>
      <w:bookmarkStart w:id="6" w:name="ref_6"/>
      <w:r>
        <w:rPr>
          <w:rFonts w:ascii="Times New Roman" w:hAnsi="Times New Roman"/>
          <w:b/>
          <w:color w:val="003399"/>
          <w:sz w:val="17"/>
        </w:rPr>
        <w:t xml:space="preserve">[6] </w:t>
      </w:r>
      <w:r>
        <w:rPr>
          <w:rFonts w:ascii="Times New Roman" w:hAnsi="Times New Roman"/>
          <w:sz w:val="17"/>
        </w:rPr>
        <w:t>B. Ke, A. Obukhov, S. Huang, N. Metzger, R. C. Daudt, and K. Schindler, “Repurposing diffusion-based image generators for monocular depth estimation,” in Proc. IEEE/CVF CVPR, 2024.</w:t>
      </w:r>
      <w:bookmarkEnd w:id="6"/>
    </w:p>
    <w:p>
      <w:pPr>
        <w:spacing w:after="50" w:line="252" w:lineRule="auto"/>
        <w:ind w:left="403" w:hanging="403"/>
      </w:pPr>
      <w:bookmarkStart w:id="7" w:name="ref_7"/>
      <w:r>
        <w:rPr>
          <w:rFonts w:ascii="Times New Roman" w:hAnsi="Times New Roman"/>
          <w:b/>
          <w:color w:val="003399"/>
          <w:sz w:val="17"/>
        </w:rPr>
        <w:t xml:space="preserve">[7] </w:t>
      </w:r>
      <w:r>
        <w:rPr>
          <w:rFonts w:ascii="Times New Roman" w:hAnsi="Times New Roman"/>
          <w:sz w:val="17"/>
        </w:rPr>
        <w:t>S. F. Bhat, R. Birkl, D. Wofk, P. Wonka, and M. Müller, “ZoeDepth: Zero-shot transfer by combining relative and metric depth,” arXiv:2302.12288, 2023.</w:t>
      </w:r>
      <w:bookmarkEnd w:id="7"/>
    </w:p>
    <w:p>
      <w:pPr>
        <w:spacing w:after="50" w:line="252" w:lineRule="auto"/>
        <w:ind w:left="403" w:hanging="403"/>
      </w:pPr>
      <w:bookmarkStart w:id="8" w:name="ref_8"/>
      <w:r>
        <w:rPr>
          <w:rFonts w:ascii="Times New Roman" w:hAnsi="Times New Roman"/>
          <w:b/>
          <w:color w:val="003399"/>
          <w:sz w:val="17"/>
        </w:rPr>
        <w:t xml:space="preserve">[8] </w:t>
      </w:r>
      <w:r>
        <w:rPr>
          <w:rFonts w:ascii="Times New Roman" w:hAnsi="Times New Roman"/>
          <w:sz w:val="17"/>
        </w:rPr>
        <w:t>W. Yin et al., “Metric3D: Towards zero-shot metric 3D prediction from a single image,” in Proc. IEEE/CVF ICCV, 2023.</w:t>
      </w:r>
      <w:bookmarkEnd w:id="8"/>
    </w:p>
    <w:p>
      <w:pPr>
        <w:spacing w:after="50" w:line="252" w:lineRule="auto"/>
        <w:ind w:left="403" w:hanging="403"/>
      </w:pPr>
      <w:bookmarkStart w:id="9" w:name="ref_9"/>
      <w:r>
        <w:rPr>
          <w:rFonts w:ascii="Times New Roman" w:hAnsi="Times New Roman"/>
          <w:b/>
          <w:color w:val="003399"/>
          <w:sz w:val="17"/>
        </w:rPr>
        <w:t xml:space="preserve">[9] </w:t>
      </w:r>
      <w:r>
        <w:rPr>
          <w:rFonts w:ascii="Times New Roman" w:hAnsi="Times New Roman"/>
          <w:sz w:val="17"/>
        </w:rPr>
        <w:t>L. Piccinelli, Y.-H. Yang, C. Sakaridis, M. Segu, D. Dai, L. Van Gool, and F. Yu, “UniDepth: Universal monocular metric depth estimation,” in Proc. IEEE/CVF CVPR, 2024.</w:t>
      </w:r>
      <w:bookmarkEnd w:id="9"/>
    </w:p>
    <w:p>
      <w:pPr>
        <w:spacing w:after="50" w:line="252" w:lineRule="auto"/>
        <w:ind w:left="403" w:hanging="403"/>
      </w:pPr>
      <w:bookmarkStart w:id="10" w:name="ref_10"/>
      <w:r>
        <w:rPr>
          <w:rFonts w:ascii="Times New Roman" w:hAnsi="Times New Roman"/>
          <w:b/>
          <w:color w:val="003399"/>
          <w:sz w:val="17"/>
        </w:rPr>
        <w:t xml:space="preserve">[10] </w:t>
      </w:r>
      <w:r>
        <w:rPr>
          <w:rFonts w:ascii="Times New Roman" w:hAnsi="Times New Roman"/>
          <w:sz w:val="17"/>
        </w:rPr>
        <w:t>L. Yang, B. Kang, Z. Huang, Z. Zhao, X. Xu, J. Feng, and H. Zhao, “Depth Anything V2,” in Adv. Neural Inf. Process. Syst. (NeurIPS), 2024.</w:t>
      </w:r>
      <w:bookmarkEnd w:id="10"/>
    </w:p>
    <w:p>
      <w:pPr>
        <w:spacing w:after="50" w:line="252" w:lineRule="auto"/>
        <w:ind w:left="403" w:hanging="403"/>
      </w:pPr>
      <w:bookmarkStart w:id="11" w:name="ref_11"/>
      <w:r>
        <w:rPr>
          <w:rFonts w:ascii="Times New Roman" w:hAnsi="Times New Roman"/>
          <w:b/>
          <w:color w:val="003399"/>
          <w:sz w:val="17"/>
        </w:rPr>
        <w:t xml:space="preserve">[11] </w:t>
      </w:r>
      <w:r>
        <w:rPr>
          <w:rFonts w:ascii="Times New Roman" w:hAnsi="Times New Roman"/>
          <w:sz w:val="17"/>
        </w:rPr>
        <w:t>L. Yang, B. Kang, Z. Huang, X. Xu, J. Feng, and H. Zhao, “Depth Anything: Unleashing the power of large-scale unlabeled data,” in Proc. IEEE/CVF CVPR, 2024.</w:t>
      </w:r>
      <w:bookmarkEnd w:id="11"/>
    </w:p>
    <w:p>
      <w:pPr>
        <w:spacing w:after="50" w:line="252" w:lineRule="auto"/>
        <w:ind w:left="403" w:hanging="403"/>
      </w:pPr>
      <w:bookmarkStart w:id="12" w:name="ref_12"/>
      <w:r>
        <w:rPr>
          <w:rFonts w:ascii="Times New Roman" w:hAnsi="Times New Roman"/>
          <w:b/>
          <w:color w:val="003399"/>
          <w:sz w:val="17"/>
        </w:rPr>
        <w:t xml:space="preserve">[12] </w:t>
      </w:r>
      <w:r>
        <w:rPr>
          <w:rFonts w:ascii="Times New Roman" w:hAnsi="Times New Roman"/>
          <w:sz w:val="17"/>
        </w:rPr>
        <w:t>H. M. Shanto et al., “The evolution of monocular depth estimation: From spatial regression to generative foundations and the reliability gaps,” AIUB J. Sci. Eng., vol. 24, no. 3, pp. 250–271, 2026.</w:t>
      </w:r>
      <w:bookmarkEnd w:id="12"/>
    </w:p>
    <w:p>
      <w:pPr>
        <w:spacing w:after="50" w:line="252" w:lineRule="auto"/>
        <w:ind w:left="403" w:hanging="403"/>
      </w:pPr>
      <w:bookmarkStart w:id="13" w:name="ref_13"/>
      <w:r>
        <w:rPr>
          <w:rFonts w:ascii="Times New Roman" w:hAnsi="Times New Roman"/>
          <w:b/>
          <w:color w:val="003399"/>
          <w:sz w:val="17"/>
        </w:rPr>
        <w:t xml:space="preserve">[13] </w:t>
      </w:r>
      <w:r>
        <w:rPr>
          <w:rFonts w:ascii="Times New Roman" w:hAnsi="Times New Roman"/>
          <w:sz w:val="17"/>
        </w:rPr>
        <w:t>J. Spencer et al., “The monocular depth estimation challenge,” arXiv:2211.12174, 2022.</w:t>
      </w:r>
      <w:bookmarkEnd w:id="13"/>
    </w:p>
    <w:p>
      <w:pPr>
        <w:spacing w:after="50" w:line="252" w:lineRule="auto"/>
        <w:ind w:left="403" w:hanging="403"/>
      </w:pPr>
      <w:bookmarkStart w:id="14" w:name="ref_14"/>
      <w:r>
        <w:rPr>
          <w:rFonts w:ascii="Times New Roman" w:hAnsi="Times New Roman"/>
          <w:b/>
          <w:color w:val="003399"/>
          <w:sz w:val="17"/>
        </w:rPr>
        <w:t xml:space="preserve">[14] </w:t>
      </w:r>
      <w:r>
        <w:rPr>
          <w:rFonts w:ascii="Times New Roman" w:hAnsi="Times New Roman"/>
          <w:sz w:val="17"/>
        </w:rPr>
        <w:t>N. Khalefa, R. Souza, and N. El-Sheimy, “Evaluation of metric monocular depth estimation models under adverse weather conditions in driving scenarios,” ISPRS Ann. Photogramm. Remote Sens., 2026.</w:t>
      </w:r>
      <w:bookmarkEnd w:id="14"/>
    </w:p>
    <w:p>
      <w:pPr>
        <w:spacing w:after="50" w:line="252" w:lineRule="auto"/>
        <w:ind w:left="403" w:hanging="403"/>
      </w:pPr>
      <w:bookmarkStart w:id="15" w:name="ref_15"/>
      <w:r>
        <w:rPr>
          <w:rFonts w:ascii="Times New Roman" w:hAnsi="Times New Roman"/>
          <w:b/>
          <w:color w:val="003399"/>
          <w:sz w:val="17"/>
        </w:rPr>
        <w:t xml:space="preserve">[15] </w:t>
      </w:r>
      <w:r>
        <w:rPr>
          <w:rFonts w:ascii="Times New Roman" w:hAnsi="Times New Roman"/>
          <w:sz w:val="17"/>
        </w:rPr>
        <w:t>L. Kong et al., “RoboDepth: Robust out-of-distribution depth estimation under corruptions,” in Adv. Neural Inf. Process. Syst. (NeurIPS), 2023.</w:t>
      </w:r>
      <w:bookmarkEnd w:id="15"/>
    </w:p>
    <w:p>
      <w:pPr>
        <w:spacing w:after="50" w:line="252" w:lineRule="auto"/>
        <w:ind w:left="403" w:hanging="403"/>
      </w:pPr>
      <w:bookmarkStart w:id="16" w:name="ref_16"/>
      <w:r>
        <w:rPr>
          <w:rFonts w:ascii="Times New Roman" w:hAnsi="Times New Roman"/>
          <w:b/>
          <w:color w:val="003399"/>
          <w:sz w:val="17"/>
        </w:rPr>
        <w:t xml:space="preserve">[16] </w:t>
      </w:r>
      <w:r>
        <w:rPr>
          <w:rFonts w:ascii="Times New Roman" w:hAnsi="Times New Roman"/>
          <w:sz w:val="17"/>
        </w:rPr>
        <w:t>S. Gasperini et al., “Robust monocular depth estimation under challenging conditions,” in Proc. IEEE/CVF ICCV, 2023.</w:t>
      </w:r>
      <w:bookmarkEnd w:id="16"/>
    </w:p>
    <w:p>
      <w:pPr>
        <w:spacing w:after="50" w:line="252" w:lineRule="auto"/>
        <w:ind w:left="403" w:hanging="403"/>
      </w:pPr>
      <w:bookmarkStart w:id="17" w:name="ref_17"/>
      <w:r>
        <w:rPr>
          <w:rFonts w:ascii="Times New Roman" w:hAnsi="Times New Roman"/>
          <w:b/>
          <w:color w:val="003399"/>
          <w:sz w:val="17"/>
        </w:rPr>
        <w:t xml:space="preserve">[17] </w:t>
      </w:r>
      <w:r>
        <w:rPr>
          <w:rFonts w:ascii="Times New Roman" w:hAnsi="Times New Roman"/>
          <w:sz w:val="17"/>
        </w:rPr>
        <w:t>Y. Ming et al., “Deep learning-based monocular depth estimation methods—A state-of-the-art review,” Sensors, vol. 20, no. 8, p. 2272, 2020.</w:t>
      </w:r>
      <w:bookmarkEnd w:id="17"/>
    </w:p>
    <w:p>
      <w:pPr>
        <w:spacing w:after="50" w:line="252" w:lineRule="auto"/>
        <w:ind w:left="403" w:hanging="403"/>
      </w:pPr>
      <w:bookmarkStart w:id="18" w:name="ref_18"/>
      <w:r>
        <w:rPr>
          <w:rFonts w:ascii="Times New Roman" w:hAnsi="Times New Roman"/>
          <w:b/>
          <w:color w:val="003399"/>
          <w:sz w:val="17"/>
        </w:rPr>
        <w:t xml:space="preserve">[18] </w:t>
      </w:r>
      <w:r>
        <w:rPr>
          <w:rFonts w:ascii="Times New Roman" w:hAnsi="Times New Roman"/>
          <w:sz w:val="17"/>
        </w:rPr>
        <w:t>J. Zhang, “Survey on monocular metric depth estimation,” Computers, vol. 14, no. 11, p. 502, 2025.</w:t>
      </w:r>
      <w:bookmarkEnd w:id="18"/>
    </w:p>
    <w:p>
      <w:pPr>
        <w:spacing w:after="50" w:line="252" w:lineRule="auto"/>
        <w:ind w:left="403" w:hanging="403"/>
      </w:pPr>
      <w:bookmarkStart w:id="19" w:name="ref_19"/>
      <w:r>
        <w:rPr>
          <w:rFonts w:ascii="Times New Roman" w:hAnsi="Times New Roman"/>
          <w:b/>
          <w:color w:val="003399"/>
          <w:sz w:val="17"/>
        </w:rPr>
        <w:t xml:space="preserve">[19] </w:t>
      </w:r>
      <w:r>
        <w:rPr>
          <w:rFonts w:ascii="Times New Roman" w:hAnsi="Times New Roman"/>
          <w:sz w:val="17"/>
        </w:rPr>
        <w:t>D. Wofk, F. Ma, T.-J. Yang, S. Karaman, and V. Sze, “FastDepth: Fast monocular depth estimation on embedded systems,” in Proc. IEEE ICRA, 2019.</w:t>
      </w:r>
      <w:bookmarkEnd w:id="19"/>
    </w:p>
    <w:p>
      <w:pPr>
        <w:spacing w:after="50" w:line="252" w:lineRule="auto"/>
        <w:ind w:left="403" w:hanging="403"/>
      </w:pPr>
      <w:bookmarkStart w:id="20" w:name="ref_20"/>
      <w:r>
        <w:rPr>
          <w:rFonts w:ascii="Times New Roman" w:hAnsi="Times New Roman"/>
          <w:b/>
          <w:color w:val="003399"/>
          <w:sz w:val="17"/>
        </w:rPr>
        <w:t xml:space="preserve">[20] </w:t>
      </w:r>
      <w:r>
        <w:rPr>
          <w:rFonts w:ascii="Times New Roman" w:hAnsi="Times New Roman"/>
          <w:sz w:val="17"/>
        </w:rPr>
        <w:t>A. Geiger, P. Lenz, C. Stiller, and R. Urtasun, “Vision meets robotics: The KITTI dataset,” Int. J. Robot. Res., vol. 32, no. 11, pp. 1231–1237, 2013.</w:t>
      </w:r>
      <w:bookmarkEnd w:id="20"/>
    </w:p>
    <w:p>
      <w:pPr>
        <w:spacing w:after="50" w:line="252" w:lineRule="auto"/>
        <w:ind w:left="403" w:hanging="403"/>
      </w:pPr>
      <w:bookmarkStart w:id="21" w:name="ref_21"/>
      <w:r>
        <w:rPr>
          <w:rFonts w:ascii="Times New Roman" w:hAnsi="Times New Roman"/>
          <w:b/>
          <w:color w:val="003399"/>
          <w:sz w:val="17"/>
        </w:rPr>
        <w:t xml:space="preserve">[21] </w:t>
      </w:r>
      <w:r>
        <w:rPr>
          <w:rFonts w:ascii="Times New Roman" w:hAnsi="Times New Roman"/>
          <w:sz w:val="17"/>
        </w:rPr>
        <w:t>N. Silberman, D. Hoiem, P. Kohli, and R. Fergus, “Indoor segmentation and support inference from RGBD images,” in Proc. ECCV, 2012, pp. 746–760.</w:t>
      </w:r>
      <w:bookmarkEnd w:id="21"/>
    </w:p>
    <w:p>
      <w:pPr>
        <w:spacing w:after="50" w:line="252" w:lineRule="auto"/>
        <w:ind w:left="403" w:hanging="403"/>
      </w:pPr>
      <w:bookmarkStart w:id="22" w:name="ref_22"/>
      <w:r>
        <w:rPr>
          <w:rFonts w:ascii="Times New Roman" w:hAnsi="Times New Roman"/>
          <w:b/>
          <w:color w:val="003399"/>
          <w:sz w:val="17"/>
        </w:rPr>
        <w:t xml:space="preserve">[22] </w:t>
      </w:r>
      <w:r>
        <w:rPr>
          <w:rFonts w:ascii="Times New Roman" w:hAnsi="Times New Roman"/>
          <w:sz w:val="17"/>
        </w:rPr>
        <w:t>F. Ma and S. Karaman, “Sparse-to-dense: Depth prediction from sparse depth samples and a single image,” in Proc. IEEE ICRA, 2018.</w:t>
      </w:r>
      <w:bookmarkEnd w:id="22"/>
    </w:p>
    <w:p>
      <w:pPr>
        <w:spacing w:after="50" w:line="252" w:lineRule="auto"/>
        <w:ind w:left="403" w:hanging="403"/>
      </w:pPr>
      <w:bookmarkStart w:id="23" w:name="ref_23"/>
      <w:r>
        <w:rPr>
          <w:rFonts w:ascii="Times New Roman" w:hAnsi="Times New Roman"/>
          <w:b/>
          <w:color w:val="003399"/>
          <w:sz w:val="17"/>
        </w:rPr>
        <w:t xml:space="preserve">[23] </w:t>
      </w:r>
      <w:r>
        <w:rPr>
          <w:rFonts w:ascii="Times New Roman" w:hAnsi="Times New Roman"/>
          <w:sz w:val="17"/>
        </w:rPr>
        <w:t>N. A. B. Martins, L. A. da Silva Cruz, and F. Lopes, “Impact of LiDAR point cloud compression on 3D object detection evaluated on the KITTI dataset,” EURASIP J. Image Video Process., 2024.</w:t>
      </w:r>
      <w:bookmarkEnd w:id="23"/>
    </w:p>
    <w:p>
      <w:pPr>
        <w:spacing w:after="50" w:line="252" w:lineRule="auto"/>
        <w:ind w:left="403" w:hanging="403"/>
      </w:pPr>
      <w:bookmarkStart w:id="24" w:name="ref_24"/>
      <w:r>
        <w:rPr>
          <w:rFonts w:ascii="Times New Roman" w:hAnsi="Times New Roman"/>
          <w:b/>
          <w:color w:val="003399"/>
          <w:sz w:val="17"/>
        </w:rPr>
        <w:t xml:space="preserve">[24] </w:t>
      </w:r>
      <w:r>
        <w:rPr>
          <w:rFonts w:ascii="Times New Roman" w:hAnsi="Times New Roman"/>
          <w:sz w:val="17"/>
        </w:rPr>
        <w:t>A. Mathew, A. P. Patra, and J. Mathew, “Monocular depth estimators: Vulnerabilities and attacks,” arXiv:2005.14302, 2020.</w:t>
      </w:r>
      <w:bookmarkEnd w:id="24"/>
    </w:p>
    <w:p>
      <w:pPr>
        <w:spacing w:after="50" w:line="252" w:lineRule="auto"/>
        <w:ind w:left="403" w:hanging="403"/>
      </w:pPr>
      <w:bookmarkStart w:id="25" w:name="ref_25"/>
      <w:r>
        <w:rPr>
          <w:rFonts w:ascii="Times New Roman" w:hAnsi="Times New Roman"/>
          <w:b/>
          <w:color w:val="003399"/>
          <w:sz w:val="17"/>
        </w:rPr>
        <w:t xml:space="preserve">[25] </w:t>
      </w:r>
      <w:r>
        <w:rPr>
          <w:rFonts w:ascii="Times New Roman" w:hAnsi="Times New Roman"/>
          <w:sz w:val="17"/>
        </w:rPr>
        <w:t>A. Kendall and Y. Gal, “What uncertainties do we need in Bayesian deep learning for computer vision?” in Adv. Neural Inf. Process. Syst. (NeurIPS), 2017.</w:t>
      </w:r>
      <w:bookmarkEnd w:id="25"/>
    </w:p>
    <w:p>
      <w:pPr>
        <w:spacing w:after="50" w:line="252" w:lineRule="auto"/>
        <w:ind w:left="403" w:hanging="403"/>
      </w:pPr>
      <w:bookmarkStart w:id="26" w:name="ref_26"/>
      <w:r>
        <w:rPr>
          <w:rFonts w:ascii="Times New Roman" w:hAnsi="Times New Roman"/>
          <w:b/>
          <w:color w:val="003399"/>
          <w:sz w:val="17"/>
        </w:rPr>
        <w:t xml:space="preserve">[26] </w:t>
      </w:r>
      <w:r>
        <w:rPr>
          <w:rFonts w:ascii="Times New Roman" w:hAnsi="Times New Roman"/>
          <w:sz w:val="17"/>
        </w:rPr>
        <w:t>F. K. Gustafsson, M. Danelljan, and T. B. Schön, “Evaluating scalable Bayesian deep learning methods for robust computer vision,” in Proc. IEEE/CVF CVPRW, 2020.</w:t>
      </w:r>
      <w:bookmarkEnd w:id="26"/>
    </w:p>
    <w:p>
      <w:pPr>
        <w:spacing w:after="50" w:line="252" w:lineRule="auto"/>
        <w:ind w:left="403" w:hanging="403"/>
      </w:pPr>
      <w:bookmarkStart w:id="27" w:name="ref_27"/>
      <w:r>
        <w:rPr>
          <w:rFonts w:ascii="Times New Roman" w:hAnsi="Times New Roman"/>
          <w:b/>
          <w:color w:val="003399"/>
          <w:sz w:val="17"/>
        </w:rPr>
        <w:t xml:space="preserve">[27] </w:t>
      </w:r>
      <w:r>
        <w:rPr>
          <w:rFonts w:ascii="Times New Roman" w:hAnsi="Times New Roman"/>
          <w:sz w:val="17"/>
        </w:rPr>
        <w:t>M. Poggi, F. Aleotti, F. Tosi, and S. Mattoccia, “On the uncertainty of self-supervised monocular depth estimation,” in Proc. IEEE/CVF CVPR, 2020.</w:t>
      </w:r>
      <w:bookmarkEnd w:id="27"/>
    </w:p>
    <w:p>
      <w:pPr>
        <w:spacing w:after="50" w:line="252" w:lineRule="auto"/>
        <w:ind w:left="403" w:hanging="403"/>
      </w:pPr>
      <w:bookmarkStart w:id="28" w:name="ref_28"/>
      <w:r>
        <w:rPr>
          <w:rFonts w:ascii="Times New Roman" w:hAnsi="Times New Roman"/>
          <w:b/>
          <w:color w:val="003399"/>
          <w:sz w:val="17"/>
        </w:rPr>
        <w:t xml:space="preserve">[28] </w:t>
      </w:r>
      <w:r>
        <w:rPr>
          <w:rFonts w:ascii="Times New Roman" w:hAnsi="Times New Roman"/>
          <w:sz w:val="17"/>
        </w:rPr>
        <w:t>M. Xiang, J. Zhang, N. Barnes, and Y. Dai, “Measuring and modeling uncertainty degree for monocular depth estimation,” arXiv:2307.09929, 2023.</w:t>
      </w:r>
      <w:bookmarkEnd w:id="28"/>
    </w:p>
    <w:p>
      <w:pPr>
        <w:spacing w:after="50" w:line="252" w:lineRule="auto"/>
        <w:ind w:left="403" w:hanging="403"/>
      </w:pPr>
      <w:bookmarkStart w:id="29" w:name="ref_29"/>
      <w:r>
        <w:rPr>
          <w:rFonts w:ascii="Times New Roman" w:hAnsi="Times New Roman"/>
          <w:b/>
          <w:color w:val="003399"/>
          <w:sz w:val="17"/>
        </w:rPr>
        <w:t xml:space="preserve">[29] </w:t>
      </w:r>
      <w:r>
        <w:rPr>
          <w:rFonts w:ascii="Times New Roman" w:hAnsi="Times New Roman"/>
          <w:sz w:val="17"/>
        </w:rPr>
        <w:t>C. Guo, G. Pleiss, Y. Sun, and K. Q. Weinberger, “On calibration of modern neural networks,” in Proc. ICML, 2017.</w:t>
      </w:r>
      <w:bookmarkEnd w:id="29"/>
    </w:p>
    <w:p>
      <w:pPr>
        <w:spacing w:after="50" w:line="252" w:lineRule="auto"/>
        <w:ind w:left="403" w:hanging="403"/>
      </w:pPr>
      <w:bookmarkStart w:id="30" w:name="ref_30"/>
      <w:r>
        <w:rPr>
          <w:rFonts w:ascii="Times New Roman" w:hAnsi="Times New Roman"/>
          <w:b/>
          <w:color w:val="003399"/>
          <w:sz w:val="17"/>
        </w:rPr>
        <w:t xml:space="preserve">[30] </w:t>
      </w:r>
      <w:r>
        <w:rPr>
          <w:rFonts w:ascii="Times New Roman" w:hAnsi="Times New Roman"/>
          <w:sz w:val="17"/>
        </w:rPr>
        <w:t>Y. Ovadia et al., “Can you trust your model’s uncertainty? Evaluating predictive uncertainty under dataset shift,” in Adv. Neural Inf. Process. Syst. (NeurIPS), 2019.</w:t>
      </w:r>
      <w:bookmarkEnd w:id="30"/>
    </w:p>
    <w:p>
      <w:pPr>
        <w:spacing w:after="50" w:line="252" w:lineRule="auto"/>
        <w:ind w:left="403" w:hanging="403"/>
      </w:pPr>
      <w:bookmarkStart w:id="31" w:name="ref_31"/>
      <w:r>
        <w:rPr>
          <w:rFonts w:ascii="Times New Roman" w:hAnsi="Times New Roman"/>
          <w:b/>
          <w:color w:val="003399"/>
          <w:sz w:val="17"/>
        </w:rPr>
        <w:t xml:space="preserve">[31] </w:t>
      </w:r>
      <w:r>
        <w:rPr>
          <w:rFonts w:ascii="Times New Roman" w:hAnsi="Times New Roman"/>
          <w:sz w:val="17"/>
        </w:rPr>
        <w:t>Z. Cheng, Y. Wu, Y. Li, L. Cai, and B. Ihnaini, “A comprehensive review of explainable artificial intelligence (XAI) in computer vision,” Sensors, vol. 25, no. 13, p. 4166, 2025.</w:t>
      </w:r>
      <w:bookmarkEnd w:id="31"/>
    </w:p>
    <w:p>
      <w:pPr>
        <w:spacing w:after="50" w:line="252" w:lineRule="auto"/>
        <w:ind w:left="403" w:hanging="403"/>
      </w:pPr>
      <w:bookmarkStart w:id="32" w:name="ref_32"/>
      <w:r>
        <w:rPr>
          <w:rFonts w:ascii="Times New Roman" w:hAnsi="Times New Roman"/>
          <w:b/>
          <w:color w:val="003399"/>
          <w:sz w:val="17"/>
        </w:rPr>
        <w:t xml:space="preserve">[32] </w:t>
      </w:r>
      <w:r>
        <w:rPr>
          <w:rFonts w:ascii="Times New Roman" w:hAnsi="Times New Roman"/>
          <w:sz w:val="17"/>
        </w:rPr>
        <w:t>L. H. Gilpin et al., “Explaining explanations: An overview of interpretability of machine learning,” in Proc. IEEE DSAA, 2018.</w:t>
      </w:r>
      <w:bookmarkEnd w:id="32"/>
    </w:p>
    <w:p>
      <w:pPr>
        <w:spacing w:after="50" w:line="252" w:lineRule="auto"/>
        <w:ind w:left="403" w:hanging="403"/>
      </w:pPr>
      <w:bookmarkStart w:id="33" w:name="ref_33"/>
      <w:r>
        <w:rPr>
          <w:rFonts w:ascii="Times New Roman" w:hAnsi="Times New Roman"/>
          <w:b/>
          <w:color w:val="003399"/>
          <w:sz w:val="17"/>
        </w:rPr>
        <w:t xml:space="preserve">[33] </w:t>
      </w:r>
      <w:r>
        <w:rPr>
          <w:rFonts w:ascii="Times New Roman" w:hAnsi="Times New Roman"/>
          <w:sz w:val="17"/>
        </w:rPr>
        <w:t>M. T. Ribeiro, S. Singh, and C. Guestrin, “‘Why should I trust you?’: Explaining the predictions of any classifier,” in Proc. ACM SIGKDD, 2016.</w:t>
      </w:r>
      <w:bookmarkEnd w:id="33"/>
    </w:p>
    <w:p>
      <w:pPr>
        <w:spacing w:after="50" w:line="252" w:lineRule="auto"/>
        <w:ind w:left="403" w:hanging="403"/>
      </w:pPr>
      <w:bookmarkStart w:id="34" w:name="ref_34"/>
      <w:r>
        <w:rPr>
          <w:rFonts w:ascii="Times New Roman" w:hAnsi="Times New Roman"/>
          <w:b/>
          <w:color w:val="003399"/>
          <w:sz w:val="17"/>
        </w:rPr>
        <w:t xml:space="preserve">[34] </w:t>
      </w:r>
      <w:r>
        <w:rPr>
          <w:rFonts w:ascii="Times New Roman" w:hAnsi="Times New Roman"/>
          <w:sz w:val="17"/>
        </w:rPr>
        <w:t>M. Sundararajan, A. Taly, and Q. Yan, “Axiomatic attribution for deep networks,” in Proc. ICML, 2017.</w:t>
      </w:r>
      <w:bookmarkEnd w:id="34"/>
    </w:p>
    <w:p>
      <w:pPr>
        <w:spacing w:after="50" w:line="252" w:lineRule="auto"/>
        <w:ind w:left="403" w:hanging="403"/>
      </w:pPr>
      <w:bookmarkStart w:id="35" w:name="ref_35"/>
      <w:r>
        <w:rPr>
          <w:rFonts w:ascii="Times New Roman" w:hAnsi="Times New Roman"/>
          <w:b/>
          <w:color w:val="003399"/>
          <w:sz w:val="17"/>
        </w:rPr>
        <w:t xml:space="preserve">[35] </w:t>
      </w:r>
      <w:r>
        <w:rPr>
          <w:rFonts w:ascii="Times New Roman" w:hAnsi="Times New Roman"/>
          <w:sz w:val="17"/>
        </w:rPr>
        <w:t>R. R. Selvaraju et al., “Grad-CAM: Visual explanations from deep networks via gradient-based localization,” Int. J. Comput. Vis., vol. 128, no. 2, pp. 336–359, 2020.</w:t>
      </w:r>
      <w:bookmarkEnd w:id="35"/>
    </w:p>
    <w:p>
      <w:pPr>
        <w:spacing w:after="50" w:line="252" w:lineRule="auto"/>
        <w:ind w:left="403" w:hanging="403"/>
      </w:pPr>
      <w:bookmarkStart w:id="36" w:name="ref_36"/>
      <w:r>
        <w:rPr>
          <w:rFonts w:ascii="Times New Roman" w:hAnsi="Times New Roman"/>
          <w:b/>
          <w:color w:val="003399"/>
          <w:sz w:val="17"/>
        </w:rPr>
        <w:t xml:space="preserve">[36] </w:t>
      </w:r>
      <w:r>
        <w:rPr>
          <w:rFonts w:ascii="Times New Roman" w:hAnsi="Times New Roman"/>
          <w:sz w:val="17"/>
        </w:rPr>
        <w:t>V. Petsiuk, A. Das, and K. Saenko, “RISE: Randomized input sampling for explanation of black-box models,” in Proc. BMVC, 2018.</w:t>
      </w:r>
      <w:bookmarkEnd w:id="36"/>
    </w:p>
    <w:p>
      <w:pPr>
        <w:spacing w:after="50" w:line="252" w:lineRule="auto"/>
        <w:ind w:left="403" w:hanging="403"/>
      </w:pPr>
      <w:bookmarkStart w:id="37" w:name="ref_37"/>
      <w:r>
        <w:rPr>
          <w:rFonts w:ascii="Times New Roman" w:hAnsi="Times New Roman"/>
          <w:b/>
          <w:color w:val="003399"/>
          <w:sz w:val="17"/>
        </w:rPr>
        <w:t xml:space="preserve">[37] </w:t>
      </w:r>
      <w:r>
        <w:rPr>
          <w:rFonts w:ascii="Times New Roman" w:hAnsi="Times New Roman"/>
          <w:sz w:val="17"/>
        </w:rPr>
        <w:t>Z. You et al., “Towards interpretable deep networks for monocular depth estimation,” in Proc. IEEE/CVF ICCV, 2021.</w:t>
      </w:r>
      <w:bookmarkEnd w:id="37"/>
    </w:p>
    <w:p>
      <w:pPr>
        <w:spacing w:after="50" w:line="252" w:lineRule="auto"/>
        <w:ind w:left="403" w:hanging="403"/>
      </w:pPr>
      <w:bookmarkStart w:id="38" w:name="ref_38"/>
      <w:r>
        <w:rPr>
          <w:rFonts w:ascii="Times New Roman" w:hAnsi="Times New Roman"/>
          <w:b/>
          <w:color w:val="003399"/>
          <w:sz w:val="17"/>
        </w:rPr>
        <w:t xml:space="preserve">[38] </w:t>
      </w:r>
      <w:r>
        <w:rPr>
          <w:rFonts w:ascii="Times New Roman" w:hAnsi="Times New Roman"/>
          <w:sz w:val="17"/>
        </w:rPr>
        <w:t>L. Cirillo, C. Schiavella, L. Papa, P. Russo, and I. Amerini, “Shedding light on depth: Explainability assessment in monocular depth estimation,” arXiv:2509.15980, 2025.</w:t>
      </w:r>
      <w:bookmarkEnd w:id="38"/>
    </w:p>
    <w:p>
      <w:pPr>
        <w:spacing w:after="50" w:line="252" w:lineRule="auto"/>
        <w:ind w:left="403" w:hanging="403"/>
      </w:pPr>
      <w:bookmarkStart w:id="39" w:name="ref_39"/>
      <w:r>
        <w:rPr>
          <w:rFonts w:ascii="Times New Roman" w:hAnsi="Times New Roman"/>
          <w:b/>
          <w:color w:val="003399"/>
          <w:sz w:val="17"/>
        </w:rPr>
        <w:t xml:space="preserve">[39] </w:t>
      </w:r>
      <w:r>
        <w:rPr>
          <w:rFonts w:ascii="Times New Roman" w:hAnsi="Times New Roman"/>
          <w:sz w:val="17"/>
        </w:rPr>
        <w:t>J. Chawla, N. Thakurdesai, A. Godase, M. Reza, D. Crandall, and S.-H. Jung, “Error diagnosis of deep monocular depth estimation models,” in Proc. IEEE/RSJ IROS, 2021.</w:t>
      </w:r>
      <w:bookmarkEnd w:id="39"/>
    </w:p>
    <w:p>
      <w:pPr>
        <w:spacing w:after="50" w:line="252" w:lineRule="auto"/>
        <w:ind w:left="403" w:hanging="403"/>
      </w:pPr>
      <w:bookmarkStart w:id="40" w:name="ref_40"/>
      <w:r>
        <w:rPr>
          <w:rFonts w:ascii="Times New Roman" w:hAnsi="Times New Roman"/>
          <w:b/>
          <w:color w:val="003399"/>
          <w:sz w:val="17"/>
        </w:rPr>
        <w:t xml:space="preserve">[40] </w:t>
      </w:r>
      <w:r>
        <w:rPr>
          <w:rFonts w:ascii="Times New Roman" w:hAnsi="Times New Roman"/>
          <w:sz w:val="17"/>
        </w:rPr>
        <w:t>X. Ma et al., “Delving into localization errors for monocular 3D object detection,” in Proc. IEEE/CVF CVPR, 2021.</w:t>
      </w:r>
      <w:bookmarkEnd w:id="40"/>
    </w:p>
    <w:p>
      <w:pPr>
        <w:spacing w:after="50" w:line="252" w:lineRule="auto"/>
        <w:ind w:left="403" w:hanging="403"/>
      </w:pPr>
      <w:bookmarkStart w:id="41" w:name="ref_41"/>
      <w:r>
        <w:rPr>
          <w:rFonts w:ascii="Times New Roman" w:hAnsi="Times New Roman"/>
          <w:b/>
          <w:color w:val="003399"/>
          <w:sz w:val="17"/>
        </w:rPr>
        <w:t xml:space="preserve">[41] </w:t>
      </w:r>
      <w:r>
        <w:rPr>
          <w:rFonts w:ascii="Times New Roman" w:hAnsi="Times New Roman"/>
          <w:sz w:val="17"/>
        </w:rPr>
        <w:t>H. Alwassel, F. Caba Heilbron, V. Escorcia, and B. Ghanem, “Diagnosing error in temporal action detectors,” in Proc. ECCV, 2018.</w:t>
      </w:r>
      <w:bookmarkEnd w:id="41"/>
    </w:p>
    <w:p>
      <w:pPr>
        <w:spacing w:after="50" w:line="252" w:lineRule="auto"/>
        <w:ind w:left="403" w:hanging="403"/>
      </w:pPr>
      <w:bookmarkStart w:id="42" w:name="ref_42"/>
      <w:r>
        <w:rPr>
          <w:rFonts w:ascii="Times New Roman" w:hAnsi="Times New Roman"/>
          <w:b/>
          <w:color w:val="003399"/>
          <w:sz w:val="17"/>
        </w:rPr>
        <w:t xml:space="preserve">[42] </w:t>
      </w:r>
      <w:r>
        <w:rPr>
          <w:rFonts w:ascii="Times New Roman" w:hAnsi="Times New Roman"/>
          <w:sz w:val="17"/>
        </w:rPr>
        <w:t>S. Singla et al., “Understanding failures of deep networks via robust feature extraction,” in Proc. IEEE/CVF CVPR, 2021.</w:t>
      </w:r>
      <w:bookmarkEnd w:id="42"/>
    </w:p>
    <w:p>
      <w:pPr>
        <w:spacing w:after="50" w:line="252" w:lineRule="auto"/>
        <w:ind w:left="403" w:hanging="403"/>
      </w:pPr>
      <w:bookmarkStart w:id="43" w:name="ref_43"/>
      <w:r>
        <w:rPr>
          <w:rFonts w:ascii="Times New Roman" w:hAnsi="Times New Roman"/>
          <w:b/>
          <w:color w:val="003399"/>
          <w:sz w:val="17"/>
        </w:rPr>
        <w:t xml:space="preserve">[43] </w:t>
      </w:r>
      <w:r>
        <w:rPr>
          <w:rFonts w:ascii="Times New Roman" w:hAnsi="Times New Roman"/>
          <w:sz w:val="17"/>
        </w:rPr>
        <w:t>G. Csurka, T. L. Hayes, D. Larlus, and R. Volpi, “What could go wrong? Discovering and describing failure modes in computer vision,” in Proc. ECCV Workshops, 2024.</w:t>
      </w:r>
      <w:bookmarkEnd w:id="43"/>
    </w:p>
    <w:p>
      <w:pPr>
        <w:spacing w:after="50" w:line="252" w:lineRule="auto"/>
        <w:ind w:left="403" w:hanging="403"/>
      </w:pPr>
      <w:bookmarkStart w:id="44" w:name="ref_44"/>
      <w:r>
        <w:rPr>
          <w:rFonts w:ascii="Times New Roman" w:hAnsi="Times New Roman"/>
          <w:b/>
          <w:color w:val="003399"/>
          <w:sz w:val="17"/>
        </w:rPr>
        <w:t xml:space="preserve">[44] </w:t>
      </w:r>
      <w:r>
        <w:rPr>
          <w:rFonts w:ascii="Times New Roman" w:hAnsi="Times New Roman"/>
          <w:sz w:val="17"/>
        </w:rPr>
        <w:t>J. Zhang, Y. Wang, P. Molino, L. Li, and D. S. Ebert, “Manifold: A model-agnostic framework for interpretation and diagnosis of machine learning models,” IEEE TVCG, 2019.</w:t>
      </w:r>
      <w:bookmarkEnd w:id="44"/>
    </w:p>
    <w:p>
      <w:pPr>
        <w:spacing w:after="50" w:line="252" w:lineRule="auto"/>
        <w:ind w:left="403" w:hanging="403"/>
      </w:pPr>
      <w:bookmarkStart w:id="45" w:name="ref_45"/>
      <w:r>
        <w:rPr>
          <w:rFonts w:ascii="Times New Roman" w:hAnsi="Times New Roman"/>
          <w:b/>
          <w:color w:val="003399"/>
          <w:sz w:val="17"/>
        </w:rPr>
        <w:t xml:space="preserve">[45] </w:t>
      </w:r>
      <w:r>
        <w:rPr>
          <w:rFonts w:ascii="Times New Roman" w:hAnsi="Times New Roman"/>
          <w:sz w:val="17"/>
        </w:rPr>
        <w:t>T. Spinner, D. Fürst, and M. El-Assady, “iNNspector: Visual, interactive deep model debugging,” arXiv:2407.17998, 2024.</w:t>
      </w:r>
      <w:bookmarkEnd w:id="45"/>
    </w:p>
    <w:p>
      <w:pPr>
        <w:spacing w:after="50" w:line="252" w:lineRule="auto"/>
        <w:ind w:left="403" w:hanging="403"/>
      </w:pPr>
      <w:bookmarkStart w:id="46" w:name="ref_46"/>
      <w:r>
        <w:rPr>
          <w:rFonts w:ascii="Times New Roman" w:hAnsi="Times New Roman"/>
          <w:b/>
          <w:color w:val="003399"/>
          <w:sz w:val="17"/>
        </w:rPr>
        <w:t xml:space="preserve">[46] </w:t>
      </w:r>
      <w:r>
        <w:rPr>
          <w:rFonts w:ascii="Times New Roman" w:hAnsi="Times New Roman"/>
          <w:sz w:val="17"/>
        </w:rPr>
        <w:t>J. Baek et al., “What is wrong with scene text recognition model comparisons? Dataset and model analysis,” in Proc. IEEE/CVF ICCV, 2019.</w:t>
      </w:r>
      <w:bookmarkEnd w:id="46"/>
    </w:p>
    <w:p>
      <w:pPr>
        <w:spacing w:after="50" w:line="252" w:lineRule="auto"/>
        <w:ind w:left="403" w:hanging="403"/>
      </w:pPr>
      <w:bookmarkStart w:id="47" w:name="ref_47"/>
      <w:r>
        <w:rPr>
          <w:rFonts w:ascii="Times New Roman" w:hAnsi="Times New Roman"/>
          <w:b/>
          <w:color w:val="003399"/>
          <w:sz w:val="17"/>
        </w:rPr>
        <w:t xml:space="preserve">[47] </w:t>
      </w:r>
      <w:r>
        <w:rPr>
          <w:rFonts w:ascii="Times New Roman" w:hAnsi="Times New Roman"/>
          <w:sz w:val="17"/>
        </w:rPr>
        <w:t>B. Recht, R. Roelofs, L. Schmidt, and V. Shankar, “Do ImageNet classifiers generalize to ImageNet?” in Proc. ICML, 2019.</w:t>
      </w:r>
      <w:bookmarkEnd w:id="47"/>
    </w:p>
    <w:p>
      <w:pPr>
        <w:spacing w:after="50" w:line="252" w:lineRule="auto"/>
        <w:ind w:left="403" w:hanging="403"/>
      </w:pPr>
      <w:bookmarkStart w:id="48" w:name="ref_48"/>
      <w:r>
        <w:rPr>
          <w:rFonts w:ascii="Times New Roman" w:hAnsi="Times New Roman"/>
          <w:b/>
          <w:color w:val="003399"/>
          <w:sz w:val="17"/>
        </w:rPr>
        <w:t xml:space="preserve">[48] </w:t>
      </w:r>
      <w:r>
        <w:rPr>
          <w:rFonts w:ascii="Times New Roman" w:hAnsi="Times New Roman"/>
          <w:sz w:val="17"/>
        </w:rPr>
        <w:t>M. Wardat, B. D. Cruz, W. Le, and H. Rajan, “An effective data-driven approach for localizing deep learning faults,” arXiv:2307.08947, 2023.</w:t>
      </w:r>
      <w:bookmarkEnd w:id="48"/>
    </w:p>
    <w:p>
      <w:pPr>
        <w:spacing w:after="50" w:line="252" w:lineRule="auto"/>
        <w:ind w:left="403" w:hanging="403"/>
      </w:pPr>
      <w:bookmarkStart w:id="49" w:name="ref_49"/>
      <w:r>
        <w:rPr>
          <w:rFonts w:ascii="Times New Roman" w:hAnsi="Times New Roman"/>
          <w:b/>
          <w:color w:val="003399"/>
          <w:sz w:val="17"/>
        </w:rPr>
        <w:t xml:space="preserve">[49] </w:t>
      </w:r>
      <w:r>
        <w:rPr>
          <w:rFonts w:ascii="Times New Roman" w:hAnsi="Times New Roman"/>
          <w:sz w:val="17"/>
        </w:rPr>
        <w:t>M. Roberts et al., “Hypersim: A photorealistic synthetic dataset for holistic indoor scene understanding,” in Proc. IEEE/CVF ICCV, 2021.</w:t>
      </w:r>
      <w:bookmarkEnd w:id="49"/>
    </w:p>
    <w:p>
      <w:pPr>
        <w:spacing w:after="50" w:line="252" w:lineRule="auto"/>
        <w:ind w:left="403" w:hanging="403"/>
      </w:pPr>
      <w:bookmarkStart w:id="50" w:name="ref_50"/>
      <w:r>
        <w:rPr>
          <w:rFonts w:ascii="Times New Roman" w:hAnsi="Times New Roman"/>
          <w:b/>
          <w:color w:val="003399"/>
          <w:sz w:val="17"/>
        </w:rPr>
        <w:t xml:space="preserve">[50] </w:t>
      </w:r>
      <w:r>
        <w:rPr>
          <w:rFonts w:ascii="Times New Roman" w:hAnsi="Times New Roman"/>
          <w:sz w:val="17"/>
        </w:rPr>
        <w:t>J. Cohen, “A coefficient of agreement for nominal scales,” Educ. Psychol. Meas., vol. 20, no. 1, pp. 37–46, 1960.</w:t>
      </w:r>
      <w:bookmarkEnd w:id="50"/>
    </w:p>
    <w:p>
      <w:pPr>
        <w:spacing w:after="50" w:line="252" w:lineRule="auto"/>
        <w:ind w:left="403" w:hanging="403"/>
      </w:pPr>
      <w:bookmarkStart w:id="51" w:name="ref_51"/>
      <w:r>
        <w:rPr>
          <w:rFonts w:ascii="Times New Roman" w:hAnsi="Times New Roman"/>
          <w:b/>
          <w:color w:val="003399"/>
          <w:sz w:val="17"/>
        </w:rPr>
        <w:t xml:space="preserve">[51] </w:t>
      </w:r>
      <w:r>
        <w:rPr>
          <w:rFonts w:ascii="Times New Roman" w:hAnsi="Times New Roman"/>
          <w:sz w:val="17"/>
        </w:rPr>
        <w:t>J. L. Fleiss, “Measuring nominal scale agreement among many raters,” Psychol. Bull., vol. 76, no. 5, pp. 378–382, 1971.</w:t>
      </w:r>
      <w:bookmarkEnd w:id="51"/>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