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80"/>
        <w:jc w:val="center"/>
      </w:pPr>
      <w:r>
        <w:rPr>
          <w:bCs/>
          <w:b/>
          <w:sz w:val="32"/>
        </w:rPr>
        <w:t xml:space="preserve">Vision Error Observatory (VEO): A Model-Agnostic Diagnostic and Observability Framework for Failure Analysis in Monocular Depth Estimation</w:t>
      </w:r>
    </w:p>
    <w:p>
      <w:pPr>
        <w:pStyle w:val="BodyText"/>
        <w:spacing w:after="80"/>
        <w:jc w:val="center"/>
      </w:pPr>
      <w:r>
        <w:rPr>
          <w:sz w:val="24"/>
        </w:rPr>
        <w:t xml:space="preserve">Anshuman Chakravorty, Zeeshan Ali, and Omer Faraz</w:t>
      </w:r>
    </w:p>
    <w:p>
      <w:pPr>
        <w:pStyle w:val="BodyText"/>
        <w:spacing w:after="80"/>
        <w:jc w:val="center"/>
      </w:pPr>
      <w:r>
        <w:rPr>
          <w:iCs/>
          <w:i/>
          <w:sz w:val="21"/>
        </w:rPr>
        <w:t xml:space="preserve">Mentors: Prof. Anshi Bajaj (Asst. Prof., Artificial Intelligence) and Dr. Amit Saini (Asst. Prof., Mathematics)</w:t>
      </w:r>
    </w:p>
    <w:p>
      <w:pPr>
        <w:pStyle w:val="BodyText"/>
        <w:spacing w:after="80"/>
        <w:jc w:val="center"/>
      </w:pPr>
      <w:r>
        <w:rPr>
          <w:iCs/>
          <w:i/>
          <w:sz w:val="21"/>
        </w:rPr>
        <w:t xml:space="preserve">School of Technology Management and Engineering (STME), SVKM’s NMIMS Hyderabad, India</w:t>
      </w:r>
    </w:p>
    <w:p>
      <w:pPr>
        <w:pStyle w:val="BodyText"/>
        <w:spacing w:after="80"/>
        <w:jc w:val="center"/>
      </w:pPr>
      <w:r>
        <w:rPr>
          <w:sz w:val="21"/>
        </w:rPr>
        <w:t xml:space="preserve">Corresponding author: anshumanchakravorty10@gmail.com</w:t>
      </w:r>
    </w:p>
    <w:p>
      <w:pPr>
        <w:pStyle w:val="BodyText"/>
        <w:spacing w:after="120"/>
        <w:jc w:val="both"/>
      </w:pPr>
      <w:r>
        <w:rPr>
          <w:iCs/>
          <w:i/>
          <w:bCs/>
          <w:b/>
        </w:rPr>
        <w:t xml:space="preserve">Abstract</w:t>
      </w:r>
      <w:r>
        <w:rPr>
          <w:bCs/>
          <w:b/>
        </w:rPr>
        <w:t xml:space="preserve">—</w:t>
      </w:r>
      <w:r>
        <w:t xml:space="preserve"> </w:t>
      </w:r>
      <w:r>
        <w:rPr>
          <w:iCs/>
          <w:i/>
        </w:rPr>
        <w:t xml:space="preserve">Monocular depth estimation (MDE) models now reach strong benchmark scores, yet low aggregate error does not guarantee reliable depth in safety-critical deployments. Standard protocols summarize performance with global metrics such as RMSE, MAE, AbsRel, and threshold accuracy, which hide spatially localized failures and say nothing about their visual causes. We present the Vision Error Observatory (VEO), a model-agnostic diagnostic framework that evaluates depth models beyond aggregate metrics to explain where and why predictions fail. VEO connects to any depth model through standardized prediction arrays, aligns predictions to ground truth, computes pixel-level error maps, isolates spatially coherent high-error regions by connected-components analysis, and extracts six interpretable visual evidence signals per region: texture variance, edge density, brightness, local contrast, specular highlights, and depth discontinuities. A rule-based stage maps these evidence profiles to candidate failure causes, and a validation protocol built on correlation tests and inter-annotator agreement (Cohen’s and Fleiss’</w:t>
      </w:r>
      <w:r>
        <w:rPr>
          <w:iCs/>
          <w:i/>
        </w:rPr>
        <w:t xml:space="preserve"> </w:t>
      </w:r>
      <m:oMath>
        <m:r>
          <m:t>κ</m:t>
        </m:r>
      </m:oMath>
      <w:r>
        <w:rPr>
          <w:iCs/>
          <w:i/>
        </w:rPr>
        <w:t xml:space="preserve">) is defined for checking the attributions against human labels. In preliminary experiments with Depth Anything V2 Small on KITTI and NYU Depth V2, VEO localized and attributed recurring failures to sharp occlusion boundaries, textureless surfaces, adverse illumination, and thin structures, patterns that global metrics cannot reveal. Quantitative validation of the attributions is ongoing.</w:t>
      </w:r>
    </w:p>
    <w:p>
      <w:pPr>
        <w:pStyle w:val="BodyText"/>
        <w:spacing w:after="120"/>
        <w:jc w:val="both"/>
      </w:pPr>
      <w:r>
        <w:rPr>
          <w:iCs/>
          <w:i/>
          <w:bCs/>
          <w:b/>
        </w:rPr>
        <w:t xml:space="preserve">Index Terms</w:t>
      </w:r>
      <w:r>
        <w:rPr>
          <w:bCs/>
          <w:b/>
        </w:rPr>
        <w:t xml:space="preserve">—</w:t>
      </w:r>
      <w:r>
        <w:t xml:space="preserve"> </w:t>
      </w:r>
      <w:r>
        <w:rPr>
          <w:iCs/>
          <w:i/>
        </w:rPr>
        <w:t xml:space="preserve">monocular depth estimation, error diagnosis, explainable computer vision, failure attribution, model debugging, Depth Anything V2, KITTI.</w:t>
      </w:r>
    </w:p>
    <w:bookmarkStart w:id="20" w:name="introduction"/>
    <w:p>
      <w:pPr>
        <w:pStyle w:val="Heading1"/>
      </w:pPr>
      <w:r>
        <w:rPr>
          <w:rStyle w:val="SectionNumber"/>
        </w:rPr>
        <w:t xml:space="preserve">1</w:t>
      </w:r>
      <w:r>
        <w:tab/>
      </w:r>
      <w:r>
        <w:t xml:space="preserve">Introduction</w:t>
      </w:r>
    </w:p>
    <w:p>
      <w:pPr>
        <w:pStyle w:val="FirstParagraph"/>
        <w:jc w:val="both"/>
      </w:pPr>
      <w:r>
        <w:t xml:space="preserve">Monocular depth estimation (MDE), the task of inferring dense per-pixel scene geometry from a single RGB image, is a building block of autonomous driving, unmanned aerial vehicle navigation, robotics, and augmented reality [1, 2]. Because recovering three-dimensional structure from a two-dimensional projection is an ill-posed inverse problem, modern methods depend on learned visual priors. The field has moved from multi-scale convolutional networks [3] to adaptive-bin and transformer architectures [4, 5], generative diffusion priors [6], and large foundation models such as ZoeDepth [7], UniDepth [8], Metric3D [9], and Depth Anything V2 [10, 11].</w:t>
      </w:r>
    </w:p>
    <w:p>
      <w:pPr>
        <w:pStyle w:val="BodyText"/>
        <w:jc w:val="both"/>
      </w:pPr>
      <w:r>
        <w:t xml:space="preserve">Despite strong zero-shot generalization, recent studies stress a persistent gap between benchmark accuracy and operational reliability [2, 12, 13]. Depth models remain vulnerable to domain shift, adverse weather, difficult illumination, specular reflections, textureless surfaces, and sharp occlusion boundaries [14–16]. Standard evaluation, however, collapses a scene or a dataset into scalar averages (RMSE, MAE, AbsRel, and the threshold accuracy</w:t>
      </w:r>
      <w:r>
        <w:t xml:space="preserve"> </w:t>
      </w:r>
      <m:oMath>
        <m:sSub>
          <m:e>
            <m:r>
              <m:t>δ</m:t>
            </m:r>
          </m:e>
          <m:sub>
            <m:r>
              <m:t>k</m:t>
            </m:r>
          </m:sub>
        </m:sSub>
      </m:oMath>
      <w:r>
        <w:t xml:space="preserve">) [3, 17]. These averages mask spatially localized, potentially catastrophic failures and offer no explanation of which visual property triggered the error.</w:t>
      </w:r>
    </w:p>
    <w:p>
      <w:pPr>
        <w:pStyle w:val="BodyText"/>
        <w:jc w:val="both"/>
      </w:pPr>
      <w:r>
        <w:t xml:space="preserve">We address this limitation with the</w:t>
      </w:r>
      <w:r>
        <w:t xml:space="preserve"> </w:t>
      </w:r>
      <w:r>
        <w:rPr>
          <w:iCs/>
          <w:i/>
        </w:rPr>
        <w:t xml:space="preserve">Vision Error Observatory</w:t>
      </w:r>
      <w:r>
        <w:t xml:space="preserve"> </w:t>
      </w:r>
      <w:r>
        <w:t xml:space="preserve">(VEO), a model-agnostic observability framework that treats depth evaluation as an evidence-based root-cause investigation rather than a scoring step. VEO sits outside the depth backbone, ingests predicted depth together with the RGB image and ground-truth depth, localizes high-error clusters, extracts interpretable image- and geometry-level features from them, and attributes each failure to a concrete visual cause. Our contributions are:</w:t>
      </w:r>
    </w:p>
    <w:p>
      <w:pPr>
        <w:numPr>
          <w:ilvl w:val="0"/>
          <w:numId w:val="1001"/>
        </w:numPr>
      </w:pPr>
      <w:r>
        <w:rPr>
          <w:bCs/>
          <w:b/>
        </w:rPr>
        <w:t xml:space="preserve">Region-level error localization.</w:t>
      </w:r>
      <w:r>
        <w:t xml:space="preserve"> </w:t>
      </w:r>
      <w:r>
        <w:t xml:space="preserve">A pipeline that aligns relative or metric predictions to sparse or dense ground truth, builds pixel-level error maps, and segments spatially coherent high-error clusters.</w:t>
      </w:r>
    </w:p>
    <w:p>
      <w:pPr>
        <w:numPr>
          <w:ilvl w:val="0"/>
          <w:numId w:val="1001"/>
        </w:numPr>
      </w:pPr>
      <w:r>
        <w:rPr>
          <w:bCs/>
          <w:b/>
        </w:rPr>
        <w:t xml:space="preserve">Six interpretable evidence signals</w:t>
      </w:r>
      <w:r>
        <w:t xml:space="preserve"> </w:t>
      </w:r>
      <w:r>
        <w:t xml:space="preserve">computed per failure region: texture variance, edge density, mean brightness, local contrast, specular highlights, and depth discontinuities.</w:t>
      </w:r>
    </w:p>
    <w:p>
      <w:pPr>
        <w:numPr>
          <w:ilvl w:val="0"/>
          <w:numId w:val="1001"/>
        </w:numPr>
      </w:pPr>
      <w:r>
        <w:rPr>
          <w:bCs/>
          <w:b/>
        </w:rPr>
        <w:t xml:space="preserve">Evidence-based cause attribution</w:t>
      </w:r>
      <w:r>
        <w:t xml:space="preserve"> </w:t>
      </w:r>
      <w:r>
        <w:t xml:space="preserve">that maps regional feature profiles to recurring failure modes, together with a validation protocol using Pearson and Spearman correlation and Cohen’s and Fleiss’ kappa against human expert labels.</w:t>
      </w:r>
    </w:p>
    <w:p>
      <w:pPr>
        <w:numPr>
          <w:ilvl w:val="0"/>
          <w:numId w:val="1001"/>
        </w:numPr>
      </w:pPr>
      <w:r>
        <w:rPr>
          <w:bCs/>
          <w:b/>
        </w:rPr>
        <w:t xml:space="preserve">A model-agnostic design</w:t>
      </w:r>
      <w:r>
        <w:t xml:space="preserve"> </w:t>
      </w:r>
      <w:r>
        <w:t xml:space="preserve">in which the diagnostic layer talks to the depth model only through standardized arrays and a configuration file, enabling plug-and-play debugging across architectures and datasets, demonstrated here on Depth Anything V2 Small with KITTI and NYU Depth V2.</w:t>
      </w:r>
    </w:p>
    <w:bookmarkEnd w:id="20"/>
    <w:bookmarkStart w:id="25" w:name="related-work"/>
    <w:p>
      <w:pPr>
        <w:pStyle w:val="Heading1"/>
      </w:pPr>
      <w:r>
        <w:rPr>
          <w:rStyle w:val="SectionNumber"/>
        </w:rPr>
        <w:t xml:space="preserve">2</w:t>
      </w:r>
      <w:r>
        <w:tab/>
      </w:r>
      <w:r>
        <w:t xml:space="preserve">Related Work</w:t>
      </w:r>
    </w:p>
    <w:bookmarkStart w:id="21" w:name="Xbbdb6f95a52ccc4b82c1a72c1e50556f6f5ae46"/>
    <w:p>
      <w:pPr>
        <w:pStyle w:val="Heading2"/>
      </w:pPr>
      <w:r>
        <w:rPr>
          <w:rStyle w:val="SectionNumber"/>
        </w:rPr>
        <w:t xml:space="preserve">2.1</w:t>
      </w:r>
      <w:r>
        <w:tab/>
      </w:r>
      <w:r>
        <w:t xml:space="preserve">Monocular depth estimation and foundation models</w:t>
      </w:r>
    </w:p>
    <w:p>
      <w:pPr>
        <w:pStyle w:val="FirstParagraph"/>
        <w:jc w:val="both"/>
      </w:pPr>
      <w:r>
        <w:t xml:space="preserve">Surveys document steady gains in accuracy and cross-domain generalization across supervision strategies, datasets, and metrics [1, 2, 18]. Early deep models captured coarse layout and fine local structure with multi-scale networks [3]; AdaBins [4] and DPT/MiDaS [5] then added adaptive depth discretization and long-range attention. The current paradigm is large depth foundation models: ZoeDepth [7], Metric3D [9], and UniDepth [8] target zero-shot metric depth across cameras and domains, Marigold repurposes pretrained latent diffusion models [6], and Depth Anything [11] and Depth Anything V2 [10] train a large synthetic-data teacher and generate pseudo-labels for more than 62 million unlabeled real images, yielding students with strong zero-shot transfer. Embedded designs such as FastDepth [19] address real-time execution. Even so, high benchmark scores do not ensure real-world reliability, as domain shift, scale ambiguity, and complex geometry still cause localized failures [1, 2, 12, 18].</w:t>
      </w:r>
    </w:p>
    <w:bookmarkEnd w:id="21"/>
    <w:bookmarkStart w:id="22" w:name="datasets-metrics-and-robustness"/>
    <w:p>
      <w:pPr>
        <w:pStyle w:val="Heading2"/>
      </w:pPr>
      <w:r>
        <w:rPr>
          <w:rStyle w:val="SectionNumber"/>
        </w:rPr>
        <w:t xml:space="preserve">2.2</w:t>
      </w:r>
      <w:r>
        <w:tab/>
      </w:r>
      <w:r>
        <w:t xml:space="preserve">Datasets, metrics, and robustness</w:t>
      </w:r>
    </w:p>
    <w:p>
      <w:pPr>
        <w:pStyle w:val="FirstParagraph"/>
        <w:jc w:val="both"/>
      </w:pPr>
      <w:r>
        <w:t xml:space="preserve">KITTI [20] supplies calibrated stereo RGB and Velodyne LiDAR for outdoor driving and is the de facto outdoor benchmark, while NYU Depth V2 [21] provides dense Kinect RGB-D data for indoor scenes. Work on sparse-to-dense prediction [22] and LiDAR compression [23] underlines the geometric ambiguity of RGB-only estimation and the sensitivity of 3D perception to sensor sparsity. Evaluation relies on aggregate pixel-level metrics [3, 17], yet the Monocular Depth Estimation Challenge [13] shows that favorable global metrics often fail to reflect boundary fidelity. Robustness studies on adverse weather [14], out-of-distribution corruptions [15], challenging illumination [16], and adversarial attacks [24] show that accuracy degrades non-uniformly across image regions, distances, and conditions.</w:t>
      </w:r>
    </w:p>
    <w:bookmarkEnd w:id="22"/>
    <w:bookmarkStart w:id="23" w:name="Xdf3e9a5147a7f6c38b83a7fec6ddb15bf223928"/>
    <w:p>
      <w:pPr>
        <w:pStyle w:val="Heading2"/>
      </w:pPr>
      <w:r>
        <w:rPr>
          <w:rStyle w:val="SectionNumber"/>
        </w:rPr>
        <w:t xml:space="preserve">2.3</w:t>
      </w:r>
      <w:r>
        <w:tab/>
      </w:r>
      <w:r>
        <w:t xml:space="preserve">Uncertainty, explainability, and model debugging</w:t>
      </w:r>
    </w:p>
    <w:p>
      <w:pPr>
        <w:pStyle w:val="FirstParagraph"/>
        <w:jc w:val="both"/>
      </w:pPr>
      <w:r>
        <w:t xml:space="preserve">Uncertainty modeling separates aleatoric from epistemic uncertainty [25, 26], and MDE-specific methods estimate pixel-wise confidence [27, 28]; post-hoc calibration such as temperature scaling [29], however, tends to degrade under dataset shift [30]. Explainable AI for vision [31, 32] contributes perturbation- and gradient-based attribution (LIME [33], Integrated Gradients [34], Grad-CAM [35], RISE [36]), and has been explored for depth through depth-selective hidden units [37] and attribution-fidelity assessment [38]. These methods show which input pixels influence a prediction; they do not diagnose ground-truth-verified spatial errors or explain their physical causes. Error-diagnosis research does isolate underperforming subsets and links symptoms to causes: depth error detection networks [39], decomposed localization-error analysis in 3D detection [40] and temporal action detection [41], robust-feature failure attribution [42], failure-mode discovery with vision-language models [43], visual analytics platforms [44, 45], and studies that trace performance symptoms to dataset- or model-level root causes [46–48]. Rigorous validation of automated failure categories further calls for inter-rater statistics such as Cohen’s [49] and Fleiss’ [50] kappa [51].</w:t>
      </w:r>
    </w:p>
    <w:bookmarkEnd w:id="23"/>
    <w:bookmarkStart w:id="24" w:name="research-gap"/>
    <w:p>
      <w:pPr>
        <w:pStyle w:val="Heading2"/>
      </w:pPr>
      <w:r>
        <w:rPr>
          <w:rStyle w:val="SectionNumber"/>
        </w:rPr>
        <w:t xml:space="preserve">2.4</w:t>
      </w:r>
      <w:r>
        <w:tab/>
      </w:r>
      <w:r>
        <w:t xml:space="preserve">Research gap</w:t>
      </w:r>
    </w:p>
    <w:p>
      <w:pPr>
        <w:pStyle w:val="FirstParagraph"/>
        <w:jc w:val="both"/>
      </w:pPr>
      <w:r>
        <w:t xml:space="preserve">Three gaps emerge. (1) Standard MDE evaluations report global scores (RMSE, AbsRel,</w:t>
      </w:r>
      <w:r>
        <w:t xml:space="preserve"> </w:t>
      </w:r>
      <m:oMath>
        <m:r>
          <m:t>δ</m:t>
        </m:r>
      </m:oMath>
      <w:r>
        <w:t xml:space="preserve">) that conceal localized failure clusters [3, 13, 17]. (2) Robustness studies document performance drops under weather or domain shift [14, 15] but lack automated, pixel-level pipelines that correlate errors with quantifiable visual evidence. (3) Saliency-style explanations visualize network attention rather than diagnose why predictions deviate from ground truth [31, 38]. VEO combines spatial error segmentation, six visual evidence signals, and statistically validated cause attribution in one model-agnostic pipeline.</w:t>
      </w:r>
    </w:p>
    <w:bookmarkEnd w:id="24"/>
    <w:bookmarkEnd w:id="25"/>
    <w:bookmarkStart w:id="35" w:name="the-veo-framework"/>
    <w:p>
      <w:pPr>
        <w:pStyle w:val="Heading1"/>
      </w:pPr>
      <w:r>
        <w:rPr>
          <w:rStyle w:val="SectionNumber"/>
        </w:rPr>
        <w:t xml:space="preserve">3</w:t>
      </w:r>
      <w:r>
        <w:tab/>
      </w:r>
      <w:r>
        <w:t xml:space="preserve">The VEO Framework</w:t>
      </w:r>
    </w:p>
    <w:bookmarkStart w:id="29" w:name="overview"/>
    <w:p>
      <w:pPr>
        <w:pStyle w:val="Heading2"/>
      </w:pPr>
      <w:r>
        <w:rPr>
          <w:rStyle w:val="SectionNumber"/>
        </w:rPr>
        <w:t xml:space="preserve">3.1</w:t>
      </w:r>
      <w:r>
        <w:tab/>
      </w:r>
      <w:r>
        <w:t xml:space="preserve">Overview</w:t>
      </w:r>
    </w:p>
    <w:p>
      <w:pPr>
        <w:pStyle w:val="FirstParagraph"/>
        <w:jc w:val="both"/>
      </w:pPr>
      <w:r>
        <w:t xml:space="preserve">VEO is a modular diagnostic layer that operates outside any pretrained MDE backbone (Fig. 1). It exchanges information with the depth model only through standardized prediction arrays and a configuration file, so backbones can be replaced without touching the five diagnostic modules M1–M5. Given an RGB image</w:t>
      </w:r>
      <w:r>
        <w:t xml:space="preserve"> </w:t>
      </w:r>
      <m:oMath>
        <m:r>
          <m:t>I</m:t>
        </m:r>
      </m:oMath>
      <w:r>
        <w:t xml:space="preserve"> </w:t>
      </w:r>
      <w:r>
        <w:t xml:space="preserve">of size</w:t>
      </w:r>
      <w:r>
        <w:t xml:space="preserve"> </w:t>
      </w:r>
      <m:oMath>
        <m:r>
          <m:t>H</m:t>
        </m:r>
        <m:r>
          <m:rPr>
            <m:sty m:val="p"/>
          </m:rPr>
          <m:t>×</m:t>
        </m:r>
        <m:r>
          <m:t>W</m:t>
        </m:r>
      </m:oMath>
      <w:r>
        <w:t xml:space="preserve"> </w:t>
      </w:r>
      <w:r>
        <w:t xml:space="preserve">and its ground-truth depth</w:t>
      </w:r>
      <w:r>
        <w:t xml:space="preserve"> </w:t>
      </w:r>
      <m:oMath>
        <m:sSub>
          <m:e>
            <m:r>
              <m:t>D</m:t>
            </m:r>
          </m:e>
          <m:sub>
            <m:r>
              <m:rPr>
                <m:sty m:val="p"/>
              </m:rPr>
              <m:t>g</m:t>
            </m:r>
            <m:r>
              <m:rPr>
                <m:sty m:val="p"/>
              </m:rPr>
              <m:t>t</m:t>
            </m:r>
          </m:sub>
        </m:sSub>
      </m:oMath>
      <w:r>
        <w:t xml:space="preserve">, the modules progress from depth alignment and error analysis to failure-region localization, evidence extraction, and cause attribution.</w:t>
      </w:r>
    </w:p>
    <w:p>
      <w:pPr>
        <w:pStyle w:val="CaptionedFigure"/>
        <w:jc w:val="center"/>
      </w:pPr>
      <w:r>
        <w:drawing>
          <wp:inline>
            <wp:extent cx="5334000" cy="2103424"/>
            <wp:effectExtent b="0" l="0" r="0" t="0"/>
            <wp:docPr descr="" title="" id="27" name="Picture"/>
            <a:graphic>
              <a:graphicData uri="http://schemas.openxmlformats.org/drawingml/2006/picture">
                <pic:pic>
                  <pic:nvPicPr>
                    <pic:cNvPr descr="fig_pipeline.png" id="28" name="Picture"/>
                    <pic:cNvPicPr>
                      <a:picLocks noChangeArrowheads="1" noChangeAspect="1"/>
                    </pic:cNvPicPr>
                  </pic:nvPicPr>
                  <pic:blipFill>
                    <a:blip r:embed="rId26"/>
                    <a:stretch>
                      <a:fillRect/>
                    </a:stretch>
                  </pic:blipFill>
                  <pic:spPr bwMode="auto">
                    <a:xfrm>
                      <a:off x="0" y="0"/>
                      <a:ext cx="5334000" cy="2103424"/>
                    </a:xfrm>
                    <a:prstGeom prst="rect">
                      <a:avLst/>
                    </a:prstGeom>
                    <a:noFill/>
                    <a:ln w="9525">
                      <a:noFill/>
                      <a:headEnd/>
                      <a:tailEnd/>
                    </a:ln>
                  </pic:spPr>
                </pic:pic>
              </a:graphicData>
            </a:graphic>
          </wp:inline>
        </w:drawing>
      </w:r>
    </w:p>
    <w:p>
      <w:pPr>
        <w:pStyle w:val="ImageCaption"/>
        <w:keepNext w:val="0"/>
        <w:jc w:val="center"/>
      </w:pPr>
      <w:r>
        <w:rPr>
          <w:bCs/>
          <w:b/>
        </w:rPr>
        <w:t xml:space="preserve">Figure 1.</w:t>
      </w:r>
      <w:r>
        <w:t xml:space="preserve"> </w:t>
      </w:r>
      <w:r>
        <w:t xml:space="preserve">VEO architecture. The MDE model layer is interchangeable; modules M1–M5 consume its prediction</w:t>
      </w:r>
      <w:r>
        <w:t xml:space="preserve"> </w:t>
      </w:r>
      <m:oMath>
        <m:sSub>
          <m:e>
            <m:r>
              <m:t>D</m:t>
            </m:r>
          </m:e>
          <m:sub>
            <m:r>
              <m:rPr>
                <m:sty m:val="p"/>
              </m:rPr>
              <m:t>p</m:t>
            </m:r>
            <m:r>
              <m:rPr>
                <m:sty m:val="p"/>
              </m:rPr>
              <m:t>r</m:t>
            </m:r>
            <m:r>
              <m:rPr>
                <m:sty m:val="p"/>
              </m:rPr>
              <m:t>e</m:t>
            </m:r>
            <m:r>
              <m:rPr>
                <m:sty m:val="p"/>
              </m:rPr>
              <m:t>d</m:t>
            </m:r>
          </m:sub>
        </m:sSub>
      </m:oMath>
      <w:r>
        <w:t xml:space="preserve"> </w:t>
      </w:r>
      <w:r>
        <w:t xml:space="preserve">together with the RGB image</w:t>
      </w:r>
      <w:r>
        <w:t xml:space="preserve"> </w:t>
      </w:r>
      <m:oMath>
        <m:r>
          <m:t>I</m:t>
        </m:r>
      </m:oMath>
      <w:r>
        <w:t xml:space="preserve"> </w:t>
      </w:r>
      <w:r>
        <w:t xml:space="preserve">and ground-truth depth</w:t>
      </w:r>
      <w:r>
        <w:t xml:space="preserve"> </w:t>
      </w:r>
      <m:oMath>
        <m:sSub>
          <m:e>
            <m:r>
              <m:t>D</m:t>
            </m:r>
          </m:e>
          <m:sub>
            <m:r>
              <m:rPr>
                <m:sty m:val="p"/>
              </m:rPr>
              <m:t>g</m:t>
            </m:r>
            <m:r>
              <m:rPr>
                <m:sty m:val="p"/>
              </m:rPr>
              <m:t>t</m:t>
            </m:r>
          </m:sub>
        </m:sSub>
      </m:oMath>
      <w:r>
        <w:t xml:space="preserve"> </w:t>
      </w:r>
      <w:r>
        <w:t xml:space="preserve">(dashed arrows) and emit a diagnostic card per scene.</w:t>
      </w:r>
    </w:p>
    <w:bookmarkEnd w:id="29"/>
    <w:bookmarkStart w:id="30" w:name="m1-depth-alignment"/>
    <w:p>
      <w:pPr>
        <w:pStyle w:val="Heading2"/>
      </w:pPr>
      <w:r>
        <w:rPr>
          <w:rStyle w:val="SectionNumber"/>
        </w:rPr>
        <w:t xml:space="preserve">3.2</w:t>
      </w:r>
      <w:r>
        <w:tab/>
      </w:r>
      <w:r>
        <w:t xml:space="preserve">M1: Depth alignment</w:t>
      </w:r>
    </w:p>
    <w:p>
      <w:pPr>
        <w:pStyle w:val="FirstParagraph"/>
        <w:jc w:val="both"/>
      </w:pPr>
      <w:r>
        <w:t xml:space="preserve">Many foundation models, such as Depth Anything V2 [10] and MiDaS [5], output relative inverse depth or affine-invariant depth defined only up to an unknown global scale and shift, so direct subtraction from metric ground truth is invalid. M1 resizes</w:t>
      </w:r>
      <w:r>
        <w:t xml:space="preserve"> </w:t>
      </w:r>
      <m:oMath>
        <m:sSub>
          <m:e>
            <m:r>
              <m:t>D</m:t>
            </m:r>
          </m:e>
          <m:sub>
            <m:r>
              <m:rPr>
                <m:sty m:val="p"/>
              </m:rPr>
              <m:t>p</m:t>
            </m:r>
            <m:r>
              <m:rPr>
                <m:sty m:val="p"/>
              </m:rPr>
              <m:t>r</m:t>
            </m:r>
            <m:r>
              <m:rPr>
                <m:sty m:val="p"/>
              </m:rPr>
              <m:t>e</m:t>
            </m:r>
            <m:r>
              <m:rPr>
                <m:sty m:val="p"/>
              </m:rPr>
              <m:t>d</m:t>
            </m:r>
          </m:sub>
        </m:sSub>
      </m:oMath>
      <w:r>
        <w:t xml:space="preserve"> </w:t>
      </w:r>
      <w:r>
        <w:t xml:space="preserve">to the resolution of</w:t>
      </w:r>
      <w:r>
        <w:t xml:space="preserve"> </w:t>
      </w:r>
      <m:oMath>
        <m:sSub>
          <m:e>
            <m:r>
              <m:t>D</m:t>
            </m:r>
          </m:e>
          <m:sub>
            <m:r>
              <m:rPr>
                <m:sty m:val="p"/>
              </m:rPr>
              <m:t>g</m:t>
            </m:r>
            <m:r>
              <m:rPr>
                <m:sty m:val="p"/>
              </m:rPr>
              <m:t>t</m:t>
            </m:r>
          </m:sub>
        </m:sSub>
      </m:oMath>
      <w:r>
        <w:t xml:space="preserve"> </w:t>
      </w:r>
      <w:r>
        <w:t xml:space="preserve">and builds a binary validity mask</w:t>
      </w:r>
      <w:r>
        <w:t xml:space="preserve"> </w:t>
      </w:r>
      <m:oMath>
        <m:r>
          <m:t>m</m:t>
        </m:r>
        <m:d>
          <m:dPr>
            <m:begChr m:val="("/>
            <m:endChr m:val=")"/>
            <m:sepChr m:val=""/>
            <m:grow/>
          </m:dPr>
          <m:e>
            <m:r>
              <m:t>x</m:t>
            </m:r>
            <m:r>
              <m:rPr>
                <m:sty m:val="p"/>
              </m:rPr>
              <m:t>,</m:t>
            </m:r>
            <m:r>
              <m:t>y</m:t>
            </m:r>
          </m:e>
        </m:d>
        <m:r>
          <m:rPr>
            <m:sty m:val="p"/>
          </m:rPr>
          <m:t>∈</m:t>
        </m:r>
        <m:r>
          <m:rPr>
            <m:sty m:val="p"/>
          </m:rPr>
          <m:t>{</m:t>
        </m:r>
        <m:r>
          <m:t>0</m:t>
        </m:r>
        <m:r>
          <m:rPr>
            <m:sty m:val="p"/>
          </m:rPr>
          <m:t>,</m:t>
        </m:r>
        <m:r>
          <m:t>1</m:t>
        </m:r>
        <m:r>
          <m:rPr>
            <m:sty m:val="p"/>
          </m:rPr>
          <m:t>}</m:t>
        </m:r>
      </m:oMath>
      <w:r>
        <w:t xml:space="preserve"> </w:t>
      </w:r>
      <w:r>
        <w:t xml:space="preserve">that removes missing LiDAR returns, zero-depth pixels, and sensor-range caps. With</w:t>
      </w:r>
      <w:r>
        <w:t xml:space="preserve"> </w:t>
      </w:r>
      <m:oMath>
        <m:r>
          <m:t>Ω</m:t>
        </m:r>
        <m:r>
          <m:rPr>
            <m:sty m:val="p"/>
          </m:rPr>
          <m:t>=</m:t>
        </m:r>
        <m:r>
          <m:rPr>
            <m:sty m:val="p"/>
          </m:rPr>
          <m:t>{</m:t>
        </m:r>
        <m:d>
          <m:dPr>
            <m:begChr m:val="("/>
            <m:endChr m:val=")"/>
            <m:sepChr m:val=""/>
            <m:grow/>
          </m:dPr>
          <m:e>
            <m:r>
              <m:t>x</m:t>
            </m:r>
            <m:r>
              <m:rPr>
                <m:sty m:val="p"/>
              </m:rPr>
              <m:t>,</m:t>
            </m:r>
            <m:r>
              <m:t>y</m:t>
            </m:r>
          </m:e>
        </m:d>
        <m:r>
          <m:rPr>
            <m:sty m:val="p"/>
          </m:rPr>
          <m:t>∣</m:t>
        </m:r>
        <m:r>
          <m:t>m</m:t>
        </m:r>
        <m:d>
          <m:dPr>
            <m:begChr m:val="("/>
            <m:endChr m:val=")"/>
            <m:sepChr m:val=""/>
            <m:grow/>
          </m:dPr>
          <m:e>
            <m:r>
              <m:t>x</m:t>
            </m:r>
            <m:r>
              <m:rPr>
                <m:sty m:val="p"/>
              </m:rPr>
              <m:t>,</m:t>
            </m:r>
            <m:r>
              <m:t>y</m:t>
            </m:r>
          </m:e>
        </m:d>
        <m:r>
          <m:rPr>
            <m:sty m:val="p"/>
          </m:rPr>
          <m:t>=</m:t>
        </m:r>
        <m:r>
          <m:t>1</m:t>
        </m:r>
        <m:r>
          <m:rPr>
            <m:sty m:val="p"/>
          </m:rPr>
          <m:t>}</m:t>
        </m:r>
      </m:oMath>
      <w:r>
        <w:t xml:space="preserve">, scale</w:t>
      </w:r>
      <w:r>
        <w:t xml:space="preserve"> </w:t>
      </w:r>
      <m:oMath>
        <m:r>
          <m:t>s</m:t>
        </m:r>
      </m:oMath>
      <w:r>
        <w:t xml:space="preserve"> </w:t>
      </w:r>
      <w:r>
        <w:t xml:space="preserve">and shift</w:t>
      </w:r>
      <w:r>
        <w:t xml:space="preserve"> </w:t>
      </w:r>
      <m:oMath>
        <m:r>
          <m:t>t</m:t>
        </m:r>
      </m:oMath>
      <w:r>
        <w:t xml:space="preserve"> </w:t>
      </w:r>
      <w:r>
        <w:t xml:space="preserve">are fitted by least squares over all valid pixels,</w:t>
      </w:r>
    </w:p>
    <w:p>
      <w:pPr>
        <w:pStyle w:val="BodyText"/>
        <w:jc w:val="both"/>
      </w:pPr>
      <m:oMathPara>
        <m:oMathParaPr>
          <m:jc m:val="center"/>
        </m:oMathParaPr>
        <m:oMath>
          <m:d>
            <m:dPr>
              <m:begChr m:val="("/>
              <m:endChr m:val=")"/>
              <m:sepChr m:val=""/>
              <m:grow/>
            </m:dPr>
            <m:e>
              <m:sSup>
                <m:e>
                  <m:r>
                    <m:t>s</m:t>
                  </m:r>
                </m:e>
                <m:sup>
                  <m:r>
                    <m:rPr>
                      <m:sty m:val="p"/>
                    </m:rPr>
                    <m:t>*</m:t>
                  </m:r>
                </m:sup>
              </m:sSup>
              <m:r>
                <m:rPr>
                  <m:sty m:val="p"/>
                </m:rPr>
                <m:t>,</m:t>
              </m:r>
              <m:sSup>
                <m:e>
                  <m:r>
                    <m:t>t</m:t>
                  </m:r>
                </m:e>
                <m:sup>
                  <m:r>
                    <m:rPr>
                      <m:sty m:val="p"/>
                    </m:rPr>
                    <m:t>*</m:t>
                  </m:r>
                </m:sup>
              </m:sSup>
            </m:e>
          </m:d>
          <m:r>
            <m:rPr>
              <m:sty m:val="p"/>
            </m:rPr>
            <m:t>=</m:t>
          </m:r>
          <m:r>
            <m:rPr>
              <m:sty m:val="p"/>
            </m:rPr>
            <m:t>arg</m:t>
          </m:r>
          <m:limLow>
            <m:e>
              <m:r>
                <m:rPr>
                  <m:sty m:val="p"/>
                </m:rPr>
                <m:t>min</m:t>
              </m:r>
            </m:e>
            <m:lim>
              <m:r>
                <m:t>s</m:t>
              </m:r>
              <m:r>
                <m:rPr>
                  <m:sty m:val="p"/>
                </m:rPr>
                <m:t>,</m:t>
              </m:r>
              <m:r>
                <m:t>t</m:t>
              </m:r>
            </m:lim>
          </m:limLow>
          <m:nary>
            <m:naryPr>
              <m:chr m:val="∑"/>
              <m:limLoc m:val="undOvr"/>
              <m:subHide m:val="off"/>
              <m:supHide m:val="on"/>
            </m:naryPr>
            <m:sub>
              <m:d>
                <m:dPr>
                  <m:begChr m:val="("/>
                  <m:endChr m:val=")"/>
                  <m:sepChr m:val=""/>
                  <m:grow/>
                </m:dPr>
                <m:e>
                  <m:r>
                    <m:t>x</m:t>
                  </m:r>
                  <m:r>
                    <m:rPr>
                      <m:sty m:val="p"/>
                    </m:rPr>
                    <m:t>,</m:t>
                  </m:r>
                  <m:r>
                    <m:t>y</m:t>
                  </m:r>
                </m:e>
              </m:d>
              <m:r>
                <m:rPr>
                  <m:sty m:val="p"/>
                </m:rPr>
                <m:t>∈</m:t>
              </m:r>
              <m:r>
                <m:t>Ω</m:t>
              </m:r>
            </m:sub>
            <m:sup>
              <m:r>
                <m:t>​</m:t>
              </m:r>
            </m:sup>
            <m:e>
              <m:r>
                <m:rPr>
                  <m:sty m:val="p"/>
                </m:rPr>
                <m:t>(</m:t>
              </m:r>
            </m:e>
          </m:nary>
          <m:r>
            <m:t>s</m:t>
          </m:r>
          <m:r>
            <m:t> </m:t>
          </m:r>
          <m:sSub>
            <m:e>
              <m:r>
                <m:t>D</m:t>
              </m:r>
            </m:e>
            <m:sub>
              <m:r>
                <m:rPr>
                  <m:sty m:val="p"/>
                </m:rPr>
                <m:t>p</m:t>
              </m:r>
              <m:r>
                <m:rPr>
                  <m:sty m:val="p"/>
                </m:rPr>
                <m:t>r</m:t>
              </m:r>
              <m:r>
                <m:rPr>
                  <m:sty m:val="p"/>
                </m:rPr>
                <m:t>e</m:t>
              </m:r>
              <m:r>
                <m:rPr>
                  <m:sty m:val="p"/>
                </m:rPr>
                <m:t>d</m:t>
              </m:r>
            </m:sub>
          </m:sSub>
          <m:d>
            <m:dPr>
              <m:begChr m:val="("/>
              <m:endChr m:val=")"/>
              <m:sepChr m:val=""/>
              <m:grow/>
            </m:dPr>
            <m:e>
              <m:r>
                <m:t>x</m:t>
              </m:r>
              <m:r>
                <m:rPr>
                  <m:sty m:val="p"/>
                </m:rPr>
                <m:t>,</m:t>
              </m:r>
              <m:r>
                <m:t>y</m:t>
              </m:r>
            </m:e>
          </m:d>
          <m:r>
            <m:rPr>
              <m:sty m:val="p"/>
            </m:rPr>
            <m:t>+</m:t>
          </m:r>
          <m:r>
            <m:t>t</m:t>
          </m:r>
          <m:r>
            <m:rPr>
              <m:sty m:val="p"/>
            </m:rPr>
            <m:t>−</m:t>
          </m:r>
          <m:sSub>
            <m:e>
              <m:r>
                <m:t>D</m:t>
              </m:r>
            </m:e>
            <m:sub>
              <m:r>
                <m:rPr>
                  <m:sty m:val="p"/>
                </m:rPr>
                <m:t>g</m:t>
              </m:r>
              <m:r>
                <m:rPr>
                  <m:sty m:val="p"/>
                </m:rPr>
                <m:t>t</m:t>
              </m:r>
            </m:sub>
          </m:sSub>
          <m:d>
            <m:dPr>
              <m:begChr m:val="("/>
              <m:endChr m:val=")"/>
              <m:sepChr m:val=""/>
              <m:grow/>
            </m:dPr>
            <m:e>
              <m:r>
                <m:t>x</m:t>
              </m:r>
              <m:r>
                <m:rPr>
                  <m:sty m:val="p"/>
                </m:rPr>
                <m:t>,</m:t>
              </m:r>
              <m:r>
                <m:t>y</m:t>
              </m:r>
            </m:e>
          </m:d>
          <m:sSup>
            <m:e>
              <m:r>
                <m:rPr>
                  <m:sty m:val="p"/>
                </m:rPr>
                <m:t>)</m:t>
              </m:r>
            </m:e>
            <m:sup>
              <m:r>
                <m:t>2</m:t>
              </m:r>
            </m:sup>
          </m:sSup>
          <m:r>
            <m:rPr>
              <m:sty m:val="p"/>
            </m:rPr>
            <m:t>,</m:t>
          </m:r>
        </m:oMath>
      </m:oMathPara>
    </w:p>
    <w:p>
      <w:pPr>
        <w:pStyle w:val="FirstParagraph"/>
        <w:jc w:val="both"/>
      </w:pPr>
      <w:r>
        <w:t xml:space="preserve">and the metric-aligned prediction is</w:t>
      </w:r>
      <w:r>
        <w:t xml:space="preserve"> </w:t>
      </w:r>
      <m:oMath>
        <m:sSub>
          <m:e>
            <m:r>
              <m:t>D</m:t>
            </m:r>
          </m:e>
          <m:sub>
            <m:r>
              <m:rPr>
                <m:sty m:val="p"/>
              </m:rPr>
              <m:t>a</m:t>
            </m:r>
            <m:r>
              <m:rPr>
                <m:sty m:val="p"/>
              </m:rPr>
              <m:t>l</m:t>
            </m:r>
          </m:sub>
        </m:sSub>
        <m:r>
          <m:rPr>
            <m:sty m:val="p"/>
          </m:rPr>
          <m:t>=</m:t>
        </m:r>
        <m:sSup>
          <m:e>
            <m:r>
              <m:t>s</m:t>
            </m:r>
          </m:e>
          <m:sup>
            <m:r>
              <m:rPr>
                <m:sty m:val="p"/>
              </m:rPr>
              <m:t>*</m:t>
            </m:r>
          </m:sup>
        </m:sSup>
        <m:sSub>
          <m:e>
            <m:r>
              <m:t>D</m:t>
            </m:r>
          </m:e>
          <m:sub>
            <m:r>
              <m:rPr>
                <m:sty m:val="p"/>
              </m:rPr>
              <m:t>p</m:t>
            </m:r>
            <m:r>
              <m:rPr>
                <m:sty m:val="p"/>
              </m:rPr>
              <m:t>r</m:t>
            </m:r>
            <m:r>
              <m:rPr>
                <m:sty m:val="p"/>
              </m:rPr>
              <m:t>e</m:t>
            </m:r>
            <m:r>
              <m:rPr>
                <m:sty m:val="p"/>
              </m:rPr>
              <m:t>d</m:t>
            </m:r>
          </m:sub>
        </m:sSub>
        <m:r>
          <m:rPr>
            <m:sty m:val="p"/>
          </m:rPr>
          <m:t>+</m:t>
        </m:r>
        <m:sSup>
          <m:e>
            <m:r>
              <m:t>t</m:t>
            </m:r>
          </m:e>
          <m:sup>
            <m:r>
              <m:rPr>
                <m:sty m:val="p"/>
              </m:rPr>
              <m:t>*</m:t>
            </m:r>
          </m:sup>
        </m:sSup>
      </m:oMath>
      <w:r>
        <w:t xml:space="preserve">.</w:t>
      </w:r>
    </w:p>
    <w:bookmarkEnd w:id="30"/>
    <w:bookmarkStart w:id="31" w:name="m2-error-maps-and-baseline-metrics"/>
    <w:p>
      <w:pPr>
        <w:pStyle w:val="Heading2"/>
      </w:pPr>
      <w:r>
        <w:rPr>
          <w:rStyle w:val="SectionNumber"/>
        </w:rPr>
        <w:t xml:space="preserve">3.3</w:t>
      </w:r>
      <w:r>
        <w:tab/>
      </w:r>
      <w:r>
        <w:t xml:space="preserve">M2: Error maps and baseline metrics</w:t>
      </w:r>
    </w:p>
    <w:p>
      <w:pPr>
        <w:pStyle w:val="FirstParagraph"/>
        <w:jc w:val="both"/>
      </w:pPr>
      <w:r>
        <w:t xml:space="preserve">M2 computes the dense per-pixel absolute and relative errors</w:t>
      </w:r>
    </w:p>
    <w:p>
      <w:pPr>
        <w:pStyle w:val="BodyText"/>
        <w:jc w:val="both"/>
      </w:pPr>
      <m:oMathPara>
        <m:oMathParaPr>
          <m:jc m:val="center"/>
        </m:oMathParaPr>
        <m:oMath>
          <m:r>
            <m:t>E</m:t>
          </m:r>
          <m:d>
            <m:dPr>
              <m:begChr m:val="("/>
              <m:endChr m:val=")"/>
              <m:sepChr m:val=""/>
              <m:grow/>
            </m:dPr>
            <m:e>
              <m:r>
                <m:t>x</m:t>
              </m:r>
              <m:r>
                <m:rPr>
                  <m:sty m:val="p"/>
                </m:rPr>
                <m:t>,</m:t>
              </m:r>
              <m:r>
                <m:t>y</m:t>
              </m:r>
            </m:e>
          </m:d>
          <m:r>
            <m:rPr>
              <m:sty m:val="p"/>
            </m:rPr>
            <m:t>=</m:t>
          </m:r>
          <m:r>
            <m:rPr>
              <m:sty m:val="p"/>
            </m:rPr>
            <m:t>|</m:t>
          </m:r>
          <m:sSub>
            <m:e>
              <m:r>
                <m:t>D</m:t>
              </m:r>
            </m:e>
            <m:sub>
              <m:r>
                <m:rPr>
                  <m:sty m:val="p"/>
                </m:rPr>
                <m:t>a</m:t>
              </m:r>
              <m:r>
                <m:rPr>
                  <m:sty m:val="p"/>
                </m:rPr>
                <m:t>l</m:t>
              </m:r>
            </m:sub>
          </m:sSub>
          <m:d>
            <m:dPr>
              <m:begChr m:val="("/>
              <m:endChr m:val=")"/>
              <m:sepChr m:val=""/>
              <m:grow/>
            </m:dPr>
            <m:e>
              <m:r>
                <m:t>x</m:t>
              </m:r>
              <m:r>
                <m:rPr>
                  <m:sty m:val="p"/>
                </m:rPr>
                <m:t>,</m:t>
              </m:r>
              <m:r>
                <m:t>y</m:t>
              </m:r>
            </m:e>
          </m:d>
          <m:r>
            <m:rPr>
              <m:sty m:val="p"/>
            </m:rPr>
            <m:t>−</m:t>
          </m:r>
          <m:sSub>
            <m:e>
              <m:r>
                <m:t>D</m:t>
              </m:r>
            </m:e>
            <m:sub>
              <m:r>
                <m:rPr>
                  <m:sty m:val="p"/>
                </m:rPr>
                <m:t>g</m:t>
              </m:r>
              <m:r>
                <m:rPr>
                  <m:sty m:val="p"/>
                </m:rPr>
                <m:t>t</m:t>
              </m:r>
            </m:sub>
          </m:sSub>
          <m:d>
            <m:dPr>
              <m:begChr m:val="("/>
              <m:endChr m:val=")"/>
              <m:sepChr m:val=""/>
              <m:grow/>
            </m:dPr>
            <m:e>
              <m:r>
                <m:t>x</m:t>
              </m:r>
              <m:r>
                <m:rPr>
                  <m:sty m:val="p"/>
                </m:rPr>
                <m:t>,</m:t>
              </m:r>
              <m:r>
                <m:t>y</m:t>
              </m:r>
            </m:e>
          </m:d>
          <m:r>
            <m:rPr>
              <m:sty m:val="p"/>
            </m:rPr>
            <m:t>|</m:t>
          </m:r>
          <m:r>
            <m:rPr>
              <m:sty m:val="p"/>
            </m:rPr>
            <m:t>,</m:t>
          </m:r>
          <m:r>
            <m:t>  </m:t>
          </m:r>
          <m:sSub>
            <m:e>
              <m:r>
                <m:t>E</m:t>
              </m:r>
            </m:e>
            <m:sub>
              <m:r>
                <m:rPr>
                  <m:sty m:val="p"/>
                </m:rPr>
                <m:t>r</m:t>
              </m:r>
              <m:r>
                <m:rPr>
                  <m:sty m:val="p"/>
                </m:rPr>
                <m:t>e</m:t>
              </m:r>
              <m:r>
                <m:rPr>
                  <m:sty m:val="p"/>
                </m:rPr>
                <m:t>l</m:t>
              </m:r>
            </m:sub>
          </m:sSub>
          <m:d>
            <m:dPr>
              <m:begChr m:val="("/>
              <m:endChr m:val=")"/>
              <m:sepChr m:val=""/>
              <m:grow/>
            </m:dPr>
            <m:e>
              <m:r>
                <m:t>x</m:t>
              </m:r>
              <m:r>
                <m:rPr>
                  <m:sty m:val="p"/>
                </m:rPr>
                <m:t>,</m:t>
              </m:r>
              <m:r>
                <m:t>y</m:t>
              </m:r>
            </m:e>
          </m:d>
          <m:r>
            <m:rPr>
              <m:sty m:val="p"/>
            </m:rPr>
            <m:t>=</m:t>
          </m:r>
          <m:f>
            <m:fPr>
              <m:type m:val="bar"/>
            </m:fPr>
            <m:num>
              <m:r>
                <m:t>E</m:t>
              </m:r>
              <m:d>
                <m:dPr>
                  <m:begChr m:val="("/>
                  <m:endChr m:val=")"/>
                  <m:sepChr m:val=""/>
                  <m:grow/>
                </m:dPr>
                <m:e>
                  <m:r>
                    <m:t>x</m:t>
                  </m:r>
                  <m:r>
                    <m:rPr>
                      <m:sty m:val="p"/>
                    </m:rPr>
                    <m:t>,</m:t>
                  </m:r>
                  <m:r>
                    <m:t>y</m:t>
                  </m:r>
                </m:e>
              </m:d>
            </m:num>
            <m:den>
              <m:sSub>
                <m:e>
                  <m:r>
                    <m:t>D</m:t>
                  </m:r>
                </m:e>
                <m:sub>
                  <m:r>
                    <m:rPr>
                      <m:sty m:val="p"/>
                    </m:rPr>
                    <m:t>g</m:t>
                  </m:r>
                  <m:r>
                    <m:rPr>
                      <m:sty m:val="p"/>
                    </m:rPr>
                    <m:t>t</m:t>
                  </m:r>
                </m:sub>
              </m:sSub>
              <m:d>
                <m:dPr>
                  <m:begChr m:val="("/>
                  <m:endChr m:val=")"/>
                  <m:sepChr m:val=""/>
                  <m:grow/>
                </m:dPr>
                <m:e>
                  <m:r>
                    <m:t>x</m:t>
                  </m:r>
                  <m:r>
                    <m:rPr>
                      <m:sty m:val="p"/>
                    </m:rPr>
                    <m:t>,</m:t>
                  </m:r>
                  <m:r>
                    <m:t>y</m:t>
                  </m:r>
                </m:e>
              </m:d>
            </m:den>
          </m:f>
          <m:r>
            <m:rPr>
              <m:sty m:val="p"/>
            </m:rPr>
            <m:t>,</m:t>
          </m:r>
        </m:oMath>
      </m:oMathPara>
    </w:p>
    <w:p>
      <w:pPr>
        <w:pStyle w:val="FirstParagraph"/>
        <w:jc w:val="both"/>
      </w:pPr>
      <w:r>
        <w:t xml:space="preserve">alongside the usual aggregate baselines over</w:t>
      </w:r>
      <w:r>
        <w:t xml:space="preserve"> </w:t>
      </w:r>
      <m:oMath>
        <m:r>
          <m:t>Ω</m:t>
        </m:r>
      </m:oMath>
      <w:r>
        <w:t xml:space="preserve">: MAE</w:t>
      </w:r>
      <w:r>
        <w:t xml:space="preserve"> </w:t>
      </w:r>
      <m:oMath>
        <m:r>
          <m:rPr>
            <m:sty m:val="p"/>
          </m:rPr>
          <m:t>=</m:t>
        </m:r>
        <m:f>
          <m:fPr>
            <m:type m:val="bar"/>
          </m:fPr>
          <m:num>
            <m:r>
              <m:t>1</m:t>
            </m:r>
          </m:num>
          <m:den>
            <m:d>
              <m:dPr>
                <m:begChr m:val="|"/>
                <m:endChr m:val="|"/>
                <m:sepChr m:val=""/>
                <m:grow/>
              </m:dPr>
              <m:e>
                <m:r>
                  <m:t>Ω</m:t>
                </m:r>
              </m:e>
            </m:d>
          </m:den>
        </m:f>
        <m:r>
          <m:rPr>
            <m:sty m:val="p"/>
          </m:rPr>
          <m:t>∑</m:t>
        </m:r>
        <m:r>
          <m:t>E</m:t>
        </m:r>
      </m:oMath>
      <w:r>
        <w:t xml:space="preserve">, RMSE</w:t>
      </w:r>
      <w:r>
        <w:t xml:space="preserve"> </w:t>
      </w:r>
      <m:oMath>
        <m:r>
          <m:rPr>
            <m:sty m:val="p"/>
          </m:rPr>
          <m:t>=</m:t>
        </m:r>
        <m:rad>
          <m:radPr>
            <m:degHide m:val="on"/>
          </m:radPr>
          <m:deg/>
          <m:e>
            <m:f>
              <m:fPr>
                <m:type m:val="bar"/>
              </m:fPr>
              <m:num>
                <m:r>
                  <m:t>1</m:t>
                </m:r>
              </m:num>
              <m:den>
                <m:d>
                  <m:dPr>
                    <m:begChr m:val="|"/>
                    <m:endChr m:val="|"/>
                    <m:sepChr m:val=""/>
                    <m:grow/>
                  </m:dPr>
                  <m:e>
                    <m:r>
                      <m:t>Ω</m:t>
                    </m:r>
                  </m:e>
                </m:d>
              </m:den>
            </m:f>
            <m:r>
              <m:rPr>
                <m:sty m:val="p"/>
              </m:rPr>
              <m:t>∑</m:t>
            </m:r>
            <m:sSup>
              <m:e>
                <m:r>
                  <m:t>E</m:t>
                </m:r>
              </m:e>
              <m:sup>
                <m:r>
                  <m:t>2</m:t>
                </m:r>
              </m:sup>
            </m:sSup>
          </m:e>
        </m:rad>
      </m:oMath>
      <w:r>
        <w:t xml:space="preserve">, AbsRel</w:t>
      </w:r>
      <w:r>
        <w:t xml:space="preserve"> </w:t>
      </w:r>
      <m:oMath>
        <m:r>
          <m:rPr>
            <m:sty m:val="p"/>
          </m:rPr>
          <m:t>=</m:t>
        </m:r>
        <m:f>
          <m:fPr>
            <m:type m:val="bar"/>
          </m:fPr>
          <m:num>
            <m:r>
              <m:t>1</m:t>
            </m:r>
          </m:num>
          <m:den>
            <m:d>
              <m:dPr>
                <m:begChr m:val="|"/>
                <m:endChr m:val="|"/>
                <m:sepChr m:val=""/>
                <m:grow/>
              </m:dPr>
              <m:e>
                <m:r>
                  <m:t>Ω</m:t>
                </m:r>
              </m:e>
            </m:d>
          </m:den>
        </m:f>
        <m:r>
          <m:rPr>
            <m:sty m:val="p"/>
          </m:rPr>
          <m:t>∑</m:t>
        </m:r>
        <m:sSub>
          <m:e>
            <m:r>
              <m:t>E</m:t>
            </m:r>
          </m:e>
          <m:sub>
            <m:r>
              <m:rPr>
                <m:sty m:val="p"/>
              </m:rPr>
              <m:t>r</m:t>
            </m:r>
            <m:r>
              <m:rPr>
                <m:sty m:val="p"/>
              </m:rPr>
              <m:t>e</m:t>
            </m:r>
            <m:r>
              <m:rPr>
                <m:sty m:val="p"/>
              </m:rPr>
              <m:t>l</m:t>
            </m:r>
          </m:sub>
        </m:sSub>
      </m:oMath>
      <w:r>
        <w:t xml:space="preserve">, and</w:t>
      </w:r>
      <w:r>
        <w:t xml:space="preserve"> </w:t>
      </w:r>
      <m:oMath>
        <m:sSub>
          <m:e>
            <m:r>
              <m:t>δ</m:t>
            </m:r>
          </m:e>
          <m:sub>
            <m:r>
              <m:t>k</m:t>
            </m:r>
          </m:sub>
        </m:sSub>
      </m:oMath>
      <w:r>
        <w:t xml:space="preserve">, the fraction of pixels with</w:t>
      </w:r>
      <w:r>
        <w:t xml:space="preserve"> </w:t>
      </w:r>
      <m:oMath>
        <m:r>
          <m:rPr>
            <m:sty m:val="p"/>
          </m:rPr>
          <m:t>max</m:t>
        </m:r>
        <m:d>
          <m:dPr>
            <m:begChr m:val="("/>
            <m:endChr m:val=")"/>
            <m:sepChr m:val=""/>
            <m:grow/>
          </m:dPr>
          <m:e>
            <m:sSub>
              <m:e>
                <m:r>
                  <m:t>D</m:t>
                </m:r>
              </m:e>
              <m:sub>
                <m:r>
                  <m:rPr>
                    <m:sty m:val="p"/>
                  </m:rPr>
                  <m:t>a</m:t>
                </m:r>
                <m:r>
                  <m:rPr>
                    <m:sty m:val="p"/>
                  </m:rPr>
                  <m:t>l</m:t>
                </m:r>
              </m:sub>
            </m:sSub>
            <m:r>
              <m:rPr>
                <m:sty m:val="p"/>
              </m:rPr>
              <m:t>/</m:t>
            </m:r>
            <m:sSub>
              <m:e>
                <m:r>
                  <m:t>D</m:t>
                </m:r>
              </m:e>
              <m:sub>
                <m:r>
                  <m:rPr>
                    <m:sty m:val="p"/>
                  </m:rPr>
                  <m:t>g</m:t>
                </m:r>
                <m:r>
                  <m:rPr>
                    <m:sty m:val="p"/>
                  </m:rPr>
                  <m:t>t</m:t>
                </m:r>
              </m:sub>
            </m:sSub>
            <m:r>
              <m:rPr>
                <m:sty m:val="p"/>
              </m:rPr>
              <m:t>,</m:t>
            </m:r>
            <m:sSub>
              <m:e>
                <m:r>
                  <m:t>D</m:t>
                </m:r>
              </m:e>
              <m:sub>
                <m:r>
                  <m:rPr>
                    <m:sty m:val="p"/>
                  </m:rPr>
                  <m:t>g</m:t>
                </m:r>
                <m:r>
                  <m:rPr>
                    <m:sty m:val="p"/>
                  </m:rPr>
                  <m:t>t</m:t>
                </m:r>
              </m:sub>
            </m:sSub>
            <m:r>
              <m:rPr>
                <m:sty m:val="p"/>
              </m:rPr>
              <m:t>/</m:t>
            </m:r>
            <m:sSub>
              <m:e>
                <m:r>
                  <m:t>D</m:t>
                </m:r>
              </m:e>
              <m:sub>
                <m:r>
                  <m:rPr>
                    <m:sty m:val="p"/>
                  </m:rPr>
                  <m:t>a</m:t>
                </m:r>
                <m:r>
                  <m:rPr>
                    <m:sty m:val="p"/>
                  </m:rPr>
                  <m:t>l</m:t>
                </m:r>
              </m:sub>
            </m:sSub>
          </m:e>
        </m:d>
        <m:r>
          <m:rPr>
            <m:sty m:val="p"/>
          </m:rPr>
          <m:t>&lt;</m:t>
        </m:r>
        <m:sSup>
          <m:e>
            <m:r>
              <m:t>1.25</m:t>
            </m:r>
          </m:e>
          <m:sup>
            <m:r>
              <m:t>k</m:t>
            </m:r>
          </m:sup>
        </m:sSup>
      </m:oMath>
      <w:r>
        <w:t xml:space="preserve"> </w:t>
      </w:r>
      <w:r>
        <w:t xml:space="preserve">for</w:t>
      </w:r>
      <w:r>
        <w:t xml:space="preserve"> </w:t>
      </w:r>
      <m:oMath>
        <m:r>
          <m:t>k</m:t>
        </m:r>
        <m:r>
          <m:rPr>
            <m:sty m:val="p"/>
          </m:rPr>
          <m:t>∈</m:t>
        </m:r>
        <m:r>
          <m:rPr>
            <m:sty m:val="p"/>
          </m:rPr>
          <m:t>{</m:t>
        </m:r>
        <m:r>
          <m:t>1</m:t>
        </m:r>
        <m:r>
          <m:rPr>
            <m:sty m:val="p"/>
          </m:rPr>
          <m:t>,</m:t>
        </m:r>
        <m:r>
          <m:t>2</m:t>
        </m:r>
        <m:r>
          <m:rPr>
            <m:sty m:val="p"/>
          </m:rPr>
          <m:t>,</m:t>
        </m:r>
        <m:r>
          <m:t>3</m:t>
        </m:r>
        <m:r>
          <m:rPr>
            <m:sty m:val="p"/>
          </m:rPr>
          <m:t>}</m:t>
        </m:r>
      </m:oMath>
      <w:r>
        <w:t xml:space="preserve">. Unlike these scalars,</w:t>
      </w:r>
      <w:r>
        <w:t xml:space="preserve"> </w:t>
      </w:r>
      <m:oMath>
        <m:r>
          <m:t>E</m:t>
        </m:r>
        <m:d>
          <m:dPr>
            <m:begChr m:val="("/>
            <m:endChr m:val=")"/>
            <m:sepChr m:val=""/>
            <m:grow/>
          </m:dPr>
          <m:e>
            <m:r>
              <m:t>x</m:t>
            </m:r>
            <m:r>
              <m:rPr>
                <m:sty m:val="p"/>
              </m:rPr>
              <m:t>,</m:t>
            </m:r>
            <m:r>
              <m:t>y</m:t>
            </m:r>
          </m:e>
        </m:d>
      </m:oMath>
      <w:r>
        <w:t xml:space="preserve"> </w:t>
      </w:r>
      <w:r>
        <w:t xml:space="preserve">preserves the two-dimensional topology of the failures.</w:t>
      </w:r>
    </w:p>
    <w:bookmarkEnd w:id="31"/>
    <w:bookmarkStart w:id="32" w:name="m3-high-error-region-segmentation"/>
    <w:p>
      <w:pPr>
        <w:pStyle w:val="Heading2"/>
      </w:pPr>
      <w:r>
        <w:rPr>
          <w:rStyle w:val="SectionNumber"/>
        </w:rPr>
        <w:t xml:space="preserve">3.4</w:t>
      </w:r>
      <w:r>
        <w:tab/>
      </w:r>
      <w:r>
        <w:t xml:space="preserve">M3: High-error region segmentation</w:t>
      </w:r>
    </w:p>
    <w:p>
      <w:pPr>
        <w:pStyle w:val="FirstParagraph"/>
        <w:jc w:val="both"/>
      </w:pPr>
      <w:r>
        <w:t xml:space="preserve">To move from noisy pixel discrepancies to meaningful failure zones, M3 thresholds the error map at a configurable level</w:t>
      </w:r>
      <w:r>
        <w:t xml:space="preserve"> </w:t>
      </w:r>
      <m:oMath>
        <m:r>
          <m:t>τ</m:t>
        </m:r>
      </m:oMath>
      <w:r>
        <w:t xml:space="preserve"> </w:t>
      </w:r>
      <w:r>
        <w:t xml:space="preserve">(a top error percentile or an absolute metric threshold) to obtain the failure mask</w:t>
      </w:r>
    </w:p>
    <w:p>
      <w:pPr>
        <w:pStyle w:val="BodyText"/>
        <w:jc w:val="both"/>
      </w:pPr>
      <m:oMathPara>
        <m:oMathParaPr>
          <m:jc m:val="center"/>
        </m:oMathParaPr>
        <m:oMath>
          <m:sSub>
            <m:e>
              <m:r>
                <m:t>M</m:t>
              </m:r>
            </m:e>
            <m:sub>
              <m:r>
                <m:rPr>
                  <m:sty m:val="p"/>
                </m:rPr>
                <m:t>f</m:t>
              </m:r>
              <m:r>
                <m:rPr>
                  <m:sty m:val="p"/>
                </m:rPr>
                <m:t>a</m:t>
              </m:r>
              <m:r>
                <m:rPr>
                  <m:sty m:val="p"/>
                </m:rPr>
                <m:t>i</m:t>
              </m:r>
              <m:r>
                <m:rPr>
                  <m:sty m:val="p"/>
                </m:rPr>
                <m:t>l</m:t>
              </m:r>
            </m:sub>
          </m:sSub>
          <m:d>
            <m:dPr>
              <m:begChr m:val="("/>
              <m:endChr m:val=")"/>
              <m:sepChr m:val=""/>
              <m:grow/>
            </m:dPr>
            <m:e>
              <m:r>
                <m:t>x</m:t>
              </m:r>
              <m:r>
                <m:rPr>
                  <m:sty m:val="p"/>
                </m:rPr>
                <m:t>,</m:t>
              </m:r>
              <m:r>
                <m:t>y</m:t>
              </m:r>
            </m:e>
          </m:d>
          <m:r>
            <m:rPr>
              <m:sty m:val="p"/>
            </m:rPr>
            <m:t>=</m:t>
          </m:r>
          <m:d>
            <m:dPr>
              <m:begChr m:val="{"/>
              <m:endChr m:val=""/>
              <m:sepChr m:val=""/>
              <m:grow/>
            </m:dPr>
            <m:e>
              <m:m>
                <m:mPr>
                  <m:baseJc m:val="center"/>
                  <m:plcHide m:val="on"/>
                  <m:mcs>
                    <m:mc>
                      <m:mcPr>
                        <m:mcJc m:val="left"/>
                        <m:count m:val="1"/>
                      </m:mcPr>
                    </m:mc>
                    <m:mc>
                      <m:mcPr>
                        <m:mcJc m:val="left"/>
                        <m:count m:val="1"/>
                      </m:mcPr>
                    </m:mc>
                  </m:mcs>
                </m:mPr>
                <m:mr>
                  <m:e>
                    <m:r>
                      <m:t>1</m:t>
                    </m:r>
                    <m:r>
                      <m:rPr>
                        <m:sty m:val="p"/>
                      </m:rPr>
                      <m:t>,</m:t>
                    </m:r>
                  </m:e>
                  <m:e>
                    <m:d>
                      <m:dPr>
                        <m:begChr m:val="("/>
                        <m:endChr m:val=")"/>
                        <m:sepChr m:val=""/>
                        <m:grow/>
                      </m:dPr>
                      <m:e>
                        <m:r>
                          <m:t>x</m:t>
                        </m:r>
                        <m:r>
                          <m:rPr>
                            <m:sty m:val="p"/>
                          </m:rPr>
                          <m:t>,</m:t>
                        </m:r>
                        <m:r>
                          <m:t>y</m:t>
                        </m:r>
                      </m:e>
                    </m:d>
                    <m:r>
                      <m:rPr>
                        <m:sty m:val="p"/>
                      </m:rPr>
                      <m:t>∈</m:t>
                    </m:r>
                    <m:r>
                      <m:t>Ω</m:t>
                    </m:r>
                    <m:r>
                      <m:t> </m:t>
                    </m:r>
                    <m:r>
                      <m:rPr>
                        <m:nor/>
                        <m:sty m:val="p"/>
                      </m:rPr>
                      <m:t>and</m:t>
                    </m:r>
                    <m:r>
                      <m:t> </m:t>
                    </m:r>
                    <m:r>
                      <m:t>E</m:t>
                    </m:r>
                    <m:d>
                      <m:dPr>
                        <m:begChr m:val="("/>
                        <m:endChr m:val=")"/>
                        <m:sepChr m:val=""/>
                        <m:grow/>
                      </m:dPr>
                      <m:e>
                        <m:r>
                          <m:t>x</m:t>
                        </m:r>
                        <m:r>
                          <m:rPr>
                            <m:sty m:val="p"/>
                          </m:rPr>
                          <m:t>,</m:t>
                        </m:r>
                        <m:r>
                          <m:t>y</m:t>
                        </m:r>
                      </m:e>
                    </m:d>
                    <m:r>
                      <m:rPr>
                        <m:sty m:val="p"/>
                      </m:rPr>
                      <m:t>&gt;</m:t>
                    </m:r>
                    <m:r>
                      <m:t>τ</m:t>
                    </m:r>
                    <m:r>
                      <m:rPr>
                        <m:sty m:val="p"/>
                      </m:rPr>
                      <m:t>,</m:t>
                    </m:r>
                  </m:e>
                </m:mr>
                <m:mr>
                  <m:e>
                    <m:r>
                      <m:t>0</m:t>
                    </m:r>
                    <m:r>
                      <m:rPr>
                        <m:sty m:val="p"/>
                      </m:rPr>
                      <m:t>,</m:t>
                    </m:r>
                  </m:e>
                  <m:e>
                    <m:r>
                      <m:rPr>
                        <m:nor/>
                        <m:sty m:val="p"/>
                      </m:rPr>
                      <m:t>otherwise.</m:t>
                    </m:r>
                  </m:e>
                </m:mr>
              </m:m>
            </m:e>
          </m:d>
        </m:oMath>
      </m:oMathPara>
    </w:p>
    <w:p>
      <w:pPr>
        <w:pStyle w:val="FirstParagraph"/>
        <w:jc w:val="both"/>
      </w:pPr>
      <w:r>
        <w:t xml:space="preserve">Connected-components analysis with morphological filtering then isolates</w:t>
      </w:r>
      <w:r>
        <w:t xml:space="preserve"> </w:t>
      </w:r>
      <m:oMath>
        <m:r>
          <m:t>K</m:t>
        </m:r>
      </m:oMath>
      <w:r>
        <w:t xml:space="preserve"> </w:t>
      </w:r>
      <w:r>
        <w:t xml:space="preserve">spatially coherent clusters</w:t>
      </w:r>
      <w:r>
        <w:t xml:space="preserve"> </w:t>
      </w:r>
      <m:oMath>
        <m:r>
          <m:rPr>
            <m:sty m:val="p"/>
          </m:rPr>
          <m:t>{</m:t>
        </m:r>
        <m:sSub>
          <m:e>
            <m:r>
              <m:t>R</m:t>
            </m:r>
          </m:e>
          <m:sub>
            <m:r>
              <m:t>1</m:t>
            </m:r>
          </m:sub>
        </m:sSub>
        <m:r>
          <m:rPr>
            <m:sty m:val="p"/>
          </m:rPr>
          <m:t>,</m:t>
        </m:r>
        <m:r>
          <m:rPr>
            <m:sty m:val="p"/>
          </m:rPr>
          <m:t>…</m:t>
        </m:r>
        <m:r>
          <m:rPr>
            <m:sty m:val="p"/>
          </m:rPr>
          <m:t>,</m:t>
        </m:r>
        <m:sSub>
          <m:e>
            <m:r>
              <m:t>R</m:t>
            </m:r>
          </m:e>
          <m:sub>
            <m:r>
              <m:t>K</m:t>
            </m:r>
          </m:sub>
        </m:sSub>
        <m:r>
          <m:rPr>
            <m:sty m:val="p"/>
          </m:rPr>
          <m:t>}</m:t>
        </m:r>
      </m:oMath>
      <w:r>
        <w:t xml:space="preserve">, discarding isolated single-pixel sensor noise while keeping structured failure regions with their bounding boxes and pixel masks.</w:t>
      </w:r>
    </w:p>
    <w:bookmarkEnd w:id="32"/>
    <w:bookmarkStart w:id="33" w:name="X89b22bf80cc39040a44b1cac5afd3b1095a4f68"/>
    <w:p>
      <w:pPr>
        <w:pStyle w:val="Heading2"/>
      </w:pPr>
      <w:r>
        <w:rPr>
          <w:rStyle w:val="SectionNumber"/>
        </w:rPr>
        <w:t xml:space="preserve">3.5</w:t>
      </w:r>
      <w:r>
        <w:tab/>
      </w:r>
      <w:r>
        <w:t xml:space="preserve">M4: Multi-signal visual evidence extraction</w:t>
      </w:r>
    </w:p>
    <w:p>
      <w:pPr>
        <w:pStyle w:val="FirstParagraph"/>
        <w:jc w:val="both"/>
      </w:pPr>
      <w:r>
        <w:t xml:space="preserve">For every region</w:t>
      </w:r>
      <w:r>
        <w:t xml:space="preserve"> </w:t>
      </w:r>
      <m:oMath>
        <m:sSub>
          <m:e>
            <m:r>
              <m:t>R</m:t>
            </m:r>
          </m:e>
          <m:sub>
            <m:r>
              <m:t>k</m:t>
            </m:r>
          </m:sub>
        </m:sSub>
      </m:oMath>
      <w:r>
        <w:t xml:space="preserve">, M4 queries the RGB image and the depth maps and computes a six-dimensional evidence vector</w:t>
      </w:r>
      <w:r>
        <w:t xml:space="preserve"> </w:t>
      </w:r>
      <m:oMath>
        <m:r>
          <m:t>f</m:t>
        </m:r>
        <m:d>
          <m:dPr>
            <m:begChr m:val="("/>
            <m:endChr m:val=")"/>
            <m:sepChr m:val=""/>
            <m:grow/>
          </m:dPr>
          <m:e>
            <m:sSub>
              <m:e>
                <m:r>
                  <m:t>R</m:t>
                </m:r>
              </m:e>
              <m:sub>
                <m:r>
                  <m:t>k</m:t>
                </m:r>
              </m:sub>
            </m:sSub>
          </m:e>
        </m:d>
        <m:r>
          <m:rPr>
            <m:sty m:val="p"/>
          </m:rPr>
          <m:t>=</m:t>
        </m:r>
        <m:d>
          <m:dPr>
            <m:begChr m:val="["/>
            <m:endChr m:val="]"/>
            <m:sepChr m:val=""/>
            <m:grow/>
          </m:dPr>
          <m:e>
            <m:sSub>
              <m:e>
                <m:r>
                  <m:t>f</m:t>
                </m:r>
              </m:e>
              <m:sub>
                <m:r>
                  <m:rPr>
                    <m:sty m:val="p"/>
                  </m:rPr>
                  <m:t>t</m:t>
                </m:r>
                <m:r>
                  <m:rPr>
                    <m:sty m:val="p"/>
                  </m:rPr>
                  <m:t>e</m:t>
                </m:r>
                <m:r>
                  <m:rPr>
                    <m:sty m:val="p"/>
                  </m:rPr>
                  <m:t>x</m:t>
                </m:r>
              </m:sub>
            </m:sSub>
            <m:r>
              <m:rPr>
                <m:sty m:val="p"/>
              </m:rPr>
              <m:t>,</m:t>
            </m:r>
            <m:sSub>
              <m:e>
                <m:r>
                  <m:t>f</m:t>
                </m:r>
              </m:e>
              <m:sub>
                <m:r>
                  <m:rPr>
                    <m:sty m:val="p"/>
                  </m:rPr>
                  <m:t>e</m:t>
                </m:r>
                <m:r>
                  <m:rPr>
                    <m:sty m:val="p"/>
                  </m:rPr>
                  <m:t>d</m:t>
                </m:r>
                <m:r>
                  <m:rPr>
                    <m:sty m:val="p"/>
                  </m:rPr>
                  <m:t>g</m:t>
                </m:r>
                <m:r>
                  <m:rPr>
                    <m:sty m:val="p"/>
                  </m:rPr>
                  <m:t>e</m:t>
                </m:r>
              </m:sub>
            </m:sSub>
            <m:r>
              <m:rPr>
                <m:sty m:val="p"/>
              </m:rPr>
              <m:t>,</m:t>
            </m:r>
            <m:sSub>
              <m:e>
                <m:r>
                  <m:t>f</m:t>
                </m:r>
              </m:e>
              <m:sub>
                <m:r>
                  <m:rPr>
                    <m:sty m:val="p"/>
                  </m:rPr>
                  <m:t>b</m:t>
                </m:r>
                <m:r>
                  <m:rPr>
                    <m:sty m:val="p"/>
                  </m:rPr>
                  <m:t>r</m:t>
                </m:r>
                <m:r>
                  <m:rPr>
                    <m:sty m:val="p"/>
                  </m:rPr>
                  <m:t>i</m:t>
                </m:r>
                <m:r>
                  <m:rPr>
                    <m:sty m:val="p"/>
                  </m:rPr>
                  <m:t>g</m:t>
                </m:r>
                <m:r>
                  <m:rPr>
                    <m:sty m:val="p"/>
                  </m:rPr>
                  <m:t>h</m:t>
                </m:r>
                <m:r>
                  <m:rPr>
                    <m:sty m:val="p"/>
                  </m:rPr>
                  <m:t>t</m:t>
                </m:r>
              </m:sub>
            </m:sSub>
            <m:r>
              <m:rPr>
                <m:sty m:val="p"/>
              </m:rPr>
              <m:t>,</m:t>
            </m:r>
            <m:sSub>
              <m:e>
                <m:r>
                  <m:t>f</m:t>
                </m:r>
              </m:e>
              <m:sub>
                <m:r>
                  <m:rPr>
                    <m:sty m:val="p"/>
                  </m:rPr>
                  <m:t>c</m:t>
                </m:r>
                <m:r>
                  <m:rPr>
                    <m:sty m:val="p"/>
                  </m:rPr>
                  <m:t>o</m:t>
                </m:r>
                <m:r>
                  <m:rPr>
                    <m:sty m:val="p"/>
                  </m:rPr>
                  <m:t>n</m:t>
                </m:r>
                <m:r>
                  <m:rPr>
                    <m:sty m:val="p"/>
                  </m:rPr>
                  <m:t>t</m:t>
                </m:r>
              </m:sub>
            </m:sSub>
            <m:r>
              <m:rPr>
                <m:sty m:val="p"/>
              </m:rPr>
              <m:t>,</m:t>
            </m:r>
            <m:sSub>
              <m:e>
                <m:r>
                  <m:t>f</m:t>
                </m:r>
              </m:e>
              <m:sub>
                <m:r>
                  <m:rPr>
                    <m:sty m:val="p"/>
                  </m:rPr>
                  <m:t>s</m:t>
                </m:r>
                <m:r>
                  <m:rPr>
                    <m:sty m:val="p"/>
                  </m:rPr>
                  <m:t>p</m:t>
                </m:r>
                <m:r>
                  <m:rPr>
                    <m:sty m:val="p"/>
                  </m:rPr>
                  <m:t>e</m:t>
                </m:r>
                <m:r>
                  <m:rPr>
                    <m:sty m:val="p"/>
                  </m:rPr>
                  <m:t>c</m:t>
                </m:r>
              </m:sub>
            </m:sSub>
            <m:r>
              <m:rPr>
                <m:sty m:val="p"/>
              </m:rPr>
              <m:t>,</m:t>
            </m:r>
            <m:sSub>
              <m:e>
                <m:r>
                  <m:t>f</m:t>
                </m:r>
              </m:e>
              <m:sub>
                <m:r>
                  <m:rPr>
                    <m:sty m:val="p"/>
                  </m:rPr>
                  <m:t>d</m:t>
                </m:r>
                <m:r>
                  <m:rPr>
                    <m:sty m:val="p"/>
                  </m:rPr>
                  <m:t>i</m:t>
                </m:r>
                <m:r>
                  <m:rPr>
                    <m:sty m:val="p"/>
                  </m:rPr>
                  <m:t>s</m:t>
                </m:r>
                <m:r>
                  <m:rPr>
                    <m:sty m:val="p"/>
                  </m:rPr>
                  <m:t>c</m:t>
                </m:r>
              </m:sub>
            </m:sSub>
          </m:e>
        </m:d>
      </m:oMath>
      <w:r>
        <w:t xml:space="preserve">:</w:t>
      </w:r>
    </w:p>
    <w:p>
      <w:pPr>
        <w:numPr>
          <w:ilvl w:val="0"/>
          <w:numId w:val="1002"/>
        </w:numPr>
      </w:pPr>
      <w:r>
        <w:rPr>
          <w:bCs/>
          <w:b/>
        </w:rPr>
        <w:t xml:space="preserve">Texture consistency</w:t>
      </w:r>
      <w:r>
        <w:t xml:space="preserve"> </w:t>
      </w:r>
      <m:oMath>
        <m:sSub>
          <m:e>
            <m:r>
              <m:t>f</m:t>
            </m:r>
          </m:e>
          <m:sub>
            <m:r>
              <m:rPr>
                <m:sty m:val="p"/>
              </m:rPr>
              <m:t>t</m:t>
            </m:r>
            <m:r>
              <m:rPr>
                <m:sty m:val="p"/>
              </m:rPr>
              <m:t>e</m:t>
            </m:r>
            <m:r>
              <m:rPr>
                <m:sty m:val="p"/>
              </m:rPr>
              <m:t>x</m:t>
            </m:r>
          </m:sub>
        </m:sSub>
      </m:oMath>
      <w:r>
        <w:t xml:space="preserve">: mean local grayscale variance in sliding windows inside</w:t>
      </w:r>
      <w:r>
        <w:t xml:space="preserve"> </w:t>
      </w:r>
      <m:oMath>
        <m:sSub>
          <m:e>
            <m:r>
              <m:t>R</m:t>
            </m:r>
          </m:e>
          <m:sub>
            <m:r>
              <m:t>k</m:t>
            </m:r>
          </m:sub>
        </m:sSub>
      </m:oMath>
      <w:r>
        <w:t xml:space="preserve">, separating homogeneous, featureless surfaces from high-frequency clutter.</w:t>
      </w:r>
    </w:p>
    <w:p>
      <w:pPr>
        <w:numPr>
          <w:ilvl w:val="0"/>
          <w:numId w:val="1002"/>
        </w:numPr>
      </w:pPr>
      <w:r>
        <w:rPr>
          <w:bCs/>
          <w:b/>
        </w:rPr>
        <w:t xml:space="preserve">Edge density</w:t>
      </w:r>
      <w:r>
        <w:t xml:space="preserve"> </w:t>
      </w:r>
      <m:oMath>
        <m:sSub>
          <m:e>
            <m:r>
              <m:t>f</m:t>
            </m:r>
          </m:e>
          <m:sub>
            <m:r>
              <m:rPr>
                <m:sty m:val="p"/>
              </m:rPr>
              <m:t>e</m:t>
            </m:r>
            <m:r>
              <m:rPr>
                <m:sty m:val="p"/>
              </m:rPr>
              <m:t>d</m:t>
            </m:r>
            <m:r>
              <m:rPr>
                <m:sty m:val="p"/>
              </m:rPr>
              <m:t>g</m:t>
            </m:r>
            <m:r>
              <m:rPr>
                <m:sty m:val="p"/>
              </m:rPr>
              <m:t>e</m:t>
            </m:r>
          </m:sub>
        </m:sSub>
      </m:oMath>
      <w:r>
        <w:t xml:space="preserve">: fraction of pixels in</w:t>
      </w:r>
      <w:r>
        <w:t xml:space="preserve"> </w:t>
      </w:r>
      <m:oMath>
        <m:sSub>
          <m:e>
            <m:r>
              <m:t>R</m:t>
            </m:r>
          </m:e>
          <m:sub>
            <m:r>
              <m:t>k</m:t>
            </m:r>
          </m:sub>
        </m:sSub>
      </m:oMath>
      <w:r>
        <w:t xml:space="preserve"> </w:t>
      </w:r>
      <w:r>
        <w:t xml:space="preserve">marked as edges by a Canny or Sobel detector applied to</w:t>
      </w:r>
      <w:r>
        <w:t xml:space="preserve"> </w:t>
      </w:r>
      <m:oMath>
        <m:r>
          <m:t>I</m:t>
        </m:r>
      </m:oMath>
      <w:r>
        <w:t xml:space="preserve">.</w:t>
      </w:r>
    </w:p>
    <w:p>
      <w:pPr>
        <w:numPr>
          <w:ilvl w:val="0"/>
          <w:numId w:val="1002"/>
        </w:numPr>
      </w:pPr>
      <w:r>
        <w:rPr>
          <w:bCs/>
          <w:b/>
        </w:rPr>
        <w:t xml:space="preserve">Brightness</w:t>
      </w:r>
      <w:r>
        <w:t xml:space="preserve"> </w:t>
      </w:r>
      <m:oMath>
        <m:sSub>
          <m:e>
            <m:r>
              <m:t>f</m:t>
            </m:r>
          </m:e>
          <m:sub>
            <m:r>
              <m:rPr>
                <m:sty m:val="p"/>
              </m:rPr>
              <m:t>b</m:t>
            </m:r>
            <m:r>
              <m:rPr>
                <m:sty m:val="p"/>
              </m:rPr>
              <m:t>r</m:t>
            </m:r>
            <m:r>
              <m:rPr>
                <m:sty m:val="p"/>
              </m:rPr>
              <m:t>i</m:t>
            </m:r>
            <m:r>
              <m:rPr>
                <m:sty m:val="p"/>
              </m:rPr>
              <m:t>g</m:t>
            </m:r>
            <m:r>
              <m:rPr>
                <m:sty m:val="p"/>
              </m:rPr>
              <m:t>h</m:t>
            </m:r>
            <m:r>
              <m:rPr>
                <m:sty m:val="p"/>
              </m:rPr>
              <m:t>t</m:t>
            </m:r>
          </m:sub>
        </m:sSub>
      </m:oMath>
      <w:r>
        <w:t xml:space="preserve">: mean luminance (</w:t>
      </w:r>
      <m:oMath>
        <m:r>
          <m:t>Y</m:t>
        </m:r>
      </m:oMath>
      <w:r>
        <w:t xml:space="preserve">, or the HSV value</w:t>
      </w:r>
      <w:r>
        <w:t xml:space="preserve"> </w:t>
      </w:r>
      <m:oMath>
        <m:r>
          <m:t>V</m:t>
        </m:r>
      </m:oMath>
      <w:r>
        <w:t xml:space="preserve">) over</w:t>
      </w:r>
      <w:r>
        <w:t xml:space="preserve"> </w:t>
      </w:r>
      <m:oMath>
        <m:sSub>
          <m:e>
            <m:r>
              <m:t>R</m:t>
            </m:r>
          </m:e>
          <m:sub>
            <m:r>
              <m:t>k</m:t>
            </m:r>
          </m:sub>
        </m:sSub>
      </m:oMath>
      <w:r>
        <w:t xml:space="preserve">, indicating deep shadow or underexposure.</w:t>
      </w:r>
    </w:p>
    <w:p>
      <w:pPr>
        <w:numPr>
          <w:ilvl w:val="0"/>
          <w:numId w:val="1002"/>
        </w:numPr>
      </w:pPr>
      <w:r>
        <w:rPr>
          <w:bCs/>
          <w:b/>
        </w:rPr>
        <w:t xml:space="preserve">Local contrast</w:t>
      </w:r>
      <w:r>
        <w:t xml:space="preserve"> </w:t>
      </w:r>
      <m:oMath>
        <m:sSub>
          <m:e>
            <m:r>
              <m:t>f</m:t>
            </m:r>
          </m:e>
          <m:sub>
            <m:r>
              <m:rPr>
                <m:sty m:val="p"/>
              </m:rPr>
              <m:t>c</m:t>
            </m:r>
            <m:r>
              <m:rPr>
                <m:sty m:val="p"/>
              </m:rPr>
              <m:t>o</m:t>
            </m:r>
            <m:r>
              <m:rPr>
                <m:sty m:val="p"/>
              </m:rPr>
              <m:t>n</m:t>
            </m:r>
            <m:r>
              <m:rPr>
                <m:sty m:val="p"/>
              </m:rPr>
              <m:t>t</m:t>
            </m:r>
          </m:sub>
        </m:sSub>
      </m:oMath>
      <w:r>
        <w:t xml:space="preserve">: standard deviation of pixel intensities (RMS contrast) or local min–max luminance spread within</w:t>
      </w:r>
      <w:r>
        <w:t xml:space="preserve"> </w:t>
      </w:r>
      <m:oMath>
        <m:sSub>
          <m:e>
            <m:r>
              <m:t>R</m:t>
            </m:r>
          </m:e>
          <m:sub>
            <m:r>
              <m:t>k</m:t>
            </m:r>
          </m:sub>
        </m:sSub>
      </m:oMath>
      <w:r>
        <w:t xml:space="preserve">.</w:t>
      </w:r>
    </w:p>
    <w:p>
      <w:pPr>
        <w:numPr>
          <w:ilvl w:val="0"/>
          <w:numId w:val="1002"/>
        </w:numPr>
      </w:pPr>
      <w:r>
        <w:rPr>
          <w:bCs/>
          <w:b/>
        </w:rPr>
        <w:t xml:space="preserve">Specular highlights</w:t>
      </w:r>
      <w:r>
        <w:t xml:space="preserve"> </w:t>
      </w:r>
      <m:oMath>
        <m:sSub>
          <m:e>
            <m:r>
              <m:t>f</m:t>
            </m:r>
          </m:e>
          <m:sub>
            <m:r>
              <m:rPr>
                <m:sty m:val="p"/>
              </m:rPr>
              <m:t>s</m:t>
            </m:r>
            <m:r>
              <m:rPr>
                <m:sty m:val="p"/>
              </m:rPr>
              <m:t>p</m:t>
            </m:r>
            <m:r>
              <m:rPr>
                <m:sty m:val="p"/>
              </m:rPr>
              <m:t>e</m:t>
            </m:r>
            <m:r>
              <m:rPr>
                <m:sty m:val="p"/>
              </m:rPr>
              <m:t>c</m:t>
            </m:r>
          </m:sub>
        </m:sSub>
      </m:oMath>
      <w:r>
        <w:t xml:space="preserve">: fraction of pixels with simultaneously high luminance (</w:t>
      </w:r>
      <m:oMath>
        <m:r>
          <m:t>V</m:t>
        </m:r>
        <m:r>
          <m:t>​</m:t>
        </m:r>
        <m:r>
          <m:rPr>
            <m:sty m:val="p"/>
          </m:rPr>
          <m:t>→</m:t>
        </m:r>
        <m:r>
          <m:t>​</m:t>
        </m:r>
        <m:r>
          <m:t>1</m:t>
        </m:r>
      </m:oMath>
      <w:r>
        <w:t xml:space="preserve">) and low saturation (</w:t>
      </w:r>
      <m:oMath>
        <m:r>
          <m:t>S</m:t>
        </m:r>
        <m:r>
          <m:t>​</m:t>
        </m:r>
        <m:r>
          <m:rPr>
            <m:sty m:val="p"/>
          </m:rPr>
          <m:t>→</m:t>
        </m:r>
        <m:r>
          <m:t>​</m:t>
        </m:r>
        <m:r>
          <m:t>0</m:t>
        </m:r>
      </m:oMath>
      <w:r>
        <w:t xml:space="preserve">), capturing glossy surfaces, metallic bodies, and wet-road glare.</w:t>
      </w:r>
    </w:p>
    <w:p>
      <w:pPr>
        <w:numPr>
          <w:ilvl w:val="0"/>
          <w:numId w:val="1002"/>
        </w:numPr>
      </w:pPr>
      <w:r>
        <w:rPr>
          <w:bCs/>
          <w:b/>
        </w:rPr>
        <w:t xml:space="preserve">Depth discontinuities</w:t>
      </w:r>
      <w:r>
        <w:t xml:space="preserve"> </w:t>
      </w:r>
      <m:oMath>
        <m:sSub>
          <m:e>
            <m:r>
              <m:t>f</m:t>
            </m:r>
          </m:e>
          <m:sub>
            <m:r>
              <m:rPr>
                <m:sty m:val="p"/>
              </m:rPr>
              <m:t>d</m:t>
            </m:r>
            <m:r>
              <m:rPr>
                <m:sty m:val="p"/>
              </m:rPr>
              <m:t>i</m:t>
            </m:r>
            <m:r>
              <m:rPr>
                <m:sty m:val="p"/>
              </m:rPr>
              <m:t>s</m:t>
            </m:r>
            <m:r>
              <m:rPr>
                <m:sty m:val="p"/>
              </m:rPr>
              <m:t>c</m:t>
            </m:r>
          </m:sub>
        </m:sSub>
      </m:oMath>
      <w:r>
        <w:t xml:space="preserve">: spatial gradient magnitude</w:t>
      </w:r>
      <w:r>
        <w:t xml:space="preserve"> </w:t>
      </w:r>
      <m:oMath>
        <m:r>
          <m:rPr>
            <m:sty m:val="p"/>
          </m:rPr>
          <m:t>∥</m:t>
        </m:r>
        <m:r>
          <m:rPr>
            <m:sty m:val="p"/>
          </m:rPr>
          <m:t>∇</m:t>
        </m:r>
        <m:r>
          <m:t>D</m:t>
        </m:r>
        <m:r>
          <m:rPr>
            <m:sty m:val="p"/>
          </m:rPr>
          <m:t>∥</m:t>
        </m:r>
      </m:oMath>
      <w:r>
        <w:t xml:space="preserve"> </w:t>
      </w:r>
      <w:r>
        <w:t xml:space="preserve">of the depth map within</w:t>
      </w:r>
      <w:r>
        <w:t xml:space="preserve"> </w:t>
      </w:r>
      <m:oMath>
        <m:sSub>
          <m:e>
            <m:r>
              <m:t>R</m:t>
            </m:r>
          </m:e>
          <m:sub>
            <m:r>
              <m:t>k</m:t>
            </m:r>
          </m:sub>
        </m:sSub>
      </m:oMath>
      <w:r>
        <w:t xml:space="preserve">, identifying sharp foreground–background boundaries and occlusions.</w:t>
      </w:r>
    </w:p>
    <w:bookmarkEnd w:id="33"/>
    <w:bookmarkStart w:id="34" w:name="m5-cause-attribution-and-validation"/>
    <w:p>
      <w:pPr>
        <w:pStyle w:val="Heading2"/>
      </w:pPr>
      <w:r>
        <w:rPr>
          <w:rStyle w:val="SectionNumber"/>
        </w:rPr>
        <w:t xml:space="preserve">3.6</w:t>
      </w:r>
      <w:r>
        <w:tab/>
      </w:r>
      <w:r>
        <w:t xml:space="preserve">M5: Cause attribution and validation</w:t>
      </w:r>
    </w:p>
    <w:p>
      <w:pPr>
        <w:pStyle w:val="FirstParagraph"/>
        <w:jc w:val="both"/>
      </w:pPr>
      <w:r>
        <w:t xml:space="preserve">Rather than assuming causes a priori, M5 maps each region’s profile</w:t>
      </w:r>
      <w:r>
        <w:t xml:space="preserve"> </w:t>
      </w:r>
      <m:oMath>
        <m:r>
          <m:t>f</m:t>
        </m:r>
        <m:d>
          <m:dPr>
            <m:begChr m:val="("/>
            <m:endChr m:val=")"/>
            <m:sepChr m:val=""/>
            <m:grow/>
          </m:dPr>
          <m:e>
            <m:sSub>
              <m:e>
                <m:r>
                  <m:t>R</m:t>
                </m:r>
              </m:e>
              <m:sub>
                <m:r>
                  <m:t>k</m:t>
                </m:r>
              </m:sub>
            </m:sSub>
          </m:e>
        </m:d>
      </m:oMath>
      <w:r>
        <w:t xml:space="preserve"> </w:t>
      </w:r>
      <w:r>
        <w:t xml:space="preserve">to a candidate cause using the interpretable rules in Table 1.</w:t>
      </w:r>
    </w:p>
    <w:p>
      <w:pPr>
        <w:pStyle w:val="TableCaption"/>
        <w:keepNext/>
        <w:jc w:val="left"/>
      </w:pPr>
      <w:r>
        <w:rPr>
          <w:bCs/>
          <w:b/>
        </w:rPr>
        <w:t xml:space="preserve">Table 1.</w:t>
      </w:r>
      <w:r>
        <w:t xml:space="preserve"> </w:t>
      </w:r>
      <w:r>
        <w:t xml:space="preserve">Rule-based mapping from M4 evidence to candidate failure causes (thresholds are configuration parameters).</w:t>
      </w:r>
    </w:p>
    <w:tbl>
      <w:tblPr>
        <w:tblStyle w:val="Table"/>
        <w:tblW w:type="auto" w:w="0"/>
        <w:tblLook w:firstRow="1" w:lastRow="0" w:firstColumn="0" w:lastColumn="0" w:noHBand="0" w:noVBand="0" w:val="0020"/>
        <w:jc w:val="start"/>
        <w:tblCaption w:val="Table 1. Rule-based mapping from M4 evidence to candidate failure causes (thresholds are configuration parameters)."/>
        <w:tblBorders>
          <w:top w:val="single" w:sz="12" w:space="0" w:color="000000"/>
          <w:bottom w:val="single" w:sz="12" w:space="0" w:color="000000"/>
          <w:insideH w:val="single" w:sz="4" w:space="0" w:color="000000"/>
        </w:tblBorders>
      </w:tblPr>
      <w:tblGrid>
        <w:gridCol w:w="3960"/>
        <w:gridCol w:w="3960"/>
      </w:tblGrid>
      <w:tr>
        <w:trPr>
          <w:tblHeader w:val="true"/>
        </w:trPr>
        <w:tc>
          <w:tcPr/>
          <w:p>
            <w:pPr>
              <w:pStyle w:val="Compact"/>
              <w:spacing w:after="40" w:before="40"/>
              <w:jc w:val="left"/>
            </w:pPr>
            <w:r>
              <w:rPr>
                <w:b/>
                <w:sz w:val="19"/>
              </w:rPr>
              <w:t xml:space="preserve">Candidate cause</w:t>
            </w:r>
          </w:p>
        </w:tc>
        <w:tc>
          <w:tcPr/>
          <w:p>
            <w:pPr>
              <w:pStyle w:val="Compact"/>
              <w:spacing w:after="40" w:before="40"/>
              <w:jc w:val="left"/>
            </w:pPr>
            <w:r>
              <w:rPr>
                <w:b/>
                <w:sz w:val="19"/>
              </w:rPr>
              <w:t xml:space="preserve">Evidence signature</w:t>
            </w:r>
          </w:p>
        </w:tc>
      </w:tr>
      <w:tr>
        <w:tc>
          <w:tcPr/>
          <w:p>
            <w:pPr>
              <w:pStyle w:val="Compact"/>
              <w:spacing w:after="40" w:before="40"/>
              <w:jc w:val="left"/>
            </w:pPr>
            <w:r>
              <w:rPr>
                <w:sz w:val="19"/>
              </w:rPr>
              <w:t xml:space="preserve">Boundary / occlusion</w:t>
            </w:r>
          </w:p>
        </w:tc>
        <w:tc>
          <w:tcPr/>
          <w:p>
            <w:pPr>
              <w:pStyle w:val="Compact"/>
              <w:spacing w:after="40" w:before="40"/>
              <w:jc w:val="left"/>
            </w:pPr>
            <w:r>
              <w:rPr>
                <w:sz w:val="19"/>
              </w:rPr>
              <w:t xml:space="preserve">high</w:t>
            </w:r>
            <w:r>
              <w:rPr>
                <w:sz w:val="19"/>
              </w:rPr>
              <w:t xml:space="preserve"> </w:t>
            </w:r>
            <m:oMath>
              <m:sSub>
                <m:e>
                  <m:r>
                    <m:t>f</m:t>
                  </m:r>
                </m:e>
                <m:sub>
                  <m:r>
                    <m:rPr>
                      <m:sty m:val="p"/>
                    </m:rPr>
                    <m:t>e</m:t>
                  </m:r>
                  <m:r>
                    <m:rPr>
                      <m:sty m:val="p"/>
                    </m:rPr>
                    <m:t>d</m:t>
                  </m:r>
                  <m:r>
                    <m:rPr>
                      <m:sty m:val="p"/>
                    </m:rPr>
                    <m:t>g</m:t>
                  </m:r>
                  <m:r>
                    <m:rPr>
                      <m:sty m:val="p"/>
                    </m:rPr>
                    <m:t>e</m:t>
                  </m:r>
                </m:sub>
              </m:sSub>
            </m:oMath>
            <w:r>
              <w:rPr>
                <w:sz w:val="19"/>
              </w:rPr>
              <w:t xml:space="preserve"> </w:t>
            </w:r>
            <w:r>
              <w:rPr>
                <w:sz w:val="19"/>
              </w:rPr>
              <w:t xml:space="preserve">and strong depth gradient</w:t>
            </w:r>
            <w:r>
              <w:rPr>
                <w:sz w:val="19"/>
              </w:rPr>
              <w:t xml:space="preserve"> </w:t>
            </w:r>
            <m:oMath>
              <m:sSub>
                <m:e>
                  <m:r>
                    <m:t>f</m:t>
                  </m:r>
                </m:e>
                <m:sub>
                  <m:r>
                    <m:rPr>
                      <m:sty m:val="p"/>
                    </m:rPr>
                    <m:t>d</m:t>
                  </m:r>
                  <m:r>
                    <m:rPr>
                      <m:sty m:val="p"/>
                    </m:rPr>
                    <m:t>i</m:t>
                  </m:r>
                  <m:r>
                    <m:rPr>
                      <m:sty m:val="p"/>
                    </m:rPr>
                    <m:t>s</m:t>
                  </m:r>
                  <m:r>
                    <m:rPr>
                      <m:sty m:val="p"/>
                    </m:rPr>
                    <m:t>c</m:t>
                  </m:r>
                </m:sub>
              </m:sSub>
            </m:oMath>
          </w:p>
        </w:tc>
      </w:tr>
      <w:tr>
        <w:tc>
          <w:tcPr/>
          <w:p>
            <w:pPr>
              <w:pStyle w:val="Compact"/>
              <w:spacing w:after="40" w:before="40"/>
              <w:jc w:val="left"/>
            </w:pPr>
            <w:r>
              <w:rPr>
                <w:sz w:val="19"/>
              </w:rPr>
              <w:t xml:space="preserve">Plain / textureless surface</w:t>
            </w:r>
          </w:p>
        </w:tc>
        <w:tc>
          <w:tcPr/>
          <w:p>
            <w:pPr>
              <w:pStyle w:val="Compact"/>
              <w:spacing w:after="40" w:before="40"/>
              <w:jc w:val="left"/>
            </w:pPr>
            <w:r>
              <w:rPr>
                <w:sz w:val="19"/>
              </w:rPr>
              <w:t xml:space="preserve">low</w:t>
            </w:r>
            <w:r>
              <w:rPr>
                <w:sz w:val="19"/>
              </w:rPr>
              <w:t xml:space="preserve"> </w:t>
            </w:r>
            <m:oMath>
              <m:sSub>
                <m:e>
                  <m:r>
                    <m:t>f</m:t>
                  </m:r>
                </m:e>
                <m:sub>
                  <m:r>
                    <m:rPr>
                      <m:sty m:val="p"/>
                    </m:rPr>
                    <m:t>t</m:t>
                  </m:r>
                  <m:r>
                    <m:rPr>
                      <m:sty m:val="p"/>
                    </m:rPr>
                    <m:t>e</m:t>
                  </m:r>
                  <m:r>
                    <m:rPr>
                      <m:sty m:val="p"/>
                    </m:rPr>
                    <m:t>x</m:t>
                  </m:r>
                </m:sub>
              </m:sSub>
            </m:oMath>
            <w:r>
              <w:rPr>
                <w:sz w:val="19"/>
              </w:rPr>
              <w:t xml:space="preserve"> </w:t>
            </w:r>
            <w:r>
              <w:rPr>
                <w:sz w:val="19"/>
              </w:rPr>
              <w:t xml:space="preserve">and low</w:t>
            </w:r>
            <w:r>
              <w:rPr>
                <w:sz w:val="19"/>
              </w:rPr>
              <w:t xml:space="preserve"> </w:t>
            </w:r>
            <m:oMath>
              <m:sSub>
                <m:e>
                  <m:r>
                    <m:t>f</m:t>
                  </m:r>
                </m:e>
                <m:sub>
                  <m:r>
                    <m:rPr>
                      <m:sty m:val="p"/>
                    </m:rPr>
                    <m:t>e</m:t>
                  </m:r>
                  <m:r>
                    <m:rPr>
                      <m:sty m:val="p"/>
                    </m:rPr>
                    <m:t>d</m:t>
                  </m:r>
                  <m:r>
                    <m:rPr>
                      <m:sty m:val="p"/>
                    </m:rPr>
                    <m:t>g</m:t>
                  </m:r>
                  <m:r>
                    <m:rPr>
                      <m:sty m:val="p"/>
                    </m:rPr>
                    <m:t>e</m:t>
                  </m:r>
                </m:sub>
              </m:sSub>
            </m:oMath>
          </w:p>
        </w:tc>
      </w:tr>
      <w:tr>
        <w:tc>
          <w:tcPr/>
          <w:p>
            <w:pPr>
              <w:pStyle w:val="Compact"/>
              <w:spacing w:after="40" w:before="40"/>
              <w:jc w:val="left"/>
            </w:pPr>
            <w:r>
              <w:rPr>
                <w:sz w:val="19"/>
              </w:rPr>
              <w:t xml:space="preserve">Illumination</w:t>
            </w:r>
          </w:p>
        </w:tc>
        <w:tc>
          <w:tcPr/>
          <w:p>
            <w:pPr>
              <w:pStyle w:val="Compact"/>
              <w:spacing w:after="40" w:before="40"/>
              <w:jc w:val="left"/>
            </w:pPr>
            <w:r>
              <w:rPr>
                <w:sz w:val="19"/>
              </w:rPr>
              <w:t xml:space="preserve">extreme</w:t>
            </w:r>
            <w:r>
              <w:rPr>
                <w:sz w:val="19"/>
              </w:rPr>
              <w:t xml:space="preserve"> </w:t>
            </w:r>
            <m:oMath>
              <m:sSub>
                <m:e>
                  <m:r>
                    <m:t>f</m:t>
                  </m:r>
                </m:e>
                <m:sub>
                  <m:r>
                    <m:rPr>
                      <m:sty m:val="p"/>
                    </m:rPr>
                    <m:t>b</m:t>
                  </m:r>
                  <m:r>
                    <m:rPr>
                      <m:sty m:val="p"/>
                    </m:rPr>
                    <m:t>r</m:t>
                  </m:r>
                  <m:r>
                    <m:rPr>
                      <m:sty m:val="p"/>
                    </m:rPr>
                    <m:t>i</m:t>
                  </m:r>
                  <m:r>
                    <m:rPr>
                      <m:sty m:val="p"/>
                    </m:rPr>
                    <m:t>g</m:t>
                  </m:r>
                  <m:r>
                    <m:rPr>
                      <m:sty m:val="p"/>
                    </m:rPr>
                    <m:t>h</m:t>
                  </m:r>
                  <m:r>
                    <m:rPr>
                      <m:sty m:val="p"/>
                    </m:rPr>
                    <m:t>t</m:t>
                  </m:r>
                </m:sub>
              </m:sSub>
            </m:oMath>
            <w:r>
              <w:rPr>
                <w:sz w:val="19"/>
              </w:rPr>
              <w:t xml:space="preserve"> </w:t>
            </w:r>
            <w:r>
              <w:rPr>
                <w:sz w:val="19"/>
              </w:rPr>
              <w:t xml:space="preserve">(very dark or very bright) or low</w:t>
            </w:r>
            <w:r>
              <w:rPr>
                <w:sz w:val="19"/>
              </w:rPr>
              <w:t xml:space="preserve"> </w:t>
            </w:r>
            <m:oMath>
              <m:sSub>
                <m:e>
                  <m:r>
                    <m:t>f</m:t>
                  </m:r>
                </m:e>
                <m:sub>
                  <m:r>
                    <m:rPr>
                      <m:sty m:val="p"/>
                    </m:rPr>
                    <m:t>c</m:t>
                  </m:r>
                  <m:r>
                    <m:rPr>
                      <m:sty m:val="p"/>
                    </m:rPr>
                    <m:t>o</m:t>
                  </m:r>
                  <m:r>
                    <m:rPr>
                      <m:sty m:val="p"/>
                    </m:rPr>
                    <m:t>n</m:t>
                  </m:r>
                  <m:r>
                    <m:rPr>
                      <m:sty m:val="p"/>
                    </m:rPr>
                    <m:t>t</m:t>
                  </m:r>
                </m:sub>
              </m:sSub>
            </m:oMath>
          </w:p>
        </w:tc>
      </w:tr>
      <w:tr>
        <w:tc>
          <w:tcPr/>
          <w:p>
            <w:pPr>
              <w:pStyle w:val="Compact"/>
              <w:spacing w:after="40" w:before="40"/>
              <w:jc w:val="left"/>
            </w:pPr>
            <w:r>
              <w:rPr>
                <w:sz w:val="19"/>
              </w:rPr>
              <w:t xml:space="preserve">Reflective surface</w:t>
            </w:r>
          </w:p>
        </w:tc>
        <w:tc>
          <w:tcPr/>
          <w:p>
            <w:pPr>
              <w:pStyle w:val="Compact"/>
              <w:spacing w:after="40" w:before="40"/>
              <w:jc w:val="left"/>
            </w:pPr>
            <w:r>
              <w:rPr>
                <w:sz w:val="19"/>
              </w:rPr>
              <w:t xml:space="preserve">high</w:t>
            </w:r>
            <w:r>
              <w:rPr>
                <w:sz w:val="19"/>
              </w:rPr>
              <w:t xml:space="preserve"> </w:t>
            </w:r>
            <m:oMath>
              <m:sSub>
                <m:e>
                  <m:r>
                    <m:t>f</m:t>
                  </m:r>
                </m:e>
                <m:sub>
                  <m:r>
                    <m:rPr>
                      <m:sty m:val="p"/>
                    </m:rPr>
                    <m:t>s</m:t>
                  </m:r>
                  <m:r>
                    <m:rPr>
                      <m:sty m:val="p"/>
                    </m:rPr>
                    <m:t>p</m:t>
                  </m:r>
                  <m:r>
                    <m:rPr>
                      <m:sty m:val="p"/>
                    </m:rPr>
                    <m:t>e</m:t>
                  </m:r>
                  <m:r>
                    <m:rPr>
                      <m:sty m:val="p"/>
                    </m:rPr>
                    <m:t>c</m:t>
                  </m:r>
                </m:sub>
              </m:sSub>
            </m:oMath>
          </w:p>
        </w:tc>
      </w:tr>
      <w:tr>
        <w:tc>
          <w:tcPr/>
          <w:p>
            <w:pPr>
              <w:pStyle w:val="Compact"/>
              <w:spacing w:after="40" w:before="40"/>
              <w:jc w:val="left"/>
            </w:pPr>
            <w:r>
              <w:rPr>
                <w:sz w:val="19"/>
              </w:rPr>
              <w:t xml:space="preserve">Thin object</w:t>
            </w:r>
          </w:p>
        </w:tc>
        <w:tc>
          <w:tcPr/>
          <w:p>
            <w:pPr>
              <w:pStyle w:val="Compact"/>
              <w:spacing w:after="40" w:before="40"/>
              <w:jc w:val="left"/>
            </w:pPr>
            <w:r>
              <w:rPr>
                <w:sz w:val="19"/>
              </w:rPr>
              <w:t xml:space="preserve">narrow region aspect ratio and high structural gradient</w:t>
            </w:r>
          </w:p>
        </w:tc>
      </w:tr>
    </w:tbl>
    <w:p>
      <w:pPr>
        <w:pStyle w:val="BodyText"/>
        <w:jc w:val="both"/>
      </w:pPr>
      <w:r>
        <w:t xml:space="preserve">Attributions are cross-checked by two mechanisms. First, Pearson’s</w:t>
      </w:r>
      <w:r>
        <w:t xml:space="preserve"> </w:t>
      </w:r>
      <m:oMath>
        <m:r>
          <m:t>r</m:t>
        </m:r>
      </m:oMath>
      <w:r>
        <w:t xml:space="preserve"> </w:t>
      </w:r>
      <w:r>
        <w:t xml:space="preserve">and Spearman’s</w:t>
      </w:r>
      <w:r>
        <w:t xml:space="preserve"> </w:t>
      </w:r>
      <m:oMath>
        <m:r>
          <m:t>ρ</m:t>
        </m:r>
      </m:oMath>
      <w:r>
        <w:t xml:space="preserve"> </w:t>
      </w:r>
      <w:r>
        <w:t xml:space="preserve">quantify the relation between regional feature magnitudes and error severity over thousands of regions. Second, VEO’s automated labels are compared with human expert annotations through inter-annotator agreement,</w:t>
      </w:r>
    </w:p>
    <w:p>
      <w:pPr>
        <w:pStyle w:val="BodyText"/>
        <w:jc w:val="both"/>
      </w:pPr>
      <m:oMathPara>
        <m:oMathParaPr>
          <m:jc m:val="center"/>
        </m:oMathParaPr>
        <m:oMath>
          <m:r>
            <m:t>κ</m:t>
          </m:r>
          <m:r>
            <m:rPr>
              <m:sty m:val="p"/>
            </m:rPr>
            <m:t>=</m:t>
          </m:r>
          <m:f>
            <m:fPr>
              <m:type m:val="bar"/>
            </m:fPr>
            <m:num>
              <m:sSub>
                <m:e>
                  <m:r>
                    <m:t>p</m:t>
                  </m:r>
                </m:e>
                <m:sub>
                  <m:r>
                    <m:t>o</m:t>
                  </m:r>
                </m:sub>
              </m:sSub>
              <m:r>
                <m:rPr>
                  <m:sty m:val="p"/>
                </m:rPr>
                <m:t>−</m:t>
              </m:r>
              <m:sSub>
                <m:e>
                  <m:r>
                    <m:t>p</m:t>
                  </m:r>
                </m:e>
                <m:sub>
                  <m:r>
                    <m:t>e</m:t>
                  </m:r>
                </m:sub>
              </m:sSub>
            </m:num>
            <m:den>
              <m:r>
                <m:t>1</m:t>
              </m:r>
              <m:r>
                <m:rPr>
                  <m:sty m:val="p"/>
                </m:rPr>
                <m:t>−</m:t>
              </m:r>
              <m:sSub>
                <m:e>
                  <m:r>
                    <m:t>p</m:t>
                  </m:r>
                </m:e>
                <m:sub>
                  <m:r>
                    <m:t>e</m:t>
                  </m:r>
                </m:sub>
              </m:sSub>
            </m:den>
          </m:f>
          <m:r>
            <m:rPr>
              <m:sty m:val="p"/>
            </m:rPr>
            <m:t>,</m:t>
          </m:r>
        </m:oMath>
      </m:oMathPara>
    </w:p>
    <w:p>
      <w:pPr>
        <w:pStyle w:val="FirstParagraph"/>
        <w:jc w:val="both"/>
      </w:pPr>
      <w:r>
        <w:t xml:space="preserve">where</w:t>
      </w:r>
      <w:r>
        <w:t xml:space="preserve"> </w:t>
      </w:r>
      <m:oMath>
        <m:sSub>
          <m:e>
            <m:r>
              <m:t>p</m:t>
            </m:r>
          </m:e>
          <m:sub>
            <m:r>
              <m:t>o</m:t>
            </m:r>
          </m:sub>
        </m:sSub>
      </m:oMath>
      <w:r>
        <w:t xml:space="preserve"> </w:t>
      </w:r>
      <w:r>
        <w:t xml:space="preserve">is the observed and</w:t>
      </w:r>
      <w:r>
        <w:t xml:space="preserve"> </w:t>
      </w:r>
      <m:oMath>
        <m:sSub>
          <m:e>
            <m:r>
              <m:t>p</m:t>
            </m:r>
          </m:e>
          <m:sub>
            <m:r>
              <m:t>e</m:t>
            </m:r>
          </m:sub>
        </m:sSub>
      </m:oMath>
      <w:r>
        <w:t xml:space="preserve"> </w:t>
      </w:r>
      <w:r>
        <w:t xml:space="preserve">the chance agreement; Cohen’s</w:t>
      </w:r>
      <w:r>
        <w:t xml:space="preserve"> </w:t>
      </w:r>
      <m:oMath>
        <m:r>
          <m:t>κ</m:t>
        </m:r>
      </m:oMath>
      <w:r>
        <w:t xml:space="preserve"> [49] is used for two raters and Fleiss’</w:t>
      </w:r>
      <w:r>
        <w:t xml:space="preserve"> </w:t>
      </w:r>
      <m:oMath>
        <m:r>
          <m:t>κ</m:t>
        </m:r>
      </m:oMath>
      <w:r>
        <w:t xml:space="preserve"> [50] for more than two.</w:t>
      </w:r>
    </w:p>
    <w:bookmarkEnd w:id="34"/>
    <w:bookmarkEnd w:id="35"/>
    <w:bookmarkStart w:id="38" w:name="experimental-setup"/>
    <w:p>
      <w:pPr>
        <w:pStyle w:val="Heading1"/>
      </w:pPr>
      <w:r>
        <w:rPr>
          <w:rStyle w:val="SectionNumber"/>
        </w:rPr>
        <w:t xml:space="preserve">4</w:t>
      </w:r>
      <w:r>
        <w:tab/>
      </w:r>
      <w:r>
        <w:t xml:space="preserve">Experimental Setup</w:t>
      </w:r>
    </w:p>
    <w:bookmarkStart w:id="36" w:name="datasets-and-model"/>
    <w:p>
      <w:pPr>
        <w:pStyle w:val="Heading2"/>
      </w:pPr>
      <w:r>
        <w:rPr>
          <w:rStyle w:val="SectionNumber"/>
        </w:rPr>
        <w:t xml:space="preserve">4.1</w:t>
      </w:r>
      <w:r>
        <w:tab/>
      </w:r>
      <w:r>
        <w:t xml:space="preserve">Datasets and model</w:t>
      </w:r>
    </w:p>
    <w:p>
      <w:pPr>
        <w:pStyle w:val="FirstParagraph"/>
        <w:jc w:val="both"/>
      </w:pPr>
      <w:r>
        <w:t xml:space="preserve">We instantiate VEO on two complementary real-world benchmarks.</w:t>
      </w:r>
      <w:r>
        <w:t xml:space="preserve"> </w:t>
      </w:r>
      <w:r>
        <w:rPr>
          <w:iCs/>
          <w:i/>
        </w:rPr>
        <w:t xml:space="preserve">KITTI</w:t>
      </w:r>
      <w:r>
        <w:t xml:space="preserve"> [20]: 1,000 outdoor driving scenes with synchronized RGB imagery and sparse LiDAR-derived metric depth.</w:t>
      </w:r>
      <w:r>
        <w:t xml:space="preserve"> </w:t>
      </w:r>
      <w:r>
        <w:rPr>
          <w:iCs/>
          <w:i/>
        </w:rPr>
        <w:t xml:space="preserve">NYU Depth V2</w:t>
      </w:r>
      <w:r>
        <w:t xml:space="preserve"> [21]: indoor RGB-D sequences captured with a Microsoft Kinect, giving dense depth over cluttered rooms. Depth Anything V2 Small [10] is the candidate foundation model. Since VEO reads only standardized depth arrays (</w:t>
      </w:r>
      <w:r>
        <w:rPr>
          <w:rStyle w:val="VerbatimChar"/>
        </w:rPr>
        <w:t xml:space="preserve">.npy</w:t>
      </w:r>
      <w:r>
        <w:t xml:space="preserve">) and a configuration file (</w:t>
      </w:r>
      <w:r>
        <w:rPr>
          <w:rStyle w:val="VerbatimChar"/>
        </w:rPr>
        <w:t xml:space="preserve">config.yaml</w:t>
      </w:r>
      <w:r>
        <w:t xml:space="preserve">), other backbones, such as MiDaS/DPT [5], ZoeDepth [7], UniDepth [8], or the Base and Large variants of Depth Anything V2, can be swapped in without modifying M1–M5.</w:t>
      </w:r>
    </w:p>
    <w:bookmarkEnd w:id="36"/>
    <w:bookmarkStart w:id="37" w:name="implementation"/>
    <w:p>
      <w:pPr>
        <w:pStyle w:val="Heading2"/>
      </w:pPr>
      <w:r>
        <w:rPr>
          <w:rStyle w:val="SectionNumber"/>
        </w:rPr>
        <w:t xml:space="preserve">4.2</w:t>
      </w:r>
      <w:r>
        <w:tab/>
      </w:r>
      <w:r>
        <w:t xml:space="preserve">Implementation</w:t>
      </w:r>
    </w:p>
    <w:p>
      <w:pPr>
        <w:pStyle w:val="FirstParagraph"/>
        <w:jc w:val="both"/>
      </w:pPr>
      <w:r>
        <w:t xml:space="preserve">VEO is implemented in Python and PyTorch and run on a GPU-accelerated Google Colab environment with persistent Google Drive storage for datasets, weights, dense predictions, and error maps, and GitHub for version control. The code is organized into three decoupled packages: model inference and preprocessing; scale–shift alignment, metric computation, and error-map generation; and region-level evidence extraction and cause attribution. An integrated notebook runs the whole pipeline end to end.</w:t>
      </w:r>
    </w:p>
    <w:bookmarkEnd w:id="37"/>
    <w:bookmarkEnd w:id="38"/>
    <w:bookmarkStart w:id="42" w:name="preliminary-results-and-analysis"/>
    <w:p>
      <w:pPr>
        <w:pStyle w:val="Heading1"/>
      </w:pPr>
      <w:r>
        <w:rPr>
          <w:rStyle w:val="SectionNumber"/>
        </w:rPr>
        <w:t xml:space="preserve">5</w:t>
      </w:r>
      <w:r>
        <w:tab/>
      </w:r>
      <w:r>
        <w:t xml:space="preserve">Preliminary Results and Analysis</w:t>
      </w:r>
    </w:p>
    <w:bookmarkStart w:id="39" w:name="diagnostic-cards"/>
    <w:p>
      <w:pPr>
        <w:pStyle w:val="Heading2"/>
      </w:pPr>
      <w:r>
        <w:rPr>
          <w:rStyle w:val="SectionNumber"/>
        </w:rPr>
        <w:t xml:space="preserve">5.1</w:t>
      </w:r>
      <w:r>
        <w:tab/>
      </w:r>
      <w:r>
        <w:t xml:space="preserve">Diagnostic cards</w:t>
      </w:r>
    </w:p>
    <w:p>
      <w:pPr>
        <w:pStyle w:val="FirstParagraph"/>
        <w:jc w:val="both"/>
      </w:pPr>
      <w:r>
        <w:t xml:space="preserve">We ran M1–M4 end to end over the evaluated KITTI and NYU Depth V2 scenes and applied the M5 rules to the resulting regions; the statistical and human validation of M5 is still being completed. Instead of a single accuracy number per image, VEO produces a diagnostic card with four panels: (1) the input RGB scene, (2) the scale–shift-aligned metric depth prediction (e.g.,</w:t>
      </w:r>
      <w:r>
        <w:t xml:space="preserve"> </w:t>
      </w:r>
      <m:oMath>
        <m:sSup>
          <m:e>
            <m:r>
              <m:t>s</m:t>
            </m:r>
          </m:e>
          <m:sup>
            <m:r>
              <m:rPr>
                <m:sty m:val="p"/>
              </m:rPr>
              <m:t>*</m:t>
            </m:r>
          </m:sup>
        </m:sSup>
        <m:r>
          <m:rPr>
            <m:sty m:val="p"/>
          </m:rPr>
          <m:t>=</m:t>
        </m:r>
        <m:r>
          <m:t>9.88</m:t>
        </m:r>
      </m:oMath>
      <w:r>
        <w:t xml:space="preserve">,</w:t>
      </w:r>
      <w:r>
        <w:t xml:space="preserve"> </w:t>
      </w:r>
      <m:oMath>
        <m:sSup>
          <m:e>
            <m:r>
              <m:t>t</m:t>
            </m:r>
          </m:e>
          <m:sup>
            <m:r>
              <m:rPr>
                <m:sty m:val="p"/>
              </m:rPr>
              <m:t>*</m:t>
            </m:r>
          </m:sup>
        </m:sSup>
        <m:r>
          <m:rPr>
            <m:sty m:val="p"/>
          </m:rPr>
          <m:t>=</m:t>
        </m:r>
        <m:r>
          <m:rPr>
            <m:sty m:val="p"/>
          </m:rPr>
          <m:t>−</m:t>
        </m:r>
        <m:r>
          <m:t>2.33</m:t>
        </m:r>
      </m:oMath>
      <w:r>
        <w:t xml:space="preserve"> </w:t>
      </w:r>
      <w:r>
        <w:t xml:space="preserve">on sample KITTI scenes), (3) the sparse or dense ground-truth depth, and (4) the error map overlaid with bounding boxes and cause labels for every segmented failure region (e.g.,</w:t>
      </w:r>
      <w:r>
        <w:t xml:space="preserve"> </w:t>
      </w:r>
      <m:oMath>
        <m:r>
          <m:t>K</m:t>
        </m:r>
        <m:r>
          <m:rPr>
            <m:sty m:val="p"/>
          </m:rPr>
          <m:t>=</m:t>
        </m:r>
        <m:r>
          <m:t>5</m:t>
        </m:r>
      </m:oMath>
      <w:r>
        <w:t xml:space="preserve"> </w:t>
      </w:r>
      <w:r>
        <w:t xml:space="preserve">localized regions in sample scene</w:t>
      </w:r>
      <w:r>
        <w:t xml:space="preserve"> </w:t>
      </w:r>
      <w:r>
        <w:rPr>
          <w:rStyle w:val="VerbatimChar"/>
        </w:rPr>
        <w:t xml:space="preserve">rgb_04</w:t>
      </w:r>
      <w:r>
        <w:t xml:space="preserve">).</w:t>
      </w:r>
    </w:p>
    <w:bookmarkEnd w:id="39"/>
    <w:bookmarkStart w:id="40" w:name="recurring-failure-causes"/>
    <w:p>
      <w:pPr>
        <w:pStyle w:val="Heading2"/>
      </w:pPr>
      <w:r>
        <w:rPr>
          <w:rStyle w:val="SectionNumber"/>
        </w:rPr>
        <w:t xml:space="preserve">5.2</w:t>
      </w:r>
      <w:r>
        <w:tab/>
      </w:r>
      <w:r>
        <w:t xml:space="preserve">Recurring failure causes</w:t>
      </w:r>
    </w:p>
    <w:p>
      <w:pPr>
        <w:pStyle w:val="FirstParagraph"/>
        <w:jc w:val="both"/>
      </w:pPr>
      <w:r>
        <w:t xml:space="preserve">Across the evaluated outdoor and indoor scenes, multi-signal evidence extraction and cause assignment converged on four recurring, evidence-backed failure categories, summarized in Table 2.</w:t>
      </w:r>
    </w:p>
    <w:p>
      <w:pPr>
        <w:pStyle w:val="TableCaption"/>
        <w:keepNext/>
        <w:jc w:val="left"/>
      </w:pPr>
      <w:r>
        <w:rPr>
          <w:bCs/>
          <w:b/>
        </w:rPr>
        <w:t xml:space="preserve">Table 2.</w:t>
      </w:r>
      <w:r>
        <w:t xml:space="preserve"> </w:t>
      </w:r>
      <w:r>
        <w:t xml:space="preserve">Recurring evidence-backed failure causes identified by VEO for Depth Anything V2 Small on KITTI and NYU Depth V2.</w:t>
      </w:r>
    </w:p>
    <w:tbl>
      <w:tblPr>
        <w:tblStyle w:val="Table"/>
        <w:tblW w:type="auto" w:w="0"/>
        <w:tblLook w:firstRow="1" w:lastRow="0" w:firstColumn="0" w:lastColumn="0" w:noHBand="0" w:noVBand="0" w:val="0020"/>
        <w:jc w:val="start"/>
        <w:tblCaption w:val="Table 2. Recurring evidence-backed failure causes identified by VEO for Depth Anything V2 Small on KITTI and NYU Depth V2."/>
        <w:tblBorders>
          <w:top w:val="single" w:sz="12" w:space="0" w:color="000000"/>
          <w:bottom w:val="single" w:sz="12" w:space="0" w:color="000000"/>
          <w:insideH w:val="single" w:sz="4" w:space="0" w:color="000000"/>
        </w:tblBorders>
      </w:tblPr>
      <w:tblGrid>
        <w:gridCol w:w="2640"/>
        <w:gridCol w:w="2640"/>
        <w:gridCol w:w="2640"/>
      </w:tblGrid>
      <w:tr>
        <w:trPr>
          <w:tblHeader w:val="true"/>
        </w:trPr>
        <w:tc>
          <w:tcPr/>
          <w:p>
            <w:pPr>
              <w:pStyle w:val="Compact"/>
              <w:spacing w:after="40" w:before="40"/>
              <w:jc w:val="left"/>
            </w:pPr>
            <w:r>
              <w:rPr>
                <w:b/>
                <w:sz w:val="19"/>
              </w:rPr>
              <w:t xml:space="preserve">Failure cause</w:t>
            </w:r>
          </w:p>
        </w:tc>
        <w:tc>
          <w:tcPr/>
          <w:p>
            <w:pPr>
              <w:pStyle w:val="Compact"/>
              <w:spacing w:after="40" w:before="40"/>
              <w:jc w:val="left"/>
            </w:pPr>
            <w:r>
              <w:rPr>
                <w:b/>
                <w:sz w:val="19"/>
              </w:rPr>
              <w:t xml:space="preserve">Primary evidence signature (M4)</w:t>
            </w:r>
          </w:p>
        </w:tc>
        <w:tc>
          <w:tcPr/>
          <w:p>
            <w:pPr>
              <w:pStyle w:val="Compact"/>
              <w:spacing w:after="40" w:before="40"/>
              <w:jc w:val="left"/>
            </w:pPr>
            <w:r>
              <w:rPr>
                <w:b/>
                <w:sz w:val="19"/>
              </w:rPr>
              <w:t xml:space="preserve">Observed diagnostic behavior</w:t>
            </w:r>
          </w:p>
        </w:tc>
      </w:tr>
      <w:tr>
        <w:tc>
          <w:tcPr/>
          <w:p>
            <w:pPr>
              <w:pStyle w:val="Compact"/>
              <w:spacing w:after="40" w:before="40"/>
              <w:jc w:val="left"/>
            </w:pPr>
            <w:r>
              <w:rPr>
                <w:sz w:val="19"/>
              </w:rPr>
              <w:t xml:space="preserve">Sharp edges (occlusion)</w:t>
            </w:r>
          </w:p>
        </w:tc>
        <w:tc>
          <w:tcPr/>
          <w:p>
            <w:pPr>
              <w:pStyle w:val="Compact"/>
              <w:spacing w:after="40" w:before="40"/>
              <w:jc w:val="left"/>
            </w:pPr>
            <w:r>
              <w:rPr>
                <w:sz w:val="19"/>
              </w:rPr>
              <w:t xml:space="preserve">High edge density + high depth gradient / discontinuity</w:t>
            </w:r>
          </w:p>
        </w:tc>
        <w:tc>
          <w:tcPr/>
          <w:p>
            <w:pPr>
              <w:pStyle w:val="Compact"/>
              <w:spacing w:after="40" w:before="40"/>
              <w:jc w:val="left"/>
            </w:pPr>
            <w:r>
              <w:rPr>
                <w:sz w:val="19"/>
              </w:rPr>
              <w:t xml:space="preserve">Sharp foreground–background transitions are not resolved, producing localized error spikes where objects overlap or occlude background structures.</w:t>
            </w:r>
          </w:p>
        </w:tc>
      </w:tr>
      <w:tr>
        <w:tc>
          <w:tcPr/>
          <w:p>
            <w:pPr>
              <w:pStyle w:val="Compact"/>
              <w:spacing w:after="40" w:before="40"/>
              <w:jc w:val="left"/>
            </w:pPr>
            <w:r>
              <w:rPr>
                <w:sz w:val="19"/>
              </w:rPr>
              <w:t xml:space="preserve">Plain surfaces (texture)</w:t>
            </w:r>
          </w:p>
        </w:tc>
        <w:tc>
          <w:tcPr/>
          <w:p>
            <w:pPr>
              <w:pStyle w:val="Compact"/>
              <w:spacing w:after="40" w:before="40"/>
              <w:jc w:val="left"/>
            </w:pPr>
            <w:r>
              <w:rPr>
                <w:sz w:val="19"/>
              </w:rPr>
              <w:t xml:space="preserve">Low local texture variance + low edge density</w:t>
            </w:r>
          </w:p>
        </w:tc>
        <w:tc>
          <w:tcPr/>
          <w:p>
            <w:pPr>
              <w:pStyle w:val="Compact"/>
              <w:spacing w:after="40" w:before="40"/>
              <w:jc w:val="left"/>
            </w:pPr>
            <w:r>
              <w:rPr>
                <w:sz w:val="19"/>
              </w:rPr>
              <w:t xml:space="preserve">Featureless walls, uniform road pavement, and homogeneous sky or surface regions remove local visual cues, increasing scale ambiguity and drift.</w:t>
            </w:r>
          </w:p>
        </w:tc>
      </w:tr>
      <w:tr>
        <w:tc>
          <w:tcPr/>
          <w:p>
            <w:pPr>
              <w:pStyle w:val="Compact"/>
              <w:spacing w:after="40" w:before="40"/>
              <w:jc w:val="left"/>
            </w:pPr>
            <w:r>
              <w:rPr>
                <w:sz w:val="19"/>
              </w:rPr>
              <w:t xml:space="preserve">Bad lighting (illumination)</w:t>
            </w:r>
          </w:p>
        </w:tc>
        <w:tc>
          <w:tcPr/>
          <w:p>
            <w:pPr>
              <w:pStyle w:val="Compact"/>
              <w:spacing w:after="40" w:before="40"/>
              <w:jc w:val="left"/>
            </w:pPr>
            <w:r>
              <w:rPr>
                <w:sz w:val="19"/>
              </w:rPr>
              <w:t xml:space="preserve">Extreme low/high mean brightness + low local contrast, or high specularity</w:t>
            </w:r>
          </w:p>
        </w:tc>
        <w:tc>
          <w:tcPr/>
          <w:p>
            <w:pPr>
              <w:pStyle w:val="Compact"/>
              <w:spacing w:after="40" w:before="40"/>
              <w:jc w:val="left"/>
            </w:pPr>
            <w:r>
              <w:rPr>
                <w:sz w:val="19"/>
              </w:rPr>
              <w:t xml:space="preserve">Deep shadows beneath vehicles, severe backlighting, and overexposed reflective regions distort the visual input and induce localized depth distortions.</w:t>
            </w:r>
          </w:p>
        </w:tc>
      </w:tr>
      <w:tr>
        <w:tc>
          <w:tcPr/>
          <w:p>
            <w:pPr>
              <w:pStyle w:val="Compact"/>
              <w:spacing w:after="40" w:before="40"/>
              <w:jc w:val="left"/>
            </w:pPr>
            <w:r>
              <w:rPr>
                <w:sz w:val="19"/>
              </w:rPr>
              <w:t xml:space="preserve">Thin objects (fine structures)</w:t>
            </w:r>
          </w:p>
        </w:tc>
        <w:tc>
          <w:tcPr/>
          <w:p>
            <w:pPr>
              <w:pStyle w:val="Compact"/>
              <w:spacing w:after="40" w:before="40"/>
              <w:jc w:val="left"/>
            </w:pPr>
            <w:r>
              <w:rPr>
                <w:sz w:val="19"/>
              </w:rPr>
              <w:t xml:space="preserve">High local edge density + narrow spatial cluster geometry</w:t>
            </w:r>
          </w:p>
        </w:tc>
        <w:tc>
          <w:tcPr/>
          <w:p>
            <w:pPr>
              <w:pStyle w:val="Compact"/>
              <w:spacing w:after="40" w:before="40"/>
              <w:jc w:val="left"/>
            </w:pPr>
            <w:r>
              <w:rPr>
                <w:sz w:val="19"/>
              </w:rPr>
              <w:t xml:space="preserve">Narrow structures such as distant street poles, traffic signs, railings, and tree branches are frequently missed, smoothed over, or merged into the background.</w:t>
            </w:r>
          </w:p>
        </w:tc>
      </w:tr>
    </w:tbl>
    <w:bookmarkEnd w:id="40"/>
    <w:bookmarkStart w:id="41" w:name="discussion-and-limitations"/>
    <w:p>
      <w:pPr>
        <w:pStyle w:val="Heading2"/>
      </w:pPr>
      <w:r>
        <w:rPr>
          <w:rStyle w:val="SectionNumber"/>
        </w:rPr>
        <w:t xml:space="preserve">5.3</w:t>
      </w:r>
      <w:r>
        <w:tab/>
      </w:r>
      <w:r>
        <w:t xml:space="preserve">Discussion and limitations</w:t>
      </w:r>
    </w:p>
    <w:p>
      <w:pPr>
        <w:pStyle w:val="FirstParagraph"/>
        <w:jc w:val="both"/>
      </w:pPr>
      <w:r>
        <w:t xml:space="preserve">These findings indicate that even a state-of-the-art foundation model such as Depth Anything V2 shows systematic, localized weaknesses tied to geometric discontinuities and photometric extremes, which remain invisible when a model is judged only by global RMSE or AbsRel. The results are preliminary and qualitative: we do not yet report attribution accuracy, agreement with human annotators, or correlation statistics, and only one model (Depth Anything V2 Small) has been analyzed. The cause rules also depend on configurable thresholds whose sensitivity has not been studied. These points define the next stage of work.</w:t>
      </w:r>
    </w:p>
    <w:bookmarkEnd w:id="41"/>
    <w:bookmarkEnd w:id="42"/>
    <w:bookmarkStart w:id="43" w:name="conclusion-and-future-work"/>
    <w:p>
      <w:pPr>
        <w:pStyle w:val="Heading1"/>
      </w:pPr>
      <w:r>
        <w:rPr>
          <w:rStyle w:val="SectionNumber"/>
        </w:rPr>
        <w:t xml:space="preserve">6</w:t>
      </w:r>
      <w:r>
        <w:tab/>
      </w:r>
      <w:r>
        <w:t xml:space="preserve">Conclusion and Future Work</w:t>
      </w:r>
    </w:p>
    <w:p>
      <w:pPr>
        <w:pStyle w:val="FirstParagraph"/>
        <w:jc w:val="both"/>
      </w:pPr>
      <w:r>
        <w:t xml:space="preserve">We introduced the Vision Error Observatory, a model-agnostic diagnostic and observability framework that turns depth evaluation from a single accuracy number into an interpretable, spatial root-cause analysis. By combining scale–shift alignment (M1), pixel-level error maps (M2), connected-components failure segmentation (M3), six-signal evidence extraction (M4), and evidence-based cause attribution with a statistical validation protocol (M5), VEO localized and attributed recurring failures of Depth Anything V2 on KITTI and NYU Depth V2 to sharp occlusion boundaries, plain low-texture surfaces, adverse lighting, and thin structures.</w:t>
      </w:r>
    </w:p>
    <w:p>
      <w:pPr>
        <w:pStyle w:val="BodyText"/>
        <w:jc w:val="both"/>
      </w:pPr>
      <w:r>
        <w:t xml:space="preserve">Ongoing work has four parts. (i) </w:t>
      </w:r>
      <w:r>
        <w:rPr>
          <w:iCs/>
          <w:i/>
        </w:rPr>
        <w:t xml:space="preserve">Completing M5 validation:</w:t>
      </w:r>
      <w:r>
        <w:t xml:space="preserve"> </w:t>
      </w:r>
      <w:r>
        <w:t xml:space="preserve">large-scale Pearson and Spearman correlation and regression feature-importance studies over aggregated region records, plus Cohen’s kappa against human expert failure annotations. (ii) </w:t>
      </w:r>
      <w:r>
        <w:rPr>
          <w:iCs/>
          <w:i/>
        </w:rPr>
        <w:t xml:space="preserve">Cross-model comparison:</w:t>
      </w:r>
      <w:r>
        <w:t xml:space="preserve"> </w:t>
      </w:r>
      <w:r>
        <w:t xml:space="preserve">running Depth Anything V2, MiDaS/DPT, and ZoeDepth/UniDepth through the identical pipeline to test whether architectures fail in the same regions or show distinct failure signatures. (iii) </w:t>
      </w:r>
      <w:r>
        <w:rPr>
          <w:iCs/>
          <w:i/>
        </w:rPr>
        <w:t xml:space="preserve">Capacity ablation:</w:t>
      </w:r>
      <w:r>
        <w:t xml:space="preserve"> </w:t>
      </w:r>
      <w:r>
        <w:t xml:space="preserve">comparing the Small, Base, and Large variants of Depth Anything V2 to see whether more parameters mitigate specific failure modes or mainly improve global scale alignment. (iv) </w:t>
      </w:r>
      <w:r>
        <w:rPr>
          <w:iCs/>
          <w:i/>
        </w:rPr>
        <w:t xml:space="preserve">Domain stratification:</w:t>
      </w:r>
      <w:r>
        <w:t xml:space="preserve"> </w:t>
      </w:r>
      <w:r>
        <w:t xml:space="preserve">grouping results by indoor versus outdoor, urban versus natural scenes, and photometric condition to produce interactive diagnostic reports and dashboards.</w:t>
      </w:r>
    </w:p>
    <w:bookmarkEnd w:id="43"/>
    <w:bookmarkStart w:id="44" w:name="references"/>
    <w:p>
      <w:pPr>
        <w:pStyle w:val="Heading1"/>
      </w:pPr>
      <w:r>
        <w:t xml:space="preserve">References</w:t>
      </w:r>
    </w:p>
    <w:p>
      <w:pPr>
        <w:pStyle w:val="FirstParagraph"/>
        <w:spacing w:after="40"/>
        <w:ind w:left="510" w:hanging="510"/>
        <w:jc w:val="both"/>
      </w:pPr>
      <w:r>
        <w:rPr>
          <w:sz w:val="19"/>
        </w:rPr>
        <w:t xml:space="preserve">[1] U. Rajapaksha, F. Sohel, H. Laga, D. Diepeveen, and M. Bennamoun,</w:t>
      </w:r>
      <w:r>
        <w:rPr>
          <w:sz w:val="19"/>
        </w:rPr>
        <w:t xml:space="preserve"> </w:t>
      </w:r>
      <w:r>
        <w:rPr>
          <w:sz w:val="19"/>
        </w:rPr>
        <w:t xml:space="preserve">“</w:t>
      </w:r>
      <w:r>
        <w:rPr>
          <w:sz w:val="19"/>
        </w:rPr>
        <w:t xml:space="preserve">Deep learning-based depth estimation methods from monocular image and videos: A comprehensive survey,</w:t>
      </w:r>
      <w:r>
        <w:rPr>
          <w:sz w:val="19"/>
        </w:rPr>
        <w:t xml:space="preserve">”</w:t>
      </w:r>
      <w:r>
        <w:rPr>
          <w:sz w:val="19"/>
        </w:rPr>
        <w:t xml:space="preserve"> </w:t>
      </w:r>
      <w:r>
        <w:rPr>
          <w:iCs/>
          <w:i/>
          <w:sz w:val="19"/>
        </w:rPr>
        <w:t xml:space="preserve">ACM Comput. Surv.</w:t>
      </w:r>
      <w:r>
        <w:rPr>
          <w:sz w:val="19"/>
        </w:rPr>
        <w:t xml:space="preserve">, vol. 56, no. 12, Art. 315, 2024, doi: 10.1145/3677327.</w:t>
      </w:r>
    </w:p>
    <w:p>
      <w:pPr>
        <w:pStyle w:val="BodyText"/>
        <w:spacing w:after="40"/>
        <w:ind w:left="510" w:hanging="510"/>
        <w:jc w:val="both"/>
      </w:pPr>
      <w:r>
        <w:rPr>
          <w:sz w:val="19"/>
        </w:rPr>
        <w:t xml:space="preserve">[2] Z. Xu</w:t>
      </w:r>
      <w:r>
        <w:rPr>
          <w:sz w:val="19"/>
        </w:rPr>
        <w:t xml:space="preserve"> </w:t>
      </w:r>
      <w:r>
        <w:rPr>
          <w:iCs/>
          <w:i/>
          <w:sz w:val="19"/>
        </w:rPr>
        <w:t xml:space="preserve">et al.</w:t>
      </w:r>
      <w:r>
        <w:rPr>
          <w:sz w:val="19"/>
        </w:rPr>
        <w:t xml:space="preserve">,</w:t>
      </w:r>
      <w:r>
        <w:rPr>
          <w:sz w:val="19"/>
        </w:rPr>
        <w:t xml:space="preserve"> </w:t>
      </w:r>
      <w:r>
        <w:rPr>
          <w:sz w:val="19"/>
        </w:rPr>
        <w:t xml:space="preserve">“</w:t>
      </w:r>
      <w:r>
        <w:rPr>
          <w:sz w:val="19"/>
        </w:rPr>
        <w:t xml:space="preserve">Towards depth foundation models: Recent trends in vision-based depth estimation,</w:t>
      </w:r>
      <w:r>
        <w:rPr>
          <w:sz w:val="19"/>
        </w:rPr>
        <w:t xml:space="preserve">”</w:t>
      </w:r>
      <w:r>
        <w:rPr>
          <w:sz w:val="19"/>
        </w:rPr>
        <w:t xml:space="preserve"> </w:t>
      </w:r>
      <w:r>
        <w:rPr>
          <w:iCs/>
          <w:i/>
          <w:sz w:val="19"/>
        </w:rPr>
        <w:t xml:space="preserve">Comput. Vis. Media</w:t>
      </w:r>
      <w:r>
        <w:rPr>
          <w:sz w:val="19"/>
        </w:rPr>
        <w:t xml:space="preserve">, vol. 12, no. 2, pp. 243–271, 2026, doi: 10.26599/CVM.2025.9450517.</w:t>
      </w:r>
    </w:p>
    <w:p>
      <w:pPr>
        <w:pStyle w:val="BodyText"/>
        <w:spacing w:after="40"/>
        <w:ind w:left="510" w:hanging="510"/>
        <w:jc w:val="both"/>
      </w:pPr>
      <w:r>
        <w:rPr>
          <w:sz w:val="19"/>
        </w:rPr>
        <w:t xml:space="preserve">[3] D. Eigen, C. Puhrsch, and R. Fergus,</w:t>
      </w:r>
      <w:r>
        <w:rPr>
          <w:sz w:val="19"/>
        </w:rPr>
        <w:t xml:space="preserve"> </w:t>
      </w:r>
      <w:r>
        <w:rPr>
          <w:sz w:val="19"/>
        </w:rPr>
        <w:t xml:space="preserve">“</w:t>
      </w:r>
      <w:r>
        <w:rPr>
          <w:sz w:val="19"/>
        </w:rPr>
        <w:t xml:space="preserve">Depth map prediction from a single image using a multi-scale deep network,</w:t>
      </w:r>
      <w:r>
        <w:rPr>
          <w:sz w:val="19"/>
        </w:rPr>
        <w:t xml:space="preserve">”</w:t>
      </w:r>
      <w:r>
        <w:rPr>
          <w:sz w:val="19"/>
        </w:rPr>
        <w:t xml:space="preserve"> </w:t>
      </w:r>
      <w:r>
        <w:rPr>
          <w:sz w:val="19"/>
        </w:rPr>
        <w:t xml:space="preserve">in</w:t>
      </w:r>
      <w:r>
        <w:rPr>
          <w:sz w:val="19"/>
        </w:rPr>
        <w:t xml:space="preserve"> </w:t>
      </w:r>
      <w:r>
        <w:rPr>
          <w:iCs/>
          <w:i/>
          <w:sz w:val="19"/>
        </w:rPr>
        <w:t xml:space="preserve">Adv. Neural Inf. Process. Syst. (NeurIPS)</w:t>
      </w:r>
      <w:r>
        <w:rPr>
          <w:sz w:val="19"/>
        </w:rPr>
        <w:t xml:space="preserve">, 2014.</w:t>
      </w:r>
    </w:p>
    <w:p>
      <w:pPr>
        <w:pStyle w:val="BodyText"/>
        <w:spacing w:after="40"/>
        <w:ind w:left="510" w:hanging="510"/>
        <w:jc w:val="both"/>
      </w:pPr>
      <w:r>
        <w:rPr>
          <w:sz w:val="19"/>
        </w:rPr>
        <w:t xml:space="preserve">[4] S. F. Bhat, I. Alhashim, and P. Wonka,</w:t>
      </w:r>
      <w:r>
        <w:rPr>
          <w:sz w:val="19"/>
        </w:rPr>
        <w:t xml:space="preserve"> </w:t>
      </w:r>
      <w:r>
        <w:rPr>
          <w:sz w:val="19"/>
        </w:rPr>
        <w:t xml:space="preserve">“</w:t>
      </w:r>
      <w:r>
        <w:rPr>
          <w:sz w:val="19"/>
        </w:rPr>
        <w:t xml:space="preserve">AdaBins: Depth estimation using adaptive bins,</w:t>
      </w:r>
      <w:r>
        <w:rPr>
          <w:sz w:val="19"/>
        </w:rPr>
        <w:t xml:space="preserve">”</w:t>
      </w:r>
      <w:r>
        <w:rPr>
          <w:sz w:val="19"/>
        </w:rPr>
        <w:t xml:space="preserve"> </w:t>
      </w:r>
      <w:r>
        <w:rPr>
          <w:sz w:val="19"/>
        </w:rPr>
        <w:t xml:space="preserve">in</w:t>
      </w:r>
      <w:r>
        <w:rPr>
          <w:sz w:val="19"/>
        </w:rPr>
        <w:t xml:space="preserve"> </w:t>
      </w:r>
      <w:r>
        <w:rPr>
          <w:iCs/>
          <w:i/>
          <w:sz w:val="19"/>
        </w:rPr>
        <w:t xml:space="preserve">Proc. IEEE/CVF CVPR</w:t>
      </w:r>
      <w:r>
        <w:rPr>
          <w:sz w:val="19"/>
        </w:rPr>
        <w:t xml:space="preserve">, 2021, doi: 10.1109/CVPR46437.2021.00400.</w:t>
      </w:r>
    </w:p>
    <w:p>
      <w:pPr>
        <w:pStyle w:val="BodyText"/>
        <w:spacing w:after="40"/>
        <w:ind w:left="510" w:hanging="510"/>
        <w:jc w:val="both"/>
      </w:pPr>
      <w:r>
        <w:rPr>
          <w:sz w:val="19"/>
        </w:rPr>
        <w:t xml:space="preserve">[5] R. Ranftl, A. Bochkovskiy, and V. Koltun,</w:t>
      </w:r>
      <w:r>
        <w:rPr>
          <w:sz w:val="19"/>
        </w:rPr>
        <w:t xml:space="preserve"> </w:t>
      </w:r>
      <w:r>
        <w:rPr>
          <w:sz w:val="19"/>
        </w:rPr>
        <w:t xml:space="preserve">“</w:t>
      </w:r>
      <w:r>
        <w:rPr>
          <w:sz w:val="19"/>
        </w:rPr>
        <w:t xml:space="preserve">Vision transformers for dense prediction,</w:t>
      </w:r>
      <w:r>
        <w:rPr>
          <w:sz w:val="19"/>
        </w:rPr>
        <w:t xml:space="preserve">”</w:t>
      </w:r>
      <w:r>
        <w:rPr>
          <w:sz w:val="19"/>
        </w:rPr>
        <w:t xml:space="preserve"> </w:t>
      </w:r>
      <w:r>
        <w:rPr>
          <w:sz w:val="19"/>
        </w:rPr>
        <w:t xml:space="preserve">in</w:t>
      </w:r>
      <w:r>
        <w:rPr>
          <w:sz w:val="19"/>
        </w:rPr>
        <w:t xml:space="preserve"> </w:t>
      </w:r>
      <w:r>
        <w:rPr>
          <w:iCs/>
          <w:i/>
          <w:sz w:val="19"/>
        </w:rPr>
        <w:t xml:space="preserve">Proc. IEEE/CVF ICCV</w:t>
      </w:r>
      <w:r>
        <w:rPr>
          <w:sz w:val="19"/>
        </w:rPr>
        <w:t xml:space="preserve">, 2021.</w:t>
      </w:r>
    </w:p>
    <w:p>
      <w:pPr>
        <w:pStyle w:val="BodyText"/>
        <w:spacing w:after="40"/>
        <w:ind w:left="510" w:hanging="510"/>
        <w:jc w:val="both"/>
      </w:pPr>
      <w:r>
        <w:rPr>
          <w:sz w:val="19"/>
        </w:rPr>
        <w:t xml:space="preserve">[6] B. Ke, A. Obukhov, S. Huang, N. Metzger, R. C. Daudt, and K. Schindler,</w:t>
      </w:r>
      <w:r>
        <w:rPr>
          <w:sz w:val="19"/>
        </w:rPr>
        <w:t xml:space="preserve"> </w:t>
      </w:r>
      <w:r>
        <w:rPr>
          <w:sz w:val="19"/>
        </w:rPr>
        <w:t xml:space="preserve">“</w:t>
      </w:r>
      <w:r>
        <w:rPr>
          <w:sz w:val="19"/>
        </w:rPr>
        <w:t xml:space="preserve">Repurposing diffusion-based image generators for monocular depth estimation,</w:t>
      </w:r>
      <w:r>
        <w:rPr>
          <w:sz w:val="19"/>
        </w:rPr>
        <w:t xml:space="preserve">”</w:t>
      </w:r>
      <w:r>
        <w:rPr>
          <w:sz w:val="19"/>
        </w:rPr>
        <w:t xml:space="preserve"> </w:t>
      </w:r>
      <w:r>
        <w:rPr>
          <w:sz w:val="19"/>
        </w:rPr>
        <w:t xml:space="preserve">in</w:t>
      </w:r>
      <w:r>
        <w:rPr>
          <w:sz w:val="19"/>
        </w:rPr>
        <w:t xml:space="preserve"> </w:t>
      </w:r>
      <w:r>
        <w:rPr>
          <w:iCs/>
          <w:i/>
          <w:sz w:val="19"/>
        </w:rPr>
        <w:t xml:space="preserve">Proc. IEEE/CVF CVPR</w:t>
      </w:r>
      <w:r>
        <w:rPr>
          <w:sz w:val="19"/>
        </w:rPr>
        <w:t xml:space="preserve">, 2024.</w:t>
      </w:r>
    </w:p>
    <w:p>
      <w:pPr>
        <w:pStyle w:val="BodyText"/>
        <w:spacing w:after="40"/>
        <w:ind w:left="510" w:hanging="510"/>
        <w:jc w:val="both"/>
      </w:pPr>
      <w:r>
        <w:rPr>
          <w:sz w:val="19"/>
        </w:rPr>
        <w:t xml:space="preserve">[7] S. F. Bhat, R. Birkl, D. Wofk, P. Wonka, and M. Müller,</w:t>
      </w:r>
      <w:r>
        <w:rPr>
          <w:sz w:val="19"/>
        </w:rPr>
        <w:t xml:space="preserve"> </w:t>
      </w:r>
      <w:r>
        <w:rPr>
          <w:sz w:val="19"/>
        </w:rPr>
        <w:t xml:space="preserve">“</w:t>
      </w:r>
      <w:r>
        <w:rPr>
          <w:sz w:val="19"/>
        </w:rPr>
        <w:t xml:space="preserve">ZoeDepth: Zero-shot transfer by combining relative and metric depth,</w:t>
      </w:r>
      <w:r>
        <w:rPr>
          <w:sz w:val="19"/>
        </w:rPr>
        <w:t xml:space="preserve">”</w:t>
      </w:r>
      <w:r>
        <w:rPr>
          <w:sz w:val="19"/>
        </w:rPr>
        <w:t xml:space="preserve"> </w:t>
      </w:r>
      <w:r>
        <w:rPr>
          <w:sz w:val="19"/>
        </w:rPr>
        <w:t xml:space="preserve">arXiv:2302.12288, 2023.</w:t>
      </w:r>
    </w:p>
    <w:p>
      <w:pPr>
        <w:pStyle w:val="BodyText"/>
        <w:spacing w:after="40"/>
        <w:ind w:left="510" w:hanging="510"/>
        <w:jc w:val="both"/>
      </w:pPr>
      <w:r>
        <w:rPr>
          <w:sz w:val="19"/>
        </w:rPr>
        <w:t xml:space="preserve">[8] L. Piccinelli, Y.-H. Yang, C. Sakaridis, M. Segu, D. Dai, L. Van Gool, and F. Yu,</w:t>
      </w:r>
      <w:r>
        <w:rPr>
          <w:sz w:val="19"/>
        </w:rPr>
        <w:t xml:space="preserve"> </w:t>
      </w:r>
      <w:r>
        <w:rPr>
          <w:sz w:val="19"/>
        </w:rPr>
        <w:t xml:space="preserve">“</w:t>
      </w:r>
      <w:r>
        <w:rPr>
          <w:sz w:val="19"/>
        </w:rPr>
        <w:t xml:space="preserve">UniDepth: Universal monocular metric depth estimation,</w:t>
      </w:r>
      <w:r>
        <w:rPr>
          <w:sz w:val="19"/>
        </w:rPr>
        <w:t xml:space="preserve">”</w:t>
      </w:r>
      <w:r>
        <w:rPr>
          <w:sz w:val="19"/>
        </w:rPr>
        <w:t xml:space="preserve"> </w:t>
      </w:r>
      <w:r>
        <w:rPr>
          <w:sz w:val="19"/>
        </w:rPr>
        <w:t xml:space="preserve">in</w:t>
      </w:r>
      <w:r>
        <w:rPr>
          <w:sz w:val="19"/>
        </w:rPr>
        <w:t xml:space="preserve"> </w:t>
      </w:r>
      <w:r>
        <w:rPr>
          <w:iCs/>
          <w:i/>
          <w:sz w:val="19"/>
        </w:rPr>
        <w:t xml:space="preserve">Proc. IEEE/CVF CVPR</w:t>
      </w:r>
      <w:r>
        <w:rPr>
          <w:sz w:val="19"/>
        </w:rPr>
        <w:t xml:space="preserve">, 2024.</w:t>
      </w:r>
    </w:p>
    <w:p>
      <w:pPr>
        <w:pStyle w:val="BodyText"/>
        <w:spacing w:after="40"/>
        <w:ind w:left="510" w:hanging="510"/>
        <w:jc w:val="both"/>
      </w:pPr>
      <w:r>
        <w:rPr>
          <w:sz w:val="19"/>
        </w:rPr>
        <w:t xml:space="preserve">[9] W. Yin</w:t>
      </w:r>
      <w:r>
        <w:rPr>
          <w:sz w:val="19"/>
        </w:rPr>
        <w:t xml:space="preserve"> </w:t>
      </w:r>
      <w:r>
        <w:rPr>
          <w:iCs/>
          <w:i/>
          <w:sz w:val="19"/>
        </w:rPr>
        <w:t xml:space="preserve">et al.</w:t>
      </w:r>
      <w:r>
        <w:rPr>
          <w:sz w:val="19"/>
        </w:rPr>
        <w:t xml:space="preserve">,</w:t>
      </w:r>
      <w:r>
        <w:rPr>
          <w:sz w:val="19"/>
        </w:rPr>
        <w:t xml:space="preserve"> </w:t>
      </w:r>
      <w:r>
        <w:rPr>
          <w:sz w:val="19"/>
        </w:rPr>
        <w:t xml:space="preserve">“</w:t>
      </w:r>
      <w:r>
        <w:rPr>
          <w:sz w:val="19"/>
        </w:rPr>
        <w:t xml:space="preserve">Metric3D: Towards zero-shot metric 3D prediction from a single image,</w:t>
      </w:r>
      <w:r>
        <w:rPr>
          <w:sz w:val="19"/>
        </w:rPr>
        <w:t xml:space="preserve">”</w:t>
      </w:r>
      <w:r>
        <w:rPr>
          <w:sz w:val="19"/>
        </w:rPr>
        <w:t xml:space="preserve"> </w:t>
      </w:r>
      <w:r>
        <w:rPr>
          <w:sz w:val="19"/>
        </w:rPr>
        <w:t xml:space="preserve">in</w:t>
      </w:r>
      <w:r>
        <w:rPr>
          <w:sz w:val="19"/>
        </w:rPr>
        <w:t xml:space="preserve"> </w:t>
      </w:r>
      <w:r>
        <w:rPr>
          <w:iCs/>
          <w:i/>
          <w:sz w:val="19"/>
        </w:rPr>
        <w:t xml:space="preserve">Proc. IEEE/CVF ICCV</w:t>
      </w:r>
      <w:r>
        <w:rPr>
          <w:sz w:val="19"/>
        </w:rPr>
        <w:t xml:space="preserve">, 2023.</w:t>
      </w:r>
    </w:p>
    <w:p>
      <w:pPr>
        <w:pStyle w:val="BodyText"/>
        <w:spacing w:after="40"/>
        <w:ind w:left="510" w:hanging="510"/>
        <w:jc w:val="both"/>
      </w:pPr>
      <w:r>
        <w:rPr>
          <w:sz w:val="19"/>
        </w:rPr>
        <w:t xml:space="preserve">[10] L. Yang, B. Kang, Z. Huang, Z. Zhao, X. Xu, J. Feng, and H. Zhao,</w:t>
      </w:r>
      <w:r>
        <w:rPr>
          <w:sz w:val="19"/>
        </w:rPr>
        <w:t xml:space="preserve"> </w:t>
      </w:r>
      <w:r>
        <w:rPr>
          <w:sz w:val="19"/>
        </w:rPr>
        <w:t xml:space="preserve">“</w:t>
      </w:r>
      <w:r>
        <w:rPr>
          <w:sz w:val="19"/>
        </w:rPr>
        <w:t xml:space="preserve">Depth Anything V2,</w:t>
      </w:r>
      <w:r>
        <w:rPr>
          <w:sz w:val="19"/>
        </w:rPr>
        <w:t xml:space="preserve">”</w:t>
      </w:r>
      <w:r>
        <w:rPr>
          <w:sz w:val="19"/>
        </w:rPr>
        <w:t xml:space="preserve"> </w:t>
      </w:r>
      <w:r>
        <w:rPr>
          <w:sz w:val="19"/>
        </w:rPr>
        <w:t xml:space="preserve">in</w:t>
      </w:r>
      <w:r>
        <w:rPr>
          <w:sz w:val="19"/>
        </w:rPr>
        <w:t xml:space="preserve"> </w:t>
      </w:r>
      <w:r>
        <w:rPr>
          <w:iCs/>
          <w:i/>
          <w:sz w:val="19"/>
        </w:rPr>
        <w:t xml:space="preserve">Adv. Neural Inf. Process. Syst. (NeurIPS)</w:t>
      </w:r>
      <w:r>
        <w:rPr>
          <w:sz w:val="19"/>
        </w:rPr>
        <w:t xml:space="preserve">, 2024.</w:t>
      </w:r>
    </w:p>
    <w:p>
      <w:pPr>
        <w:pStyle w:val="BodyText"/>
        <w:spacing w:after="40"/>
        <w:ind w:left="510" w:hanging="510"/>
        <w:jc w:val="both"/>
      </w:pPr>
      <w:r>
        <w:rPr>
          <w:sz w:val="19"/>
        </w:rPr>
        <w:t xml:space="preserve">[11] L. Yang, B. Kang, Z. Huang, X. Xu, J. Feng, and H. Zhao,</w:t>
      </w:r>
      <w:r>
        <w:rPr>
          <w:sz w:val="19"/>
        </w:rPr>
        <w:t xml:space="preserve"> </w:t>
      </w:r>
      <w:r>
        <w:rPr>
          <w:sz w:val="19"/>
        </w:rPr>
        <w:t xml:space="preserve">“</w:t>
      </w:r>
      <w:r>
        <w:rPr>
          <w:sz w:val="19"/>
        </w:rPr>
        <w:t xml:space="preserve">Depth Anything: Unleashing the power of large-scale unlabeled data,</w:t>
      </w:r>
      <w:r>
        <w:rPr>
          <w:sz w:val="19"/>
        </w:rPr>
        <w:t xml:space="preserve">”</w:t>
      </w:r>
      <w:r>
        <w:rPr>
          <w:sz w:val="19"/>
        </w:rPr>
        <w:t xml:space="preserve"> </w:t>
      </w:r>
      <w:r>
        <w:rPr>
          <w:sz w:val="19"/>
        </w:rPr>
        <w:t xml:space="preserve">in</w:t>
      </w:r>
      <w:r>
        <w:rPr>
          <w:sz w:val="19"/>
        </w:rPr>
        <w:t xml:space="preserve"> </w:t>
      </w:r>
      <w:r>
        <w:rPr>
          <w:iCs/>
          <w:i/>
          <w:sz w:val="19"/>
        </w:rPr>
        <w:t xml:space="preserve">Proc. IEEE/CVF CVPR</w:t>
      </w:r>
      <w:r>
        <w:rPr>
          <w:sz w:val="19"/>
        </w:rPr>
        <w:t xml:space="preserve">, 2024.</w:t>
      </w:r>
    </w:p>
    <w:p>
      <w:pPr>
        <w:pStyle w:val="BodyText"/>
        <w:spacing w:after="40"/>
        <w:ind w:left="510" w:hanging="510"/>
        <w:jc w:val="both"/>
      </w:pPr>
      <w:r>
        <w:rPr>
          <w:sz w:val="19"/>
        </w:rPr>
        <w:t xml:space="preserve">[12] H. M. Shanto</w:t>
      </w:r>
      <w:r>
        <w:rPr>
          <w:sz w:val="19"/>
        </w:rPr>
        <w:t xml:space="preserve"> </w:t>
      </w:r>
      <w:r>
        <w:rPr>
          <w:iCs/>
          <w:i/>
          <w:sz w:val="19"/>
        </w:rPr>
        <w:t xml:space="preserve">et al.</w:t>
      </w:r>
      <w:r>
        <w:rPr>
          <w:sz w:val="19"/>
        </w:rPr>
        <w:t xml:space="preserve">,</w:t>
      </w:r>
      <w:r>
        <w:rPr>
          <w:sz w:val="19"/>
        </w:rPr>
        <w:t xml:space="preserve"> </w:t>
      </w:r>
      <w:r>
        <w:rPr>
          <w:sz w:val="19"/>
        </w:rPr>
        <w:t xml:space="preserve">“</w:t>
      </w:r>
      <w:r>
        <w:rPr>
          <w:sz w:val="19"/>
        </w:rPr>
        <w:t xml:space="preserve">The evolution of monocular depth estimation: From spatial regression to generative foundations and the reliability gaps,</w:t>
      </w:r>
      <w:r>
        <w:rPr>
          <w:sz w:val="19"/>
        </w:rPr>
        <w:t xml:space="preserve">”</w:t>
      </w:r>
      <w:r>
        <w:rPr>
          <w:sz w:val="19"/>
        </w:rPr>
        <w:t xml:space="preserve"> </w:t>
      </w:r>
      <w:r>
        <w:rPr>
          <w:iCs/>
          <w:i/>
          <w:sz w:val="19"/>
        </w:rPr>
        <w:t xml:space="preserve">AIUB J. Sci. Eng.</w:t>
      </w:r>
      <w:r>
        <w:rPr>
          <w:sz w:val="19"/>
        </w:rPr>
        <w:t xml:space="preserve">, vol. 24, no. 3, pp. 250–271, 2026, doi: 10.53799/zsh31s95.</w:t>
      </w:r>
    </w:p>
    <w:p>
      <w:pPr>
        <w:pStyle w:val="BodyText"/>
        <w:spacing w:after="40"/>
        <w:ind w:left="510" w:hanging="510"/>
        <w:jc w:val="both"/>
      </w:pPr>
      <w:r>
        <w:rPr>
          <w:sz w:val="19"/>
        </w:rPr>
        <w:t xml:space="preserve">[13] J. Spencer</w:t>
      </w:r>
      <w:r>
        <w:rPr>
          <w:sz w:val="19"/>
        </w:rPr>
        <w:t xml:space="preserve"> </w:t>
      </w:r>
      <w:r>
        <w:rPr>
          <w:iCs/>
          <w:i/>
          <w:sz w:val="19"/>
        </w:rPr>
        <w:t xml:space="preserve">et al.</w:t>
      </w:r>
      <w:r>
        <w:rPr>
          <w:sz w:val="19"/>
        </w:rPr>
        <w:t xml:space="preserve">,</w:t>
      </w:r>
      <w:r>
        <w:rPr>
          <w:sz w:val="19"/>
        </w:rPr>
        <w:t xml:space="preserve"> </w:t>
      </w:r>
      <w:r>
        <w:rPr>
          <w:sz w:val="19"/>
        </w:rPr>
        <w:t xml:space="preserve">“</w:t>
      </w:r>
      <w:r>
        <w:rPr>
          <w:sz w:val="19"/>
        </w:rPr>
        <w:t xml:space="preserve">The monocular depth estimation challenge,</w:t>
      </w:r>
      <w:r>
        <w:rPr>
          <w:sz w:val="19"/>
        </w:rPr>
        <w:t xml:space="preserve">”</w:t>
      </w:r>
      <w:r>
        <w:rPr>
          <w:sz w:val="19"/>
        </w:rPr>
        <w:t xml:space="preserve"> </w:t>
      </w:r>
      <w:r>
        <w:rPr>
          <w:sz w:val="19"/>
        </w:rPr>
        <w:t xml:space="preserve">arXiv:2211.12174, 2022.</w:t>
      </w:r>
    </w:p>
    <w:p>
      <w:pPr>
        <w:pStyle w:val="BodyText"/>
        <w:spacing w:after="40"/>
        <w:ind w:left="510" w:hanging="510"/>
        <w:jc w:val="both"/>
      </w:pPr>
      <w:r>
        <w:rPr>
          <w:sz w:val="19"/>
        </w:rPr>
        <w:t xml:space="preserve">[14] N. Khalefa, R. Souza, and N. El-Sheimy,</w:t>
      </w:r>
      <w:r>
        <w:rPr>
          <w:sz w:val="19"/>
        </w:rPr>
        <w:t xml:space="preserve"> </w:t>
      </w:r>
      <w:r>
        <w:rPr>
          <w:sz w:val="19"/>
        </w:rPr>
        <w:t xml:space="preserve">“</w:t>
      </w:r>
      <w:r>
        <w:rPr>
          <w:sz w:val="19"/>
        </w:rPr>
        <w:t xml:space="preserve">Evaluation of metric monocular depth estimation models under adverse weather conditions in driving scenarios,</w:t>
      </w:r>
      <w:r>
        <w:rPr>
          <w:sz w:val="19"/>
        </w:rPr>
        <w:t xml:space="preserve">”</w:t>
      </w:r>
      <w:r>
        <w:rPr>
          <w:sz w:val="19"/>
        </w:rPr>
        <w:t xml:space="preserve"> </w:t>
      </w:r>
      <w:r>
        <w:rPr>
          <w:iCs/>
          <w:i/>
          <w:sz w:val="19"/>
        </w:rPr>
        <w:t xml:space="preserve">ISPRS Ann. Photogramm. Remote Sens. Spatial Inf. Sci.</w:t>
      </w:r>
      <w:r>
        <w:rPr>
          <w:sz w:val="19"/>
        </w:rPr>
        <w:t xml:space="preserve">, vol. XI-2-2026, pp. 473–481, 2026, doi: 10.5194/isprs-annals-XI-2-2026-473-2026.</w:t>
      </w:r>
    </w:p>
    <w:p>
      <w:pPr>
        <w:pStyle w:val="BodyText"/>
        <w:spacing w:after="40"/>
        <w:ind w:left="510" w:hanging="510"/>
        <w:jc w:val="both"/>
      </w:pPr>
      <w:r>
        <w:rPr>
          <w:sz w:val="19"/>
        </w:rPr>
        <w:t xml:space="preserve">[15] L. Kong</w:t>
      </w:r>
      <w:r>
        <w:rPr>
          <w:sz w:val="19"/>
        </w:rPr>
        <w:t xml:space="preserve"> </w:t>
      </w:r>
      <w:r>
        <w:rPr>
          <w:iCs/>
          <w:i/>
          <w:sz w:val="19"/>
        </w:rPr>
        <w:t xml:space="preserve">et al.</w:t>
      </w:r>
      <w:r>
        <w:rPr>
          <w:sz w:val="19"/>
        </w:rPr>
        <w:t xml:space="preserve">,</w:t>
      </w:r>
      <w:r>
        <w:rPr>
          <w:sz w:val="19"/>
        </w:rPr>
        <w:t xml:space="preserve"> </w:t>
      </w:r>
      <w:r>
        <w:rPr>
          <w:sz w:val="19"/>
        </w:rPr>
        <w:t xml:space="preserve">“</w:t>
      </w:r>
      <w:r>
        <w:rPr>
          <w:sz w:val="19"/>
        </w:rPr>
        <w:t xml:space="preserve">RoboDepth: Robust out-of-distribution depth estimation under corruptions,</w:t>
      </w:r>
      <w:r>
        <w:rPr>
          <w:sz w:val="19"/>
        </w:rPr>
        <w:t xml:space="preserve">”</w:t>
      </w:r>
      <w:r>
        <w:rPr>
          <w:sz w:val="19"/>
        </w:rPr>
        <w:t xml:space="preserve"> </w:t>
      </w:r>
      <w:r>
        <w:rPr>
          <w:sz w:val="19"/>
        </w:rPr>
        <w:t xml:space="preserve">in</w:t>
      </w:r>
      <w:r>
        <w:rPr>
          <w:sz w:val="19"/>
        </w:rPr>
        <w:t xml:space="preserve"> </w:t>
      </w:r>
      <w:r>
        <w:rPr>
          <w:iCs/>
          <w:i/>
          <w:sz w:val="19"/>
        </w:rPr>
        <w:t xml:space="preserve">Adv. Neural Inf. Process. Syst. (NeurIPS)</w:t>
      </w:r>
      <w:r>
        <w:rPr>
          <w:sz w:val="19"/>
        </w:rPr>
        <w:t xml:space="preserve">, 2023.</w:t>
      </w:r>
    </w:p>
    <w:p>
      <w:pPr>
        <w:pStyle w:val="BodyText"/>
        <w:spacing w:after="40"/>
        <w:ind w:left="510" w:hanging="510"/>
        <w:jc w:val="both"/>
      </w:pPr>
      <w:r>
        <w:rPr>
          <w:sz w:val="19"/>
        </w:rPr>
        <w:t xml:space="preserve">[16] S. Gasperini</w:t>
      </w:r>
      <w:r>
        <w:rPr>
          <w:sz w:val="19"/>
        </w:rPr>
        <w:t xml:space="preserve"> </w:t>
      </w:r>
      <w:r>
        <w:rPr>
          <w:iCs/>
          <w:i/>
          <w:sz w:val="19"/>
        </w:rPr>
        <w:t xml:space="preserve">et al.</w:t>
      </w:r>
      <w:r>
        <w:rPr>
          <w:sz w:val="19"/>
        </w:rPr>
        <w:t xml:space="preserve">,</w:t>
      </w:r>
      <w:r>
        <w:rPr>
          <w:sz w:val="19"/>
        </w:rPr>
        <w:t xml:space="preserve"> </w:t>
      </w:r>
      <w:r>
        <w:rPr>
          <w:sz w:val="19"/>
        </w:rPr>
        <w:t xml:space="preserve">“</w:t>
      </w:r>
      <w:r>
        <w:rPr>
          <w:sz w:val="19"/>
        </w:rPr>
        <w:t xml:space="preserve">Robust monocular depth estimation under challenging conditions,</w:t>
      </w:r>
      <w:r>
        <w:rPr>
          <w:sz w:val="19"/>
        </w:rPr>
        <w:t xml:space="preserve">”</w:t>
      </w:r>
      <w:r>
        <w:rPr>
          <w:sz w:val="19"/>
        </w:rPr>
        <w:t xml:space="preserve"> </w:t>
      </w:r>
      <w:r>
        <w:rPr>
          <w:sz w:val="19"/>
        </w:rPr>
        <w:t xml:space="preserve">in</w:t>
      </w:r>
      <w:r>
        <w:rPr>
          <w:sz w:val="19"/>
        </w:rPr>
        <w:t xml:space="preserve"> </w:t>
      </w:r>
      <w:r>
        <w:rPr>
          <w:iCs/>
          <w:i/>
          <w:sz w:val="19"/>
        </w:rPr>
        <w:t xml:space="preserve">Proc. IEEE/CVF Int. Conf. Comput. Vis. (ICCV)</w:t>
      </w:r>
      <w:r>
        <w:rPr>
          <w:sz w:val="19"/>
        </w:rPr>
        <w:t xml:space="preserve">, 2023, doi: 10.1109/ICCV51070.2023.00751.</w:t>
      </w:r>
    </w:p>
    <w:p>
      <w:pPr>
        <w:pStyle w:val="BodyText"/>
        <w:spacing w:after="40"/>
        <w:ind w:left="510" w:hanging="510"/>
        <w:jc w:val="both"/>
      </w:pPr>
      <w:r>
        <w:rPr>
          <w:sz w:val="19"/>
        </w:rPr>
        <w:t xml:space="preserve">[17] Y. Ming</w:t>
      </w:r>
      <w:r>
        <w:rPr>
          <w:sz w:val="19"/>
        </w:rPr>
        <w:t xml:space="preserve"> </w:t>
      </w:r>
      <w:r>
        <w:rPr>
          <w:iCs/>
          <w:i/>
          <w:sz w:val="19"/>
        </w:rPr>
        <w:t xml:space="preserve">et al.</w:t>
      </w:r>
      <w:r>
        <w:rPr>
          <w:sz w:val="19"/>
        </w:rPr>
        <w:t xml:space="preserve">,</w:t>
      </w:r>
      <w:r>
        <w:rPr>
          <w:sz w:val="19"/>
        </w:rPr>
        <w:t xml:space="preserve"> </w:t>
      </w:r>
      <w:r>
        <w:rPr>
          <w:sz w:val="19"/>
        </w:rPr>
        <w:t xml:space="preserve">“</w:t>
      </w:r>
      <w:r>
        <w:rPr>
          <w:sz w:val="19"/>
        </w:rPr>
        <w:t xml:space="preserve">Deep learning-based monocular depth estimation methods—A state-of-the-art review,</w:t>
      </w:r>
      <w:r>
        <w:rPr>
          <w:sz w:val="19"/>
        </w:rPr>
        <w:t xml:space="preserve">”</w:t>
      </w:r>
      <w:r>
        <w:rPr>
          <w:sz w:val="19"/>
        </w:rPr>
        <w:t xml:space="preserve"> </w:t>
      </w:r>
      <w:r>
        <w:rPr>
          <w:iCs/>
          <w:i/>
          <w:sz w:val="19"/>
        </w:rPr>
        <w:t xml:space="preserve">Sensors</w:t>
      </w:r>
      <w:r>
        <w:rPr>
          <w:sz w:val="19"/>
        </w:rPr>
        <w:t xml:space="preserve">, vol. 20, no. 8, p. 2272, 2020, doi: 10.3390/s20082272.</w:t>
      </w:r>
    </w:p>
    <w:p>
      <w:pPr>
        <w:pStyle w:val="BodyText"/>
        <w:spacing w:after="40"/>
        <w:ind w:left="510" w:hanging="510"/>
        <w:jc w:val="both"/>
      </w:pPr>
      <w:r>
        <w:rPr>
          <w:sz w:val="19"/>
        </w:rPr>
        <w:t xml:space="preserve">[18] J. Zhang,</w:t>
      </w:r>
      <w:r>
        <w:rPr>
          <w:sz w:val="19"/>
        </w:rPr>
        <w:t xml:space="preserve"> </w:t>
      </w:r>
      <w:r>
        <w:rPr>
          <w:sz w:val="19"/>
        </w:rPr>
        <w:t xml:space="preserve">“</w:t>
      </w:r>
      <w:r>
        <w:rPr>
          <w:sz w:val="19"/>
        </w:rPr>
        <w:t xml:space="preserve">Survey on monocular metric depth estimation,</w:t>
      </w:r>
      <w:r>
        <w:rPr>
          <w:sz w:val="19"/>
        </w:rPr>
        <w:t xml:space="preserve">”</w:t>
      </w:r>
      <w:r>
        <w:rPr>
          <w:sz w:val="19"/>
        </w:rPr>
        <w:t xml:space="preserve"> </w:t>
      </w:r>
      <w:r>
        <w:rPr>
          <w:iCs/>
          <w:i/>
          <w:sz w:val="19"/>
        </w:rPr>
        <w:t xml:space="preserve">Computers</w:t>
      </w:r>
      <w:r>
        <w:rPr>
          <w:sz w:val="19"/>
        </w:rPr>
        <w:t xml:space="preserve">, vol. 14, no. 11, p. 502, 2025, doi: 10.3390/computers14110502.</w:t>
      </w:r>
    </w:p>
    <w:p>
      <w:pPr>
        <w:pStyle w:val="BodyText"/>
        <w:spacing w:after="40"/>
        <w:ind w:left="510" w:hanging="510"/>
        <w:jc w:val="both"/>
      </w:pPr>
      <w:r>
        <w:rPr>
          <w:sz w:val="19"/>
        </w:rPr>
        <w:t xml:space="preserve">[19] D. Wofk, F. Ma, T.-J. Yang, S. Karaman, and V. Sze,</w:t>
      </w:r>
      <w:r>
        <w:rPr>
          <w:sz w:val="19"/>
        </w:rPr>
        <w:t xml:space="preserve"> </w:t>
      </w:r>
      <w:r>
        <w:rPr>
          <w:sz w:val="19"/>
        </w:rPr>
        <w:t xml:space="preserve">“</w:t>
      </w:r>
      <w:r>
        <w:rPr>
          <w:sz w:val="19"/>
        </w:rPr>
        <w:t xml:space="preserve">FastDepth: Fast monocular depth estimation on embedded systems,</w:t>
      </w:r>
      <w:r>
        <w:rPr>
          <w:sz w:val="19"/>
        </w:rPr>
        <w:t xml:space="preserve">”</w:t>
      </w:r>
      <w:r>
        <w:rPr>
          <w:sz w:val="19"/>
        </w:rPr>
        <w:t xml:space="preserve"> </w:t>
      </w:r>
      <w:r>
        <w:rPr>
          <w:sz w:val="19"/>
        </w:rPr>
        <w:t xml:space="preserve">in</w:t>
      </w:r>
      <w:r>
        <w:rPr>
          <w:sz w:val="19"/>
        </w:rPr>
        <w:t xml:space="preserve"> </w:t>
      </w:r>
      <w:r>
        <w:rPr>
          <w:iCs/>
          <w:i/>
          <w:sz w:val="19"/>
        </w:rPr>
        <w:t xml:space="preserve">Proc. IEEE Int. Conf. Robot. Autom. (ICRA)</w:t>
      </w:r>
      <w:r>
        <w:rPr>
          <w:sz w:val="19"/>
        </w:rPr>
        <w:t xml:space="preserve">, 2019, doi: 10.1109/ICRA.2019.8794182.</w:t>
      </w:r>
    </w:p>
    <w:p>
      <w:pPr>
        <w:pStyle w:val="BodyText"/>
        <w:spacing w:after="40"/>
        <w:ind w:left="510" w:hanging="510"/>
        <w:jc w:val="both"/>
      </w:pPr>
      <w:r>
        <w:rPr>
          <w:sz w:val="19"/>
        </w:rPr>
        <w:t xml:space="preserve">[20] A. Geiger, P. Lenz, C. Stiller, and R. Urtasun,</w:t>
      </w:r>
      <w:r>
        <w:rPr>
          <w:sz w:val="19"/>
        </w:rPr>
        <w:t xml:space="preserve"> </w:t>
      </w:r>
      <w:r>
        <w:rPr>
          <w:sz w:val="19"/>
        </w:rPr>
        <w:t xml:space="preserve">“</w:t>
      </w:r>
      <w:r>
        <w:rPr>
          <w:sz w:val="19"/>
        </w:rPr>
        <w:t xml:space="preserve">Vision meets robotics: The KITTI dataset,</w:t>
      </w:r>
      <w:r>
        <w:rPr>
          <w:sz w:val="19"/>
        </w:rPr>
        <w:t xml:space="preserve">”</w:t>
      </w:r>
      <w:r>
        <w:rPr>
          <w:sz w:val="19"/>
        </w:rPr>
        <w:t xml:space="preserve"> </w:t>
      </w:r>
      <w:r>
        <w:rPr>
          <w:iCs/>
          <w:i/>
          <w:sz w:val="19"/>
        </w:rPr>
        <w:t xml:space="preserve">Int. J. Robot. Res.</w:t>
      </w:r>
      <w:r>
        <w:rPr>
          <w:sz w:val="19"/>
        </w:rPr>
        <w:t xml:space="preserve">, vol. 32, no. 11, pp. 1231–1237, 2013.</w:t>
      </w:r>
    </w:p>
    <w:p>
      <w:pPr>
        <w:pStyle w:val="BodyText"/>
        <w:spacing w:after="40"/>
        <w:ind w:left="510" w:hanging="510"/>
        <w:jc w:val="both"/>
      </w:pPr>
      <w:r>
        <w:rPr>
          <w:sz w:val="19"/>
        </w:rPr>
        <w:t xml:space="preserve">[21] N. Silberman, D. Hoiem, P. Kohli, and R. Fergus,</w:t>
      </w:r>
      <w:r>
        <w:rPr>
          <w:sz w:val="19"/>
        </w:rPr>
        <w:t xml:space="preserve"> </w:t>
      </w:r>
      <w:r>
        <w:rPr>
          <w:sz w:val="19"/>
        </w:rPr>
        <w:t xml:space="preserve">“</w:t>
      </w:r>
      <w:r>
        <w:rPr>
          <w:sz w:val="19"/>
        </w:rPr>
        <w:t xml:space="preserve">Indoor segmentation and support inference from RGBD images,</w:t>
      </w:r>
      <w:r>
        <w:rPr>
          <w:sz w:val="19"/>
        </w:rPr>
        <w:t xml:space="preserve">”</w:t>
      </w:r>
      <w:r>
        <w:rPr>
          <w:sz w:val="19"/>
        </w:rPr>
        <w:t xml:space="preserve"> </w:t>
      </w:r>
      <w:r>
        <w:rPr>
          <w:sz w:val="19"/>
        </w:rPr>
        <w:t xml:space="preserve">in</w:t>
      </w:r>
      <w:r>
        <w:rPr>
          <w:sz w:val="19"/>
        </w:rPr>
        <w:t xml:space="preserve"> </w:t>
      </w:r>
      <w:r>
        <w:rPr>
          <w:iCs/>
          <w:i/>
          <w:sz w:val="19"/>
        </w:rPr>
        <w:t xml:space="preserve">Proc. Eur. Conf. Comput. Vis. (ECCV)</w:t>
      </w:r>
      <w:r>
        <w:rPr>
          <w:sz w:val="19"/>
        </w:rPr>
        <w:t xml:space="preserve">, 2012, pp. 746–760.</w:t>
      </w:r>
    </w:p>
    <w:p>
      <w:pPr>
        <w:pStyle w:val="BodyText"/>
        <w:spacing w:after="40"/>
        <w:ind w:left="510" w:hanging="510"/>
        <w:jc w:val="both"/>
      </w:pPr>
      <w:r>
        <w:rPr>
          <w:sz w:val="19"/>
        </w:rPr>
        <w:t xml:space="preserve">[22] F. Ma and S. Karaman,</w:t>
      </w:r>
      <w:r>
        <w:rPr>
          <w:sz w:val="19"/>
        </w:rPr>
        <w:t xml:space="preserve"> </w:t>
      </w:r>
      <w:r>
        <w:rPr>
          <w:sz w:val="19"/>
        </w:rPr>
        <w:t xml:space="preserve">“</w:t>
      </w:r>
      <w:r>
        <w:rPr>
          <w:sz w:val="19"/>
        </w:rPr>
        <w:t xml:space="preserve">Sparse-to-dense: Depth prediction from sparse depth samples and a single image,</w:t>
      </w:r>
      <w:r>
        <w:rPr>
          <w:sz w:val="19"/>
        </w:rPr>
        <w:t xml:space="preserve">”</w:t>
      </w:r>
      <w:r>
        <w:rPr>
          <w:sz w:val="19"/>
        </w:rPr>
        <w:t xml:space="preserve"> </w:t>
      </w:r>
      <w:r>
        <w:rPr>
          <w:sz w:val="19"/>
        </w:rPr>
        <w:t xml:space="preserve">in</w:t>
      </w:r>
      <w:r>
        <w:rPr>
          <w:sz w:val="19"/>
        </w:rPr>
        <w:t xml:space="preserve"> </w:t>
      </w:r>
      <w:r>
        <w:rPr>
          <w:iCs/>
          <w:i/>
          <w:sz w:val="19"/>
        </w:rPr>
        <w:t xml:space="preserve">Proc. IEEE Int. Conf. Robot. Autom. (ICRA)</w:t>
      </w:r>
      <w:r>
        <w:rPr>
          <w:sz w:val="19"/>
        </w:rPr>
        <w:t xml:space="preserve">, 2018, doi: 10.1109/ICRA.2018.8460184.</w:t>
      </w:r>
    </w:p>
    <w:p>
      <w:pPr>
        <w:pStyle w:val="BodyText"/>
        <w:spacing w:after="40"/>
        <w:ind w:left="510" w:hanging="510"/>
        <w:jc w:val="both"/>
      </w:pPr>
      <w:r>
        <w:rPr>
          <w:sz w:val="19"/>
        </w:rPr>
        <w:t xml:space="preserve">[23] N. A. B. Martins, L. A. da Silva Cruz, and F. Lopes,</w:t>
      </w:r>
      <w:r>
        <w:rPr>
          <w:sz w:val="19"/>
        </w:rPr>
        <w:t xml:space="preserve"> </w:t>
      </w:r>
      <w:r>
        <w:rPr>
          <w:sz w:val="19"/>
        </w:rPr>
        <w:t xml:space="preserve">“</w:t>
      </w:r>
      <w:r>
        <w:rPr>
          <w:sz w:val="19"/>
        </w:rPr>
        <w:t xml:space="preserve">Impact of LiDAR point cloud compression on 3D object detection evaluated on the KITTI dataset,</w:t>
      </w:r>
      <w:r>
        <w:rPr>
          <w:sz w:val="19"/>
        </w:rPr>
        <w:t xml:space="preserve">”</w:t>
      </w:r>
      <w:r>
        <w:rPr>
          <w:sz w:val="19"/>
        </w:rPr>
        <w:t xml:space="preserve"> </w:t>
      </w:r>
      <w:r>
        <w:rPr>
          <w:iCs/>
          <w:i/>
          <w:sz w:val="19"/>
        </w:rPr>
        <w:t xml:space="preserve">EURASIP J. Image Video Process.</w:t>
      </w:r>
      <w:r>
        <w:rPr>
          <w:sz w:val="19"/>
        </w:rPr>
        <w:t xml:space="preserve">, vol. 2024, Art. 15, 2024, doi: 10.1186/s13640-024-00633-4.</w:t>
      </w:r>
    </w:p>
    <w:p>
      <w:pPr>
        <w:pStyle w:val="BodyText"/>
        <w:spacing w:after="40"/>
        <w:ind w:left="510" w:hanging="510"/>
        <w:jc w:val="both"/>
      </w:pPr>
      <w:r>
        <w:rPr>
          <w:sz w:val="19"/>
        </w:rPr>
        <w:t xml:space="preserve">[24] A. Mathew, A. P. Patra, and J. Mathew,</w:t>
      </w:r>
      <w:r>
        <w:rPr>
          <w:sz w:val="19"/>
        </w:rPr>
        <w:t xml:space="preserve"> </w:t>
      </w:r>
      <w:r>
        <w:rPr>
          <w:sz w:val="19"/>
        </w:rPr>
        <w:t xml:space="preserve">“</w:t>
      </w:r>
      <w:r>
        <w:rPr>
          <w:sz w:val="19"/>
        </w:rPr>
        <w:t xml:space="preserve">Monocular depth estimators: Vulnerabilities and attacks,</w:t>
      </w:r>
      <w:r>
        <w:rPr>
          <w:sz w:val="19"/>
        </w:rPr>
        <w:t xml:space="preserve">”</w:t>
      </w:r>
      <w:r>
        <w:rPr>
          <w:sz w:val="19"/>
        </w:rPr>
        <w:t xml:space="preserve"> </w:t>
      </w:r>
      <w:r>
        <w:rPr>
          <w:sz w:val="19"/>
        </w:rPr>
        <w:t xml:space="preserve">arXiv:2005.14302, 2020.</w:t>
      </w:r>
    </w:p>
    <w:p>
      <w:pPr>
        <w:pStyle w:val="BodyText"/>
        <w:spacing w:after="40"/>
        <w:ind w:left="510" w:hanging="510"/>
        <w:jc w:val="both"/>
      </w:pPr>
      <w:r>
        <w:rPr>
          <w:sz w:val="19"/>
        </w:rPr>
        <w:t xml:space="preserve">[25] A. Kendall and Y. Gal,</w:t>
      </w:r>
      <w:r>
        <w:rPr>
          <w:sz w:val="19"/>
        </w:rPr>
        <w:t xml:space="preserve"> </w:t>
      </w:r>
      <w:r>
        <w:rPr>
          <w:sz w:val="19"/>
        </w:rPr>
        <w:t xml:space="preserve">“</w:t>
      </w:r>
      <w:r>
        <w:rPr>
          <w:sz w:val="19"/>
        </w:rPr>
        <w:t xml:space="preserve">What uncertainties do we need in Bayesian deep learning for computer vision?</w:t>
      </w:r>
      <w:r>
        <w:rPr>
          <w:sz w:val="19"/>
        </w:rPr>
        <w:t xml:space="preserve">”</w:t>
      </w:r>
      <w:r>
        <w:rPr>
          <w:sz w:val="19"/>
        </w:rPr>
        <w:t xml:space="preserve"> </w:t>
      </w:r>
      <w:r>
        <w:rPr>
          <w:sz w:val="19"/>
        </w:rPr>
        <w:t xml:space="preserve">in</w:t>
      </w:r>
      <w:r>
        <w:rPr>
          <w:sz w:val="19"/>
        </w:rPr>
        <w:t xml:space="preserve"> </w:t>
      </w:r>
      <w:r>
        <w:rPr>
          <w:iCs/>
          <w:i/>
          <w:sz w:val="19"/>
        </w:rPr>
        <w:t xml:space="preserve">Adv. Neural Inf. Process. Syst. (NeurIPS)</w:t>
      </w:r>
      <w:r>
        <w:rPr>
          <w:sz w:val="19"/>
        </w:rPr>
        <w:t xml:space="preserve">, 2017.</w:t>
      </w:r>
    </w:p>
    <w:p>
      <w:pPr>
        <w:pStyle w:val="BodyText"/>
        <w:spacing w:after="40"/>
        <w:ind w:left="510" w:hanging="510"/>
        <w:jc w:val="both"/>
      </w:pPr>
      <w:r>
        <w:rPr>
          <w:sz w:val="19"/>
        </w:rPr>
        <w:t xml:space="preserve">[26] F. K. Gustafsson, M. Danelljan, and T. B. Schön,</w:t>
      </w:r>
      <w:r>
        <w:rPr>
          <w:sz w:val="19"/>
        </w:rPr>
        <w:t xml:space="preserve"> </w:t>
      </w:r>
      <w:r>
        <w:rPr>
          <w:sz w:val="19"/>
        </w:rPr>
        <w:t xml:space="preserve">“</w:t>
      </w:r>
      <w:r>
        <w:rPr>
          <w:sz w:val="19"/>
        </w:rPr>
        <w:t xml:space="preserve">Evaluating scalable Bayesian deep learning methods for robust computer vision,</w:t>
      </w:r>
      <w:r>
        <w:rPr>
          <w:sz w:val="19"/>
        </w:rPr>
        <w:t xml:space="preserve">”</w:t>
      </w:r>
      <w:r>
        <w:rPr>
          <w:sz w:val="19"/>
        </w:rPr>
        <w:t xml:space="preserve"> </w:t>
      </w:r>
      <w:r>
        <w:rPr>
          <w:sz w:val="19"/>
        </w:rPr>
        <w:t xml:space="preserve">in</w:t>
      </w:r>
      <w:r>
        <w:rPr>
          <w:sz w:val="19"/>
        </w:rPr>
        <w:t xml:space="preserve"> </w:t>
      </w:r>
      <w:r>
        <w:rPr>
          <w:iCs/>
          <w:i/>
          <w:sz w:val="19"/>
        </w:rPr>
        <w:t xml:space="preserve">Proc. IEEE/CVF CVPR Workshops</w:t>
      </w:r>
      <w:r>
        <w:rPr>
          <w:sz w:val="19"/>
        </w:rPr>
        <w:t xml:space="preserve">, 2020.</w:t>
      </w:r>
    </w:p>
    <w:p>
      <w:pPr>
        <w:pStyle w:val="BodyText"/>
        <w:spacing w:after="40"/>
        <w:ind w:left="510" w:hanging="510"/>
        <w:jc w:val="both"/>
      </w:pPr>
      <w:r>
        <w:rPr>
          <w:sz w:val="19"/>
        </w:rPr>
        <w:t xml:space="preserve">[27] M. Poggi, F. Aleotti, F. Tosi, and S. Mattoccia,</w:t>
      </w:r>
      <w:r>
        <w:rPr>
          <w:sz w:val="19"/>
        </w:rPr>
        <w:t xml:space="preserve"> </w:t>
      </w:r>
      <w:r>
        <w:rPr>
          <w:sz w:val="19"/>
        </w:rPr>
        <w:t xml:space="preserve">“</w:t>
      </w:r>
      <w:r>
        <w:rPr>
          <w:sz w:val="19"/>
        </w:rPr>
        <w:t xml:space="preserve">On the uncertainty of self-supervised monocular depth estimation,</w:t>
      </w:r>
      <w:r>
        <w:rPr>
          <w:sz w:val="19"/>
        </w:rPr>
        <w:t xml:space="preserve">”</w:t>
      </w:r>
      <w:r>
        <w:rPr>
          <w:sz w:val="19"/>
        </w:rPr>
        <w:t xml:space="preserve"> </w:t>
      </w:r>
      <w:r>
        <w:rPr>
          <w:sz w:val="19"/>
        </w:rPr>
        <w:t xml:space="preserve">in</w:t>
      </w:r>
      <w:r>
        <w:rPr>
          <w:sz w:val="19"/>
        </w:rPr>
        <w:t xml:space="preserve"> </w:t>
      </w:r>
      <w:r>
        <w:rPr>
          <w:iCs/>
          <w:i/>
          <w:sz w:val="19"/>
        </w:rPr>
        <w:t xml:space="preserve">Proc. IEEE/CVF Conf. Comput. Vis. Pattern Recognit. (CVPR)</w:t>
      </w:r>
      <w:r>
        <w:rPr>
          <w:sz w:val="19"/>
        </w:rPr>
        <w:t xml:space="preserve">, 2020.</w:t>
      </w:r>
    </w:p>
    <w:p>
      <w:pPr>
        <w:pStyle w:val="BodyText"/>
        <w:spacing w:after="40"/>
        <w:ind w:left="510" w:hanging="510"/>
        <w:jc w:val="both"/>
      </w:pPr>
      <w:r>
        <w:rPr>
          <w:sz w:val="19"/>
        </w:rPr>
        <w:t xml:space="preserve">[28] M. Xiang, J. Zhang, N. Barnes, and Y. Dai,</w:t>
      </w:r>
      <w:r>
        <w:rPr>
          <w:sz w:val="19"/>
        </w:rPr>
        <w:t xml:space="preserve"> </w:t>
      </w:r>
      <w:r>
        <w:rPr>
          <w:sz w:val="19"/>
        </w:rPr>
        <w:t xml:space="preserve">“</w:t>
      </w:r>
      <w:r>
        <w:rPr>
          <w:sz w:val="19"/>
        </w:rPr>
        <w:t xml:space="preserve">Measuring and modeling uncertainty degree for monocular depth estimation,</w:t>
      </w:r>
      <w:r>
        <w:rPr>
          <w:sz w:val="19"/>
        </w:rPr>
        <w:t xml:space="preserve">”</w:t>
      </w:r>
      <w:r>
        <w:rPr>
          <w:sz w:val="19"/>
        </w:rPr>
        <w:t xml:space="preserve"> </w:t>
      </w:r>
      <w:r>
        <w:rPr>
          <w:sz w:val="19"/>
        </w:rPr>
        <w:t xml:space="preserve">arXiv:2307.09929, 2023.</w:t>
      </w:r>
    </w:p>
    <w:p>
      <w:pPr>
        <w:pStyle w:val="BodyText"/>
        <w:spacing w:after="40"/>
        <w:ind w:left="510" w:hanging="510"/>
        <w:jc w:val="both"/>
      </w:pPr>
      <w:r>
        <w:rPr>
          <w:sz w:val="19"/>
        </w:rPr>
        <w:t xml:space="preserve">[29] C. Guo, G. Pleiss, Y. Sun, and K. Q. Weinberger,</w:t>
      </w:r>
      <w:r>
        <w:rPr>
          <w:sz w:val="19"/>
        </w:rPr>
        <w:t xml:space="preserve"> </w:t>
      </w:r>
      <w:r>
        <w:rPr>
          <w:sz w:val="19"/>
        </w:rPr>
        <w:t xml:space="preserve">“</w:t>
      </w:r>
      <w:r>
        <w:rPr>
          <w:sz w:val="19"/>
        </w:rPr>
        <w:t xml:space="preserve">On calibration of modern neural networks,</w:t>
      </w:r>
      <w:r>
        <w:rPr>
          <w:sz w:val="19"/>
        </w:rPr>
        <w:t xml:space="preserve">”</w:t>
      </w:r>
      <w:r>
        <w:rPr>
          <w:sz w:val="19"/>
        </w:rPr>
        <w:t xml:space="preserve"> </w:t>
      </w:r>
      <w:r>
        <w:rPr>
          <w:sz w:val="19"/>
        </w:rPr>
        <w:t xml:space="preserve">in</w:t>
      </w:r>
      <w:r>
        <w:rPr>
          <w:sz w:val="19"/>
        </w:rPr>
        <w:t xml:space="preserve"> </w:t>
      </w:r>
      <w:r>
        <w:rPr>
          <w:iCs/>
          <w:i/>
          <w:sz w:val="19"/>
        </w:rPr>
        <w:t xml:space="preserve">Proc. Int. Conf. Mach. Learn. (ICML)</w:t>
      </w:r>
      <w:r>
        <w:rPr>
          <w:sz w:val="19"/>
        </w:rPr>
        <w:t xml:space="preserve">, 2017.</w:t>
      </w:r>
    </w:p>
    <w:p>
      <w:pPr>
        <w:pStyle w:val="BodyText"/>
        <w:spacing w:after="40"/>
        <w:ind w:left="510" w:hanging="510"/>
        <w:jc w:val="both"/>
      </w:pPr>
      <w:r>
        <w:rPr>
          <w:sz w:val="19"/>
        </w:rPr>
        <w:t xml:space="preserve">[30] Y. Ovadia</w:t>
      </w:r>
      <w:r>
        <w:rPr>
          <w:sz w:val="19"/>
        </w:rPr>
        <w:t xml:space="preserve"> </w:t>
      </w:r>
      <w:r>
        <w:rPr>
          <w:iCs/>
          <w:i/>
          <w:sz w:val="19"/>
        </w:rPr>
        <w:t xml:space="preserve">et al.</w:t>
      </w:r>
      <w:r>
        <w:rPr>
          <w:sz w:val="19"/>
        </w:rPr>
        <w:t xml:space="preserve">,</w:t>
      </w:r>
      <w:r>
        <w:rPr>
          <w:sz w:val="19"/>
        </w:rPr>
        <w:t xml:space="preserve"> </w:t>
      </w:r>
      <w:r>
        <w:rPr>
          <w:sz w:val="19"/>
        </w:rPr>
        <w:t xml:space="preserve">“</w:t>
      </w:r>
      <w:r>
        <w:rPr>
          <w:sz w:val="19"/>
        </w:rPr>
        <w:t xml:space="preserve">Can you trust your model’s uncertainty? Evaluating predictive uncertainty under dataset shift,</w:t>
      </w:r>
      <w:r>
        <w:rPr>
          <w:sz w:val="19"/>
        </w:rPr>
        <w:t xml:space="preserve">”</w:t>
      </w:r>
      <w:r>
        <w:rPr>
          <w:sz w:val="19"/>
        </w:rPr>
        <w:t xml:space="preserve"> </w:t>
      </w:r>
      <w:r>
        <w:rPr>
          <w:sz w:val="19"/>
        </w:rPr>
        <w:t xml:space="preserve">in</w:t>
      </w:r>
      <w:r>
        <w:rPr>
          <w:sz w:val="19"/>
        </w:rPr>
        <w:t xml:space="preserve"> </w:t>
      </w:r>
      <w:r>
        <w:rPr>
          <w:iCs/>
          <w:i/>
          <w:sz w:val="19"/>
        </w:rPr>
        <w:t xml:space="preserve">Adv. Neural Inf. Process. Syst. (NeurIPS)</w:t>
      </w:r>
      <w:r>
        <w:rPr>
          <w:sz w:val="19"/>
        </w:rPr>
        <w:t xml:space="preserve">, 2019.</w:t>
      </w:r>
    </w:p>
    <w:p>
      <w:pPr>
        <w:pStyle w:val="BodyText"/>
        <w:spacing w:after="40"/>
        <w:ind w:left="510" w:hanging="510"/>
        <w:jc w:val="both"/>
      </w:pPr>
      <w:r>
        <w:rPr>
          <w:sz w:val="19"/>
        </w:rPr>
        <w:t xml:space="preserve">[31] Z. Cheng, Y. Wu, Y. Li, L. Cai, and B. Ihnaini,</w:t>
      </w:r>
      <w:r>
        <w:rPr>
          <w:sz w:val="19"/>
        </w:rPr>
        <w:t xml:space="preserve"> </w:t>
      </w:r>
      <w:r>
        <w:rPr>
          <w:sz w:val="19"/>
        </w:rPr>
        <w:t xml:space="preserve">“</w:t>
      </w:r>
      <w:r>
        <w:rPr>
          <w:sz w:val="19"/>
        </w:rPr>
        <w:t xml:space="preserve">A comprehensive review of explainable artificial intelligence (XAI) in computer vision,</w:t>
      </w:r>
      <w:r>
        <w:rPr>
          <w:sz w:val="19"/>
        </w:rPr>
        <w:t xml:space="preserve">”</w:t>
      </w:r>
      <w:r>
        <w:rPr>
          <w:sz w:val="19"/>
        </w:rPr>
        <w:t xml:space="preserve"> </w:t>
      </w:r>
      <w:r>
        <w:rPr>
          <w:iCs/>
          <w:i/>
          <w:sz w:val="19"/>
        </w:rPr>
        <w:t xml:space="preserve">Sensors</w:t>
      </w:r>
      <w:r>
        <w:rPr>
          <w:sz w:val="19"/>
        </w:rPr>
        <w:t xml:space="preserve">, vol. 25, no. 13, p. 4166, 2025, doi: 10.3390/s25134166.</w:t>
      </w:r>
    </w:p>
    <w:p>
      <w:pPr>
        <w:pStyle w:val="BodyText"/>
        <w:spacing w:after="40"/>
        <w:ind w:left="510" w:hanging="510"/>
        <w:jc w:val="both"/>
      </w:pPr>
      <w:r>
        <w:rPr>
          <w:sz w:val="19"/>
        </w:rPr>
        <w:t xml:space="preserve">[32] L. H. Gilpin</w:t>
      </w:r>
      <w:r>
        <w:rPr>
          <w:sz w:val="19"/>
        </w:rPr>
        <w:t xml:space="preserve"> </w:t>
      </w:r>
      <w:r>
        <w:rPr>
          <w:iCs/>
          <w:i/>
          <w:sz w:val="19"/>
        </w:rPr>
        <w:t xml:space="preserve">et al.</w:t>
      </w:r>
      <w:r>
        <w:rPr>
          <w:sz w:val="19"/>
        </w:rPr>
        <w:t xml:space="preserve">,</w:t>
      </w:r>
      <w:r>
        <w:rPr>
          <w:sz w:val="19"/>
        </w:rPr>
        <w:t xml:space="preserve"> </w:t>
      </w:r>
      <w:r>
        <w:rPr>
          <w:sz w:val="19"/>
        </w:rPr>
        <w:t xml:space="preserve">“</w:t>
      </w:r>
      <w:r>
        <w:rPr>
          <w:sz w:val="19"/>
        </w:rPr>
        <w:t xml:space="preserve">Explaining explanations: An overview of interpretability of machine learning,</w:t>
      </w:r>
      <w:r>
        <w:rPr>
          <w:sz w:val="19"/>
        </w:rPr>
        <w:t xml:space="preserve">”</w:t>
      </w:r>
      <w:r>
        <w:rPr>
          <w:sz w:val="19"/>
        </w:rPr>
        <w:t xml:space="preserve"> </w:t>
      </w:r>
      <w:r>
        <w:rPr>
          <w:sz w:val="19"/>
        </w:rPr>
        <w:t xml:space="preserve">in</w:t>
      </w:r>
      <w:r>
        <w:rPr>
          <w:sz w:val="19"/>
        </w:rPr>
        <w:t xml:space="preserve"> </w:t>
      </w:r>
      <w:r>
        <w:rPr>
          <w:iCs/>
          <w:i/>
          <w:sz w:val="19"/>
        </w:rPr>
        <w:t xml:space="preserve">Proc. IEEE Int. Conf. Data Sci. Adv. Analytics (DSAA)</w:t>
      </w:r>
      <w:r>
        <w:rPr>
          <w:sz w:val="19"/>
        </w:rPr>
        <w:t xml:space="preserve">, 2018.</w:t>
      </w:r>
    </w:p>
    <w:p>
      <w:pPr>
        <w:pStyle w:val="BodyText"/>
        <w:spacing w:after="40"/>
        <w:ind w:left="510" w:hanging="510"/>
        <w:jc w:val="both"/>
      </w:pPr>
      <w:r>
        <w:rPr>
          <w:sz w:val="19"/>
        </w:rPr>
        <w:t xml:space="preserve">[33] M. T. Ribeiro, S. Singh, and C. Guestrin,</w:t>
      </w:r>
      <w:r>
        <w:rPr>
          <w:sz w:val="19"/>
        </w:rPr>
        <w:t xml:space="preserve"> </w:t>
      </w:r>
      <w:r>
        <w:rPr>
          <w:sz w:val="19"/>
        </w:rPr>
        <w:t xml:space="preserve">“</w:t>
      </w:r>
      <w:r>
        <w:rPr>
          <w:sz w:val="19"/>
        </w:rPr>
        <w:t xml:space="preserve">‘</w:t>
      </w:r>
      <w:r>
        <w:rPr>
          <w:sz w:val="19"/>
        </w:rPr>
        <w:t xml:space="preserve">Why should I trust you?</w:t>
      </w:r>
      <w:r>
        <w:rPr>
          <w:sz w:val="19"/>
        </w:rPr>
        <w:t xml:space="preserve">’</w:t>
      </w:r>
      <w:r>
        <w:rPr>
          <w:sz w:val="19"/>
        </w:rPr>
        <w:t xml:space="preserve">: Explaining the predictions of any classifier,</w:t>
      </w:r>
      <w:r>
        <w:rPr>
          <w:sz w:val="19"/>
        </w:rPr>
        <w:t xml:space="preserve">”</w:t>
      </w:r>
      <w:r>
        <w:rPr>
          <w:sz w:val="19"/>
        </w:rPr>
        <w:t xml:space="preserve"> </w:t>
      </w:r>
      <w:r>
        <w:rPr>
          <w:sz w:val="19"/>
        </w:rPr>
        <w:t xml:space="preserve">in</w:t>
      </w:r>
      <w:r>
        <w:rPr>
          <w:sz w:val="19"/>
        </w:rPr>
        <w:t xml:space="preserve"> </w:t>
      </w:r>
      <w:r>
        <w:rPr>
          <w:iCs/>
          <w:i/>
          <w:sz w:val="19"/>
        </w:rPr>
        <w:t xml:space="preserve">Proc. ACM SIGKDD</w:t>
      </w:r>
      <w:r>
        <w:rPr>
          <w:sz w:val="19"/>
        </w:rPr>
        <w:t xml:space="preserve">, 2016, doi: 10.1145/2939672.2939778.</w:t>
      </w:r>
    </w:p>
    <w:p>
      <w:pPr>
        <w:pStyle w:val="BodyText"/>
        <w:spacing w:after="40"/>
        <w:ind w:left="510" w:hanging="510"/>
        <w:jc w:val="both"/>
      </w:pPr>
      <w:r>
        <w:rPr>
          <w:sz w:val="19"/>
        </w:rPr>
        <w:t xml:space="preserve">[34] M. Sundararajan, A. Taly, and Q. Yan,</w:t>
      </w:r>
      <w:r>
        <w:rPr>
          <w:sz w:val="19"/>
        </w:rPr>
        <w:t xml:space="preserve"> </w:t>
      </w:r>
      <w:r>
        <w:rPr>
          <w:sz w:val="19"/>
        </w:rPr>
        <w:t xml:space="preserve">“</w:t>
      </w:r>
      <w:r>
        <w:rPr>
          <w:sz w:val="19"/>
        </w:rPr>
        <w:t xml:space="preserve">Axiomatic attribution for deep networks,</w:t>
      </w:r>
      <w:r>
        <w:rPr>
          <w:sz w:val="19"/>
        </w:rPr>
        <w:t xml:space="preserve">”</w:t>
      </w:r>
      <w:r>
        <w:rPr>
          <w:sz w:val="19"/>
        </w:rPr>
        <w:t xml:space="preserve"> </w:t>
      </w:r>
      <w:r>
        <w:rPr>
          <w:sz w:val="19"/>
        </w:rPr>
        <w:t xml:space="preserve">in</w:t>
      </w:r>
      <w:r>
        <w:rPr>
          <w:sz w:val="19"/>
        </w:rPr>
        <w:t xml:space="preserve"> </w:t>
      </w:r>
      <w:r>
        <w:rPr>
          <w:iCs/>
          <w:i/>
          <w:sz w:val="19"/>
        </w:rPr>
        <w:t xml:space="preserve">Proc. Int. Conf. Mach. Learn. (ICML)</w:t>
      </w:r>
      <w:r>
        <w:rPr>
          <w:sz w:val="19"/>
        </w:rPr>
        <w:t xml:space="preserve">, 2017.</w:t>
      </w:r>
    </w:p>
    <w:p>
      <w:pPr>
        <w:pStyle w:val="BodyText"/>
        <w:spacing w:after="40"/>
        <w:ind w:left="510" w:hanging="510"/>
        <w:jc w:val="both"/>
      </w:pPr>
      <w:r>
        <w:rPr>
          <w:sz w:val="19"/>
        </w:rPr>
        <w:t xml:space="preserve">[35] R. R. Selvaraju</w:t>
      </w:r>
      <w:r>
        <w:rPr>
          <w:sz w:val="19"/>
        </w:rPr>
        <w:t xml:space="preserve"> </w:t>
      </w:r>
      <w:r>
        <w:rPr>
          <w:iCs/>
          <w:i/>
          <w:sz w:val="19"/>
        </w:rPr>
        <w:t xml:space="preserve">et al.</w:t>
      </w:r>
      <w:r>
        <w:rPr>
          <w:sz w:val="19"/>
        </w:rPr>
        <w:t xml:space="preserve">,</w:t>
      </w:r>
      <w:r>
        <w:rPr>
          <w:sz w:val="19"/>
        </w:rPr>
        <w:t xml:space="preserve"> </w:t>
      </w:r>
      <w:r>
        <w:rPr>
          <w:sz w:val="19"/>
        </w:rPr>
        <w:t xml:space="preserve">“</w:t>
      </w:r>
      <w:r>
        <w:rPr>
          <w:sz w:val="19"/>
        </w:rPr>
        <w:t xml:space="preserve">Grad-CAM: Visual explanations from deep networks via gradient-based localization,</w:t>
      </w:r>
      <w:r>
        <w:rPr>
          <w:sz w:val="19"/>
        </w:rPr>
        <w:t xml:space="preserve">”</w:t>
      </w:r>
      <w:r>
        <w:rPr>
          <w:sz w:val="19"/>
        </w:rPr>
        <w:t xml:space="preserve"> </w:t>
      </w:r>
      <w:r>
        <w:rPr>
          <w:iCs/>
          <w:i/>
          <w:sz w:val="19"/>
        </w:rPr>
        <w:t xml:space="preserve">Int. J. Comput. Vis.</w:t>
      </w:r>
      <w:r>
        <w:rPr>
          <w:sz w:val="19"/>
        </w:rPr>
        <w:t xml:space="preserve">, vol. 128, no. 2, pp. 336–359, 2020.</w:t>
      </w:r>
    </w:p>
    <w:p>
      <w:pPr>
        <w:pStyle w:val="BodyText"/>
        <w:spacing w:after="40"/>
        <w:ind w:left="510" w:hanging="510"/>
        <w:jc w:val="both"/>
      </w:pPr>
      <w:r>
        <w:rPr>
          <w:sz w:val="19"/>
        </w:rPr>
        <w:t xml:space="preserve">[36] V. Petsiuk, A. Das, and K. Saenko,</w:t>
      </w:r>
      <w:r>
        <w:rPr>
          <w:sz w:val="19"/>
        </w:rPr>
        <w:t xml:space="preserve"> </w:t>
      </w:r>
      <w:r>
        <w:rPr>
          <w:sz w:val="19"/>
        </w:rPr>
        <w:t xml:space="preserve">“</w:t>
      </w:r>
      <w:r>
        <w:rPr>
          <w:sz w:val="19"/>
        </w:rPr>
        <w:t xml:space="preserve">RISE: Randomized input sampling for explanation of black-box models,</w:t>
      </w:r>
      <w:r>
        <w:rPr>
          <w:sz w:val="19"/>
        </w:rPr>
        <w:t xml:space="preserve">”</w:t>
      </w:r>
      <w:r>
        <w:rPr>
          <w:sz w:val="19"/>
        </w:rPr>
        <w:t xml:space="preserve"> </w:t>
      </w:r>
      <w:r>
        <w:rPr>
          <w:sz w:val="19"/>
        </w:rPr>
        <w:t xml:space="preserve">in</w:t>
      </w:r>
      <w:r>
        <w:rPr>
          <w:sz w:val="19"/>
        </w:rPr>
        <w:t xml:space="preserve"> </w:t>
      </w:r>
      <w:r>
        <w:rPr>
          <w:iCs/>
          <w:i/>
          <w:sz w:val="19"/>
        </w:rPr>
        <w:t xml:space="preserve">Proc. Brit. Mach. Vis. Conf. (BMVC)</w:t>
      </w:r>
      <w:r>
        <w:rPr>
          <w:sz w:val="19"/>
        </w:rPr>
        <w:t xml:space="preserve">, 2018.</w:t>
      </w:r>
    </w:p>
    <w:p>
      <w:pPr>
        <w:pStyle w:val="BodyText"/>
        <w:spacing w:after="40"/>
        <w:ind w:left="510" w:hanging="510"/>
        <w:jc w:val="both"/>
      </w:pPr>
      <w:r>
        <w:rPr>
          <w:sz w:val="19"/>
        </w:rPr>
        <w:t xml:space="preserve">[37] Z. You</w:t>
      </w:r>
      <w:r>
        <w:rPr>
          <w:sz w:val="19"/>
        </w:rPr>
        <w:t xml:space="preserve"> </w:t>
      </w:r>
      <w:r>
        <w:rPr>
          <w:iCs/>
          <w:i/>
          <w:sz w:val="19"/>
        </w:rPr>
        <w:t xml:space="preserve">et al.</w:t>
      </w:r>
      <w:r>
        <w:rPr>
          <w:sz w:val="19"/>
        </w:rPr>
        <w:t xml:space="preserve">,</w:t>
      </w:r>
      <w:r>
        <w:rPr>
          <w:sz w:val="19"/>
        </w:rPr>
        <w:t xml:space="preserve"> </w:t>
      </w:r>
      <w:r>
        <w:rPr>
          <w:sz w:val="19"/>
        </w:rPr>
        <w:t xml:space="preserve">“</w:t>
      </w:r>
      <w:r>
        <w:rPr>
          <w:sz w:val="19"/>
        </w:rPr>
        <w:t xml:space="preserve">Towards interpretable deep networks for monocular depth estimation,</w:t>
      </w:r>
      <w:r>
        <w:rPr>
          <w:sz w:val="19"/>
        </w:rPr>
        <w:t xml:space="preserve">”</w:t>
      </w:r>
      <w:r>
        <w:rPr>
          <w:sz w:val="19"/>
        </w:rPr>
        <w:t xml:space="preserve"> </w:t>
      </w:r>
      <w:r>
        <w:rPr>
          <w:sz w:val="19"/>
        </w:rPr>
        <w:t xml:space="preserve">in</w:t>
      </w:r>
      <w:r>
        <w:rPr>
          <w:sz w:val="19"/>
        </w:rPr>
        <w:t xml:space="preserve"> </w:t>
      </w:r>
      <w:r>
        <w:rPr>
          <w:iCs/>
          <w:i/>
          <w:sz w:val="19"/>
        </w:rPr>
        <w:t xml:space="preserve">Proc. IEEE/CVF ICCV</w:t>
      </w:r>
      <w:r>
        <w:rPr>
          <w:sz w:val="19"/>
        </w:rPr>
        <w:t xml:space="preserve">, 2021.</w:t>
      </w:r>
    </w:p>
    <w:p>
      <w:pPr>
        <w:pStyle w:val="BodyText"/>
        <w:spacing w:after="40"/>
        <w:ind w:left="510" w:hanging="510"/>
        <w:jc w:val="both"/>
      </w:pPr>
      <w:r>
        <w:rPr>
          <w:sz w:val="19"/>
        </w:rPr>
        <w:t xml:space="preserve">[38] L. Cirillo, C. Schiavella, L. Papa, P. Russo, and I. Amerini,</w:t>
      </w:r>
      <w:r>
        <w:rPr>
          <w:sz w:val="19"/>
        </w:rPr>
        <w:t xml:space="preserve"> </w:t>
      </w:r>
      <w:r>
        <w:rPr>
          <w:sz w:val="19"/>
        </w:rPr>
        <w:t xml:space="preserve">“</w:t>
      </w:r>
      <w:r>
        <w:rPr>
          <w:sz w:val="19"/>
        </w:rPr>
        <w:t xml:space="preserve">Shedding light on depth: Explainability assessment in monocular depth estimation,</w:t>
      </w:r>
      <w:r>
        <w:rPr>
          <w:sz w:val="19"/>
        </w:rPr>
        <w:t xml:space="preserve">”</w:t>
      </w:r>
      <w:r>
        <w:rPr>
          <w:sz w:val="19"/>
        </w:rPr>
        <w:t xml:space="preserve"> </w:t>
      </w:r>
      <w:r>
        <w:rPr>
          <w:sz w:val="19"/>
        </w:rPr>
        <w:t xml:space="preserve">arXiv:2509.15980, 2025.</w:t>
      </w:r>
    </w:p>
    <w:p>
      <w:pPr>
        <w:pStyle w:val="BodyText"/>
        <w:spacing w:after="40"/>
        <w:ind w:left="510" w:hanging="510"/>
        <w:jc w:val="both"/>
      </w:pPr>
      <w:r>
        <w:rPr>
          <w:sz w:val="19"/>
        </w:rPr>
        <w:t xml:space="preserve">[39] J. Chawla, N. Thakurdesai, A. Godase, M. Reza, D. Crandall, and S.-H. Jung,</w:t>
      </w:r>
      <w:r>
        <w:rPr>
          <w:sz w:val="19"/>
        </w:rPr>
        <w:t xml:space="preserve"> </w:t>
      </w:r>
      <w:r>
        <w:rPr>
          <w:sz w:val="19"/>
        </w:rPr>
        <w:t xml:space="preserve">“</w:t>
      </w:r>
      <w:r>
        <w:rPr>
          <w:sz w:val="19"/>
        </w:rPr>
        <w:t xml:space="preserve">Error diagnosis of deep monocular depth estimation models,</w:t>
      </w:r>
      <w:r>
        <w:rPr>
          <w:sz w:val="19"/>
        </w:rPr>
        <w:t xml:space="preserve">”</w:t>
      </w:r>
      <w:r>
        <w:rPr>
          <w:sz w:val="19"/>
        </w:rPr>
        <w:t xml:space="preserve"> </w:t>
      </w:r>
      <w:r>
        <w:rPr>
          <w:sz w:val="19"/>
        </w:rPr>
        <w:t xml:space="preserve">in</w:t>
      </w:r>
      <w:r>
        <w:rPr>
          <w:sz w:val="19"/>
        </w:rPr>
        <w:t xml:space="preserve"> </w:t>
      </w:r>
      <w:r>
        <w:rPr>
          <w:iCs/>
          <w:i/>
          <w:sz w:val="19"/>
        </w:rPr>
        <w:t xml:space="preserve">Proc. IEEE/RSJ Int. Conf. Intell. Robots Syst. (IROS)</w:t>
      </w:r>
      <w:r>
        <w:rPr>
          <w:sz w:val="19"/>
        </w:rPr>
        <w:t xml:space="preserve">, 2021, arXiv:2112.05533.</w:t>
      </w:r>
    </w:p>
    <w:p>
      <w:pPr>
        <w:pStyle w:val="BodyText"/>
        <w:spacing w:after="40"/>
        <w:ind w:left="510" w:hanging="510"/>
        <w:jc w:val="both"/>
      </w:pPr>
      <w:r>
        <w:rPr>
          <w:sz w:val="19"/>
        </w:rPr>
        <w:t xml:space="preserve">[40] X. Ma</w:t>
      </w:r>
      <w:r>
        <w:rPr>
          <w:sz w:val="19"/>
        </w:rPr>
        <w:t xml:space="preserve"> </w:t>
      </w:r>
      <w:r>
        <w:rPr>
          <w:iCs/>
          <w:i/>
          <w:sz w:val="19"/>
        </w:rPr>
        <w:t xml:space="preserve">et al.</w:t>
      </w:r>
      <w:r>
        <w:rPr>
          <w:sz w:val="19"/>
        </w:rPr>
        <w:t xml:space="preserve">,</w:t>
      </w:r>
      <w:r>
        <w:rPr>
          <w:sz w:val="19"/>
        </w:rPr>
        <w:t xml:space="preserve"> </w:t>
      </w:r>
      <w:r>
        <w:rPr>
          <w:sz w:val="19"/>
        </w:rPr>
        <w:t xml:space="preserve">“</w:t>
      </w:r>
      <w:r>
        <w:rPr>
          <w:sz w:val="19"/>
        </w:rPr>
        <w:t xml:space="preserve">Delving into localization errors for monocular 3D object detection,</w:t>
      </w:r>
      <w:r>
        <w:rPr>
          <w:sz w:val="19"/>
        </w:rPr>
        <w:t xml:space="preserve">”</w:t>
      </w:r>
      <w:r>
        <w:rPr>
          <w:sz w:val="19"/>
        </w:rPr>
        <w:t xml:space="preserve"> </w:t>
      </w:r>
      <w:r>
        <w:rPr>
          <w:sz w:val="19"/>
        </w:rPr>
        <w:t xml:space="preserve">in</w:t>
      </w:r>
      <w:r>
        <w:rPr>
          <w:sz w:val="19"/>
        </w:rPr>
        <w:t xml:space="preserve"> </w:t>
      </w:r>
      <w:r>
        <w:rPr>
          <w:iCs/>
          <w:i/>
          <w:sz w:val="19"/>
        </w:rPr>
        <w:t xml:space="preserve">Proc. IEEE/CVF CVPR</w:t>
      </w:r>
      <w:r>
        <w:rPr>
          <w:sz w:val="19"/>
        </w:rPr>
        <w:t xml:space="preserve">, 2021.</w:t>
      </w:r>
    </w:p>
    <w:p>
      <w:pPr>
        <w:pStyle w:val="BodyText"/>
        <w:spacing w:after="40"/>
        <w:ind w:left="510" w:hanging="510"/>
        <w:jc w:val="both"/>
      </w:pPr>
      <w:r>
        <w:rPr>
          <w:sz w:val="19"/>
        </w:rPr>
        <w:t xml:space="preserve">[41] H. Alwassel, F. Caba Heilbron, V. Escorcia, and B. Ghanem,</w:t>
      </w:r>
      <w:r>
        <w:rPr>
          <w:sz w:val="19"/>
        </w:rPr>
        <w:t xml:space="preserve"> </w:t>
      </w:r>
      <w:r>
        <w:rPr>
          <w:sz w:val="19"/>
        </w:rPr>
        <w:t xml:space="preserve">“</w:t>
      </w:r>
      <w:r>
        <w:rPr>
          <w:sz w:val="19"/>
        </w:rPr>
        <w:t xml:space="preserve">Diagnosing error in temporal action detectors,</w:t>
      </w:r>
      <w:r>
        <w:rPr>
          <w:sz w:val="19"/>
        </w:rPr>
        <w:t xml:space="preserve">”</w:t>
      </w:r>
      <w:r>
        <w:rPr>
          <w:sz w:val="19"/>
        </w:rPr>
        <w:t xml:space="preserve"> </w:t>
      </w:r>
      <w:r>
        <w:rPr>
          <w:sz w:val="19"/>
        </w:rPr>
        <w:t xml:space="preserve">in</w:t>
      </w:r>
      <w:r>
        <w:rPr>
          <w:sz w:val="19"/>
        </w:rPr>
        <w:t xml:space="preserve"> </w:t>
      </w:r>
      <w:r>
        <w:rPr>
          <w:iCs/>
          <w:i/>
          <w:sz w:val="19"/>
        </w:rPr>
        <w:t xml:space="preserve">Proc. Eur. Conf. Comput. Vis. (ECCV)</w:t>
      </w:r>
      <w:r>
        <w:rPr>
          <w:sz w:val="19"/>
        </w:rPr>
        <w:t xml:space="preserve">, 2018, arXiv:1807.10706.</w:t>
      </w:r>
    </w:p>
    <w:p>
      <w:pPr>
        <w:pStyle w:val="BodyText"/>
        <w:spacing w:after="40"/>
        <w:ind w:left="510" w:hanging="510"/>
        <w:jc w:val="both"/>
      </w:pPr>
      <w:r>
        <w:rPr>
          <w:sz w:val="19"/>
        </w:rPr>
        <w:t xml:space="preserve">[42] S. Singla</w:t>
      </w:r>
      <w:r>
        <w:rPr>
          <w:sz w:val="19"/>
        </w:rPr>
        <w:t xml:space="preserve"> </w:t>
      </w:r>
      <w:r>
        <w:rPr>
          <w:iCs/>
          <w:i/>
          <w:sz w:val="19"/>
        </w:rPr>
        <w:t xml:space="preserve">et al.</w:t>
      </w:r>
      <w:r>
        <w:rPr>
          <w:sz w:val="19"/>
        </w:rPr>
        <w:t xml:space="preserve">,</w:t>
      </w:r>
      <w:r>
        <w:rPr>
          <w:sz w:val="19"/>
        </w:rPr>
        <w:t xml:space="preserve"> </w:t>
      </w:r>
      <w:r>
        <w:rPr>
          <w:sz w:val="19"/>
        </w:rPr>
        <w:t xml:space="preserve">“</w:t>
      </w:r>
      <w:r>
        <w:rPr>
          <w:sz w:val="19"/>
        </w:rPr>
        <w:t xml:space="preserve">Understanding failures of deep networks via robust feature extraction,</w:t>
      </w:r>
      <w:r>
        <w:rPr>
          <w:sz w:val="19"/>
        </w:rPr>
        <w:t xml:space="preserve">”</w:t>
      </w:r>
      <w:r>
        <w:rPr>
          <w:sz w:val="19"/>
        </w:rPr>
        <w:t xml:space="preserve"> </w:t>
      </w:r>
      <w:r>
        <w:rPr>
          <w:sz w:val="19"/>
        </w:rPr>
        <w:t xml:space="preserve">in</w:t>
      </w:r>
      <w:r>
        <w:rPr>
          <w:sz w:val="19"/>
        </w:rPr>
        <w:t xml:space="preserve"> </w:t>
      </w:r>
      <w:r>
        <w:rPr>
          <w:iCs/>
          <w:i/>
          <w:sz w:val="19"/>
        </w:rPr>
        <w:t xml:space="preserve">Proc. IEEE/CVF CVPR</w:t>
      </w:r>
      <w:r>
        <w:rPr>
          <w:sz w:val="19"/>
        </w:rPr>
        <w:t xml:space="preserve">, 2021.</w:t>
      </w:r>
    </w:p>
    <w:p>
      <w:pPr>
        <w:pStyle w:val="BodyText"/>
        <w:spacing w:after="40"/>
        <w:ind w:left="510" w:hanging="510"/>
        <w:jc w:val="both"/>
      </w:pPr>
      <w:r>
        <w:rPr>
          <w:sz w:val="19"/>
        </w:rPr>
        <w:t xml:space="preserve">[43] G. Csurka, T. L. Hayes, D. Larlus, and R. Volpi,</w:t>
      </w:r>
      <w:r>
        <w:rPr>
          <w:sz w:val="19"/>
        </w:rPr>
        <w:t xml:space="preserve"> </w:t>
      </w:r>
      <w:r>
        <w:rPr>
          <w:sz w:val="19"/>
        </w:rPr>
        <w:t xml:space="preserve">“</w:t>
      </w:r>
      <w:r>
        <w:rPr>
          <w:sz w:val="19"/>
        </w:rPr>
        <w:t xml:space="preserve">What could go wrong? Discovering and describing failure modes in computer vision,</w:t>
      </w:r>
      <w:r>
        <w:rPr>
          <w:sz w:val="19"/>
        </w:rPr>
        <w:t xml:space="preserve">”</w:t>
      </w:r>
      <w:r>
        <w:rPr>
          <w:sz w:val="19"/>
        </w:rPr>
        <w:t xml:space="preserve"> </w:t>
      </w:r>
      <w:r>
        <w:rPr>
          <w:sz w:val="19"/>
        </w:rPr>
        <w:t xml:space="preserve">in</w:t>
      </w:r>
      <w:r>
        <w:rPr>
          <w:sz w:val="19"/>
        </w:rPr>
        <w:t xml:space="preserve"> </w:t>
      </w:r>
      <w:r>
        <w:rPr>
          <w:iCs/>
          <w:i/>
          <w:sz w:val="19"/>
        </w:rPr>
        <w:t xml:space="preserve">Proc. ECCV Workshops (eXCV)</w:t>
      </w:r>
      <w:r>
        <w:rPr>
          <w:sz w:val="19"/>
        </w:rPr>
        <w:t xml:space="preserve">, 2024, arXiv:2408.04471.</w:t>
      </w:r>
    </w:p>
    <w:p>
      <w:pPr>
        <w:pStyle w:val="BodyText"/>
        <w:spacing w:after="40"/>
        <w:ind w:left="510" w:hanging="510"/>
        <w:jc w:val="both"/>
      </w:pPr>
      <w:r>
        <w:rPr>
          <w:sz w:val="19"/>
        </w:rPr>
        <w:t xml:space="preserve">[44] J. Zhang, Y. Wang, P. Molino, L. Li, and D. S. Ebert,</w:t>
      </w:r>
      <w:r>
        <w:rPr>
          <w:sz w:val="19"/>
        </w:rPr>
        <w:t xml:space="preserve"> </w:t>
      </w:r>
      <w:r>
        <w:rPr>
          <w:sz w:val="19"/>
        </w:rPr>
        <w:t xml:space="preserve">“</w:t>
      </w:r>
      <w:r>
        <w:rPr>
          <w:sz w:val="19"/>
        </w:rPr>
        <w:t xml:space="preserve">Manifold: A model-agnostic framework for interpretation and diagnosis of machine learning models,</w:t>
      </w:r>
      <w:r>
        <w:rPr>
          <w:sz w:val="19"/>
        </w:rPr>
        <w:t xml:space="preserve">”</w:t>
      </w:r>
      <w:r>
        <w:rPr>
          <w:sz w:val="19"/>
        </w:rPr>
        <w:t xml:space="preserve"> </w:t>
      </w:r>
      <w:r>
        <w:rPr>
          <w:iCs/>
          <w:i/>
          <w:sz w:val="19"/>
        </w:rPr>
        <w:t xml:space="preserve">IEEE Trans. Vis. Comput. Graphics</w:t>
      </w:r>
      <w:r>
        <w:rPr>
          <w:sz w:val="19"/>
        </w:rPr>
        <w:t xml:space="preserve">, 2019.</w:t>
      </w:r>
    </w:p>
    <w:p>
      <w:pPr>
        <w:pStyle w:val="BodyText"/>
        <w:spacing w:after="40"/>
        <w:ind w:left="510" w:hanging="510"/>
        <w:jc w:val="both"/>
      </w:pPr>
      <w:r>
        <w:rPr>
          <w:sz w:val="19"/>
        </w:rPr>
        <w:t xml:space="preserve">[45] T. Spinner, D. Fürst, and M. El-Assady,</w:t>
      </w:r>
      <w:r>
        <w:rPr>
          <w:sz w:val="19"/>
        </w:rPr>
        <w:t xml:space="preserve"> </w:t>
      </w:r>
      <w:r>
        <w:rPr>
          <w:sz w:val="19"/>
        </w:rPr>
        <w:t xml:space="preserve">“</w:t>
      </w:r>
      <w:r>
        <w:rPr>
          <w:sz w:val="19"/>
        </w:rPr>
        <w:t xml:space="preserve">iNNspector: Visual, interactive deep model debugging,</w:t>
      </w:r>
      <w:r>
        <w:rPr>
          <w:sz w:val="19"/>
        </w:rPr>
        <w:t xml:space="preserve">”</w:t>
      </w:r>
      <w:r>
        <w:rPr>
          <w:sz w:val="19"/>
        </w:rPr>
        <w:t xml:space="preserve"> </w:t>
      </w:r>
      <w:r>
        <w:rPr>
          <w:sz w:val="19"/>
        </w:rPr>
        <w:t xml:space="preserve">arXiv:2407.17998, 2024.</w:t>
      </w:r>
    </w:p>
    <w:p>
      <w:pPr>
        <w:pStyle w:val="BodyText"/>
        <w:spacing w:after="40"/>
        <w:ind w:left="510" w:hanging="510"/>
        <w:jc w:val="both"/>
      </w:pPr>
      <w:r>
        <w:rPr>
          <w:sz w:val="19"/>
        </w:rPr>
        <w:t xml:space="preserve">[46] J. Baek</w:t>
      </w:r>
      <w:r>
        <w:rPr>
          <w:sz w:val="19"/>
        </w:rPr>
        <w:t xml:space="preserve"> </w:t>
      </w:r>
      <w:r>
        <w:rPr>
          <w:iCs/>
          <w:i/>
          <w:sz w:val="19"/>
        </w:rPr>
        <w:t xml:space="preserve">et al.</w:t>
      </w:r>
      <w:r>
        <w:rPr>
          <w:sz w:val="19"/>
        </w:rPr>
        <w:t xml:space="preserve">,</w:t>
      </w:r>
      <w:r>
        <w:rPr>
          <w:sz w:val="19"/>
        </w:rPr>
        <w:t xml:space="preserve"> </w:t>
      </w:r>
      <w:r>
        <w:rPr>
          <w:sz w:val="19"/>
        </w:rPr>
        <w:t xml:space="preserve">“</w:t>
      </w:r>
      <w:r>
        <w:rPr>
          <w:sz w:val="19"/>
        </w:rPr>
        <w:t xml:space="preserve">What is wrong with scene text recognition model comparisons? Dataset and model analysis,</w:t>
      </w:r>
      <w:r>
        <w:rPr>
          <w:sz w:val="19"/>
        </w:rPr>
        <w:t xml:space="preserve">”</w:t>
      </w:r>
      <w:r>
        <w:rPr>
          <w:sz w:val="19"/>
        </w:rPr>
        <w:t xml:space="preserve"> </w:t>
      </w:r>
      <w:r>
        <w:rPr>
          <w:sz w:val="19"/>
        </w:rPr>
        <w:t xml:space="preserve">in</w:t>
      </w:r>
      <w:r>
        <w:rPr>
          <w:sz w:val="19"/>
        </w:rPr>
        <w:t xml:space="preserve"> </w:t>
      </w:r>
      <w:r>
        <w:rPr>
          <w:iCs/>
          <w:i/>
          <w:sz w:val="19"/>
        </w:rPr>
        <w:t xml:space="preserve">Proc. IEEE/CVF ICCV</w:t>
      </w:r>
      <w:r>
        <w:rPr>
          <w:sz w:val="19"/>
        </w:rPr>
        <w:t xml:space="preserve">, 2019.</w:t>
      </w:r>
    </w:p>
    <w:p>
      <w:pPr>
        <w:pStyle w:val="BodyText"/>
        <w:spacing w:after="40"/>
        <w:ind w:left="510" w:hanging="510"/>
        <w:jc w:val="both"/>
      </w:pPr>
      <w:r>
        <w:rPr>
          <w:sz w:val="19"/>
        </w:rPr>
        <w:t xml:space="preserve">[47] B. Recht, R. Roelofs, L. Schmidt, and V. Shankar,</w:t>
      </w:r>
      <w:r>
        <w:rPr>
          <w:sz w:val="19"/>
        </w:rPr>
        <w:t xml:space="preserve"> </w:t>
      </w:r>
      <w:r>
        <w:rPr>
          <w:sz w:val="19"/>
        </w:rPr>
        <w:t xml:space="preserve">“</w:t>
      </w:r>
      <w:r>
        <w:rPr>
          <w:sz w:val="19"/>
        </w:rPr>
        <w:t xml:space="preserve">Do ImageNet classifiers generalize to ImageNet?</w:t>
      </w:r>
      <w:r>
        <w:rPr>
          <w:sz w:val="19"/>
        </w:rPr>
        <w:t xml:space="preserve">”</w:t>
      </w:r>
      <w:r>
        <w:rPr>
          <w:sz w:val="19"/>
        </w:rPr>
        <w:t xml:space="preserve"> </w:t>
      </w:r>
      <w:r>
        <w:rPr>
          <w:sz w:val="19"/>
        </w:rPr>
        <w:t xml:space="preserve">in</w:t>
      </w:r>
      <w:r>
        <w:rPr>
          <w:sz w:val="19"/>
        </w:rPr>
        <w:t xml:space="preserve"> </w:t>
      </w:r>
      <w:r>
        <w:rPr>
          <w:iCs/>
          <w:i/>
          <w:sz w:val="19"/>
        </w:rPr>
        <w:t xml:space="preserve">Proc. Int. Conf. Mach. Learn. (ICML)</w:t>
      </w:r>
      <w:r>
        <w:rPr>
          <w:sz w:val="19"/>
        </w:rPr>
        <w:t xml:space="preserve">, 2019.</w:t>
      </w:r>
    </w:p>
    <w:p>
      <w:pPr>
        <w:pStyle w:val="BodyText"/>
        <w:spacing w:after="40"/>
        <w:ind w:left="510" w:hanging="510"/>
        <w:jc w:val="both"/>
      </w:pPr>
      <w:r>
        <w:rPr>
          <w:sz w:val="19"/>
        </w:rPr>
        <w:t xml:space="preserve">[48] M. Wardat, B. D. Cruz, W. Le, and H. Rajan,</w:t>
      </w:r>
      <w:r>
        <w:rPr>
          <w:sz w:val="19"/>
        </w:rPr>
        <w:t xml:space="preserve"> </w:t>
      </w:r>
      <w:r>
        <w:rPr>
          <w:sz w:val="19"/>
        </w:rPr>
        <w:t xml:space="preserve">“</w:t>
      </w:r>
      <w:r>
        <w:rPr>
          <w:sz w:val="19"/>
        </w:rPr>
        <w:t xml:space="preserve">An effective data-driven approach for localizing deep learning faults,</w:t>
      </w:r>
      <w:r>
        <w:rPr>
          <w:sz w:val="19"/>
        </w:rPr>
        <w:t xml:space="preserve">”</w:t>
      </w:r>
      <w:r>
        <w:rPr>
          <w:sz w:val="19"/>
        </w:rPr>
        <w:t xml:space="preserve"> </w:t>
      </w:r>
      <w:r>
        <w:rPr>
          <w:sz w:val="19"/>
        </w:rPr>
        <w:t xml:space="preserve">arXiv:2307.08947, 2023.</w:t>
      </w:r>
    </w:p>
    <w:p>
      <w:pPr>
        <w:pStyle w:val="BodyText"/>
        <w:spacing w:after="40"/>
        <w:ind w:left="510" w:hanging="510"/>
        <w:jc w:val="both"/>
      </w:pPr>
      <w:r>
        <w:rPr>
          <w:sz w:val="19"/>
        </w:rPr>
        <w:t xml:space="preserve">[49] J. Cohen,</w:t>
      </w:r>
      <w:r>
        <w:rPr>
          <w:sz w:val="19"/>
        </w:rPr>
        <w:t xml:space="preserve"> </w:t>
      </w:r>
      <w:r>
        <w:rPr>
          <w:sz w:val="19"/>
        </w:rPr>
        <w:t xml:space="preserve">“</w:t>
      </w:r>
      <w:r>
        <w:rPr>
          <w:sz w:val="19"/>
        </w:rPr>
        <w:t xml:space="preserve">A coefficient of agreement for nominal scales,</w:t>
      </w:r>
      <w:r>
        <w:rPr>
          <w:sz w:val="19"/>
        </w:rPr>
        <w:t xml:space="preserve">”</w:t>
      </w:r>
      <w:r>
        <w:rPr>
          <w:sz w:val="19"/>
        </w:rPr>
        <w:t xml:space="preserve"> </w:t>
      </w:r>
      <w:r>
        <w:rPr>
          <w:iCs/>
          <w:i/>
          <w:sz w:val="19"/>
        </w:rPr>
        <w:t xml:space="preserve">Educ. Psychol. Meas.</w:t>
      </w:r>
      <w:r>
        <w:rPr>
          <w:sz w:val="19"/>
        </w:rPr>
        <w:t xml:space="preserve">, vol. 20, no. 1, pp. 37–46, 1960.</w:t>
      </w:r>
    </w:p>
    <w:p>
      <w:pPr>
        <w:pStyle w:val="BodyText"/>
        <w:spacing w:after="40"/>
        <w:ind w:left="510" w:hanging="510"/>
        <w:jc w:val="both"/>
      </w:pPr>
      <w:r>
        <w:rPr>
          <w:sz w:val="19"/>
        </w:rPr>
        <w:t xml:space="preserve">[50] J. L. Fleiss,</w:t>
      </w:r>
      <w:r>
        <w:rPr>
          <w:sz w:val="19"/>
        </w:rPr>
        <w:t xml:space="preserve"> </w:t>
      </w:r>
      <w:r>
        <w:rPr>
          <w:sz w:val="19"/>
        </w:rPr>
        <w:t xml:space="preserve">“</w:t>
      </w:r>
      <w:r>
        <w:rPr>
          <w:sz w:val="19"/>
        </w:rPr>
        <w:t xml:space="preserve">Measuring nominal scale agreement among many raters,</w:t>
      </w:r>
      <w:r>
        <w:rPr>
          <w:sz w:val="19"/>
        </w:rPr>
        <w:t xml:space="preserve">”</w:t>
      </w:r>
      <w:r>
        <w:rPr>
          <w:sz w:val="19"/>
        </w:rPr>
        <w:t xml:space="preserve"> </w:t>
      </w:r>
      <w:r>
        <w:rPr>
          <w:iCs/>
          <w:i/>
          <w:sz w:val="19"/>
        </w:rPr>
        <w:t xml:space="preserve">Psychol. Bull.</w:t>
      </w:r>
      <w:r>
        <w:rPr>
          <w:sz w:val="19"/>
        </w:rPr>
        <w:t xml:space="preserve">, vol. 76, no. 5, pp. 378–382, 1971.</w:t>
      </w:r>
    </w:p>
    <w:p>
      <w:pPr>
        <w:pStyle w:val="BodyText"/>
        <w:spacing w:after="40"/>
        <w:ind w:left="510" w:hanging="510"/>
        <w:jc w:val="both"/>
      </w:pPr>
      <w:r>
        <w:rPr>
          <w:sz w:val="19"/>
        </w:rPr>
        <w:t xml:space="preserve">[51] R. Artstein and M. Poesio,</w:t>
      </w:r>
      <w:r>
        <w:rPr>
          <w:sz w:val="19"/>
        </w:rPr>
        <w:t xml:space="preserve"> </w:t>
      </w:r>
      <w:r>
        <w:rPr>
          <w:sz w:val="19"/>
        </w:rPr>
        <w:t xml:space="preserve">“</w:t>
      </w:r>
      <w:r>
        <w:rPr>
          <w:sz w:val="19"/>
        </w:rPr>
        <w:t xml:space="preserve">Inter-coder agreement for computational linguistics,</w:t>
      </w:r>
      <w:r>
        <w:rPr>
          <w:sz w:val="19"/>
        </w:rPr>
        <w:t xml:space="preserve">”</w:t>
      </w:r>
      <w:r>
        <w:rPr>
          <w:sz w:val="19"/>
        </w:rPr>
        <w:t xml:space="preserve"> </w:t>
      </w:r>
      <w:r>
        <w:rPr>
          <w:iCs/>
          <w:i/>
          <w:sz w:val="19"/>
        </w:rPr>
        <w:t xml:space="preserve">Comput. Linguist.</w:t>
      </w:r>
      <w:r>
        <w:rPr>
          <w:sz w:val="19"/>
        </w:rPr>
        <w:t xml:space="preserve">, vol. 34, no. 4, pp. 555–596, 2008.</w:t>
      </w:r>
    </w:p>
    <w:bookmarkEnd w:id="44"/>
    <w:sectPr>
      <w:footerReference w:type="default" r:id="rId9"/>
      <w:pgSz w:w="11906" w:h="16838"/>
      <w:pgMar w:left="1247" w:right="1247" w:top="1304"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before="0" w:line="259" w:lineRule="auto"/>
    </w:pPr>
    <w:rPr>
      <w:rFonts w:ascii="Times New Roman" w:hAnsi="Times New Roman" w:cs="Times New Roman" w:eastAsia="Times New Roman"/>
      <w:color w:val="000000"/>
      <w:sz w:val="22"/>
    </w:rPr>
  </w:style>
  <w:style w:styleId="BodyText" w:type="paragraph">
    <w:name w:val="Body Text"/>
    <w:basedOn w:val="Normal"/>
    <w:link w:val="BodyTextChar"/>
    <w:pPr>
      <w:spacing w:after="100" w:before="0" w:line="259" w:lineRule="auto"/>
    </w:pPr>
    <w:qFormat/>
    <w:rPr>
      <w:rFonts w:ascii="Times New Roman" w:hAnsi="Times New Roman" w:cs="Times New Roman" w:eastAsia="Times New Roman"/>
      <w:color w:val="000000"/>
      <w:sz w:val="22"/>
    </w:rPr>
  </w:style>
  <w:style w:customStyle="1" w:styleId="FirstParagraph" w:type="paragraph">
    <w:name w:val="First Paragraph"/>
    <w:basedOn w:val="BodyText"/>
    <w:next w:val="BodyText"/>
    <w:qFormat/>
    <w:pPr>
      <w:spacing w:after="100" w:before="0" w:line="259" w:lineRule="auto"/>
    </w:pPr>
    <w:rPr>
      <w:rFonts w:ascii="Times New Roman" w:hAnsi="Times New Roman" w:cs="Times New Roman" w:eastAsia="Times New Roman"/>
      <w:color w:val="000000"/>
      <w:sz w:val="22"/>
    </w:rPr>
  </w:style>
  <w:style w:customStyle="1" w:styleId="Compact" w:type="paragraph">
    <w:name w:val="Compact"/>
    <w:basedOn w:val="BodyText"/>
    <w:qFormat/>
    <w:pPr>
      <w:spacing w:after="100" w:before="0" w:line="259" w:lineRule="auto"/>
    </w:pPr>
    <w:rPr>
      <w:rFonts w:ascii="Times New Roman" w:hAnsi="Times New Roman" w:cs="Times New Roman" w:eastAsia="Times New Roman"/>
      <w:color w:val="000000"/>
      <w:sz w:val="22"/>
    </w:rPr>
  </w:style>
  <w:style w:styleId="Title" w:type="paragraph">
    <w:name w:val="Title"/>
    <w:basedOn w:val="Normal"/>
    <w:next w:val="BodyText"/>
    <w:qFormat/>
    <w:pPr>
      <w:keepNext/>
      <w:keepLines/>
      <w:spacing w:after="240" w:before="480"/>
      <w:jc w:val="center"/>
    </w:pPr>
    <w:rPr>
      <w:rFonts w:ascii="Times New Roman" w:hAnsi="Times New Roman" w:cs="Times New Roman" w:eastAsia="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sz w:val="30"/>
      <w:szCs w:val="30"/>
    </w:rPr>
  </w:style>
  <w:style w:customStyle="1" w:styleId="Author" w:type="paragraph">
    <w:name w:val="Author"/>
    <w:next w:val="BodyText"/>
    <w:qFormat/>
    <w:pPr>
      <w:keepNext/>
      <w:keepLines/>
      <w:jc w:val="center"/>
    </w:pPr>
    <w:rPr>
      <w:rFonts w:ascii="Times New Roman" w:hAnsi="Times New Roman" w:cs="Times New Roman" w:eastAsia="Times New Roman"/>
    </w:rPr>
  </w:style>
  <w:style w:styleId="Date" w:type="paragraph">
    <w:name w:val="Date"/>
    <w:next w:val="BodyText"/>
    <w:qFormat/>
    <w:pPr>
      <w:keepNext/>
      <w:keepLines/>
      <w:jc w:val="center"/>
    </w:pPr>
    <w:rPr>
      <w:rFonts w:ascii="Times New Roman" w:hAnsi="Times New Roman" w:cs="Times New Roman" w:eastAsia="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cs="Times New Roman" w:eastAsia="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0"/>
      <w:szCs w:val="20"/>
    </w:rPr>
  </w:style>
  <w:style w:styleId="Bibliography" w:type="paragraph">
    <w:name w:val="Bibliography"/>
    <w:basedOn w:val="Normal"/>
    <w:next w:val="Bibliography"/>
    <w:qFormat/>
    <w:pPr/>
    <w:rPr>
      <w:rFonts w:ascii="Times New Roman" w:hAnsi="Times New Roman" w:cs="Times New Roman" w:eastAsia="Times New Roman"/>
    </w:rPr>
  </w:style>
  <w:style w:styleId="Heading1" w:type="paragraph">
    <w:name w:val="Heading 1"/>
    <w:basedOn w:val="Normal"/>
    <w:next w:val="BodyText"/>
    <w:uiPriority w:val="9"/>
    <w:qFormat/>
    <w:pPr>
      <w:keepNext/>
      <w:keepLines/>
      <w:spacing w:after="80" w:before="240"/>
      <w:outlineLvl w:val="0"/>
    </w:pPr>
    <w:rPr>
      <w:rFonts w:ascii="Times New Roman" w:hAnsi="Times New Roman" w:cs="Times New Roman" w:eastAsia="Times New Roman"/>
      <w:b/>
      <w:bCs/>
      <w:i w:val="0"/>
      <w:color w:val="000000"/>
      <w:sz w:val="26"/>
      <w:szCs w:val="32"/>
    </w:rPr>
  </w:style>
  <w:style w:styleId="Heading2" w:type="paragraph">
    <w:name w:val="Heading 2"/>
    <w:basedOn w:val="Normal"/>
    <w:next w:val="BodyText"/>
    <w:uiPriority w:val="9"/>
    <w:unhideWhenUsed/>
    <w:qFormat/>
    <w:pPr>
      <w:keepNext/>
      <w:keepLines/>
      <w:spacing w:after="80" w:before="160"/>
      <w:outlineLvl w:val="1"/>
    </w:pPr>
    <w:rPr>
      <w:rFonts w:ascii="Times New Roman" w:hAnsi="Times New Roman" w:cs="Times New Roman" w:eastAsia="Times New Roman"/>
      <w:b/>
      <w:bCs/>
      <w:i/>
      <w:color w:val="000000"/>
      <w:sz w:val="23"/>
      <w:szCs w:val="28"/>
    </w:rPr>
  </w:style>
  <w:style w:styleId="Heading3" w:type="paragraph">
    <w:name w:val="Heading 3"/>
    <w:basedOn w:val="Normal"/>
    <w:next w:val="BodyText"/>
    <w:uiPriority w:val="9"/>
    <w:unhideWhenUsed/>
    <w:qFormat/>
    <w:pPr>
      <w:keepNext/>
      <w:keepLines/>
      <w:spacing w:after="80" w:before="160"/>
      <w:outlineLvl w:val="2"/>
    </w:pPr>
    <w:rPr>
      <w:rFonts w:ascii="Times New Roman" w:hAnsi="Times New Roman" w:cs="Times New Roman" w:eastAsia="Times New Roman"/>
      <w:b/>
      <w:bCs/>
      <w:i/>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eastAsia="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eastAsia="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val="0"/>
      <w:color w:val="000000"/>
      <w:sz w:val="19"/>
    </w:rPr>
  </w:style>
  <w:style w:customStyle="1" w:styleId="TableCaption" w:type="paragraph">
    <w:name w:val="Table Caption"/>
    <w:basedOn w:val="Caption"/>
    <w:pPr>
      <w:keepNext/>
    </w:pPr>
    <w:rPr>
      <w:rFonts w:ascii="Times New Roman" w:hAnsi="Times New Roman" w:cs="Times New Roman" w:eastAsia="Times New Roman"/>
      <w:i w:val="0"/>
      <w:color w:val="000000"/>
      <w:sz w:val="19"/>
    </w:rPr>
  </w:style>
  <w:style w:customStyle="1" w:styleId="ImageCaption" w:type="paragraph">
    <w:name w:val="Image Caption"/>
    <w:basedOn w:val="Caption"/>
    <w:rPr>
      <w:rFonts w:ascii="Times New Roman" w:hAnsi="Times New Roman" w:cs="Times New Roman" w:eastAsia="Times New Roman"/>
      <w:i w:val="0"/>
      <w:color w:val="000000"/>
      <w:sz w:val="19"/>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Error Observatory (VEO)</dc:title>
  <dc:creator>Anshuman Chakravorty, Zeeshan Ali, Omer Faraz</dc:creator>
  <cp:keywords/>
  <dcterms:created xsi:type="dcterms:W3CDTF">2026-10-19T21:37:13Z</dcterms:created>
  <dcterms:modified xsi:type="dcterms:W3CDTF">2026-10-19T21:37:13Z</dcterms:modified>
</cp:coreProperties>
</file>

<file path=docProps/custom.xml><?xml version="1.0" encoding="utf-8"?>
<Properties xmlns="http://schemas.openxmlformats.org/officeDocument/2006/custom-properties" xmlns:vt="http://schemas.openxmlformats.org/officeDocument/2006/docPropsVTypes"/>
</file>