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产品交流会会务服务合同</w:t>
      </w:r>
    </w:p>
    <w:p>
      <w:r>
        <w:t>合同编号 HZ-CG-2026-004  |  草案日期 2026-04-20  |  项目 四月产品交流会项目</w:t>
      </w:r>
    </w:p>
    <w:p>
      <w:r>
        <w:t>甲方 华子有限公司    乙方 棠序会展服务有限公司</w:t>
      </w:r>
    </w:p>
    <w:p>
      <w:pPr>
        <w:pStyle w:val="Heading1"/>
        <w:keepNext/>
      </w:pPr>
      <w:r>
        <w:t>第1条 主体与活动</w:t>
      </w:r>
    </w:p>
    <w:p>
      <w:r>
        <w:t>甲方为华子有限公司（会务委托方），乙方为棠序会展服务有限公司（会务承办方）。乙方承办2026年5月20日单日产品交流会，预计八十人，编号 HZ-CG-2026-004。活动为普通企业交流，不含营业性演出或对公众售票。</w:t>
      </w:r>
    </w:p>
    <w:p>
      <w:pPr>
        <w:pStyle w:val="Heading1"/>
        <w:keepNext/>
      </w:pPr>
      <w:r>
        <w:t>第2条 服务内容与价款</w:t>
      </w:r>
    </w:p>
    <w:p>
      <w:r>
        <w:t>服务包括单日场地协调、八十人茶歇、标准投影与音响、桌椅布置、现场签到引导及会后清理。含税包干总价人民币50,000元；不含嘉宾住宿、交通和超八十人新增餐饮。新增项目须甲方书面批准价款后执行，不得以现场口头要求追加收费。</w:t>
      </w:r>
    </w:p>
    <w:p>
      <w:pPr>
        <w:pStyle w:val="Heading1"/>
        <w:keepNext/>
      </w:pPr>
      <w:r>
        <w:t>第3条 筹备与场地</w:t>
      </w:r>
    </w:p>
    <w:p>
      <w:r>
        <w:t>乙方于2026年5月8日前提交布置和设备清单，5月19日完成场地检查与彩排，5月20日上午九时至下午五时提供服务。会场位于上海市内，经甲方项目负责人书面确认；具体场地地址属于签署前待核验清单，乙方应确保具备相应用途及安全条件。</w:t>
      </w:r>
    </w:p>
    <w:p>
      <w:pPr>
        <w:pStyle w:val="Heading1"/>
        <w:keepNext/>
      </w:pPr>
      <w:r>
        <w:t>第4条 验收</w:t>
      </w:r>
    </w:p>
    <w:p>
      <w:r>
        <w:t>甲方按座位数量、设备运行、茶歇数量和服务时段逐项现场确认，乙方对不足项目立即补救；会后三个工作日提交结算及完成记录，甲方五个工作日内书面确认。实际出席不足八十人不减免已经按约准备的固定服务费，未交付项目应扣除对应费用。</w:t>
      </w:r>
    </w:p>
    <w:p>
      <w:pPr>
        <w:pStyle w:val="Heading1"/>
        <w:keepNext/>
      </w:pPr>
      <w:r>
        <w:t>第5条 付款</w:t>
      </w:r>
    </w:p>
    <w:p>
      <w:r>
        <w:t>合同生效且收到合格发票后十个工作日内支付30%，即15,000元；活动完成、结算验收且收到对应发票后十五个工作日内支付70%，即35,000元。不得收取未经书面同意的押金或增项，任何退款付回原付款对公账户。</w:t>
      </w:r>
    </w:p>
    <w:p>
      <w:pPr>
        <w:pStyle w:val="Heading1"/>
        <w:keepNext/>
      </w:pPr>
      <w:r>
        <w:t>第6条 取消与改期</w:t>
      </w:r>
    </w:p>
    <w:p>
      <w:r>
        <w:t>甲方在活动前十个日历日以上取消，仅承担乙方已发生且有合法凭据、不能合理减损的外部费用，最高不超过总价20%；不足十日取消最高不超过40%，仍需证明实际费用。改期由双方协商，乙方应努力减少损失，不得将取消费与同一外部损失重复收取。</w:t>
      </w:r>
    </w:p>
    <w:p>
      <w:pPr>
        <w:pStyle w:val="Heading1"/>
        <w:keepNext/>
      </w:pPr>
      <w:r>
        <w:t>第7条 安全与人员</w:t>
      </w:r>
    </w:p>
    <w:p>
      <w:r>
        <w:t>乙方负责现场通道、用电和设施检查，不得使用无相应资质的特种作业人员。甲方负责内容及嘉宾秩序安排。发生突发情况立即停用危险设施并配合疏散，依法由责任方承担责任。本合同不授权处理未成年人信息。</w:t>
      </w:r>
    </w:p>
    <w:p>
      <w:pPr>
        <w:pStyle w:val="Heading1"/>
        <w:keepNext/>
      </w:pPr>
      <w:r>
        <w:t>第8条 资料与保密</w:t>
      </w:r>
    </w:p>
    <w:p>
      <w:r>
        <w:t>甲方演示内容、商标和邀请名单仅用于本次活动，不得用于乙方宣传或其他客户招揽；公开发布照片须甲方另行确认合法权限。资料结束三十日内删除，法律要求留存的限必要范围隔离。一般保密五年，商业秘密持续保护。</w:t>
      </w:r>
    </w:p>
    <w:p>
      <w:pPr>
        <w:pStyle w:val="Heading1"/>
        <w:keepNext/>
      </w:pPr>
      <w:r>
        <w:t>第9条 责任</w:t>
      </w:r>
    </w:p>
    <w:p>
      <w:r>
        <w:t>任一方一般损害赔偿累计不超过合同总价100%，故意或重大过失、人身损害、知识产权侵权和泄密不受此限。乙方未按期提供关键场地或设备导致活动不能举办的，甲方可解除并要求返还未履行部分款项及依法可赔偿的损失。</w:t>
      </w:r>
    </w:p>
    <w:p>
      <w:pPr>
        <w:pStyle w:val="Heading1"/>
        <w:keepNext/>
      </w:pPr>
      <w:r>
        <w:t>第10条 终止与结算</w:t>
      </w:r>
    </w:p>
    <w:p>
      <w:r>
        <w:t>重大违约经合理催告仍未补救的可解除；对影响活动当日目的的缺陷，催告期限可按实际可用时间确定。解除后按已实际提供且符合约定的服务结算，并按第六条处理甲方非因乙方违约或不可抗力而主动取消的情形，双方不得重复收费。</w:t>
      </w:r>
    </w:p>
    <w:p>
      <w:pPr>
        <w:pStyle w:val="Heading1"/>
        <w:keepNext/>
      </w:pPr>
      <w:r>
        <w:t>第11条 不可抗力</w:t>
      </w:r>
    </w:p>
    <w:p>
      <w:r>
        <w:t>因不能预见、不能避免且不能克服的客观事件导致不能履行的，受影响方应及时通知，在合理期限提供证明，并采取合理措施减少损失；按实际影响协商延期或部分免除责任。付款困难、一般人员短缺或可预防的系统故障不当然构成不可抗力。影响持续三十日且合同目的无法实现的，任一方可解除未履行部分，已完成且合格的部分据实结算。如不可抗力使活动当日已无法举办且双方未能协商改期，任一方可解除未履行服务；不收取第六条便利取消费，已提供且可用服务据实结算，依法合理分担已发生且无法避免的外部成本。</w:t>
      </w:r>
    </w:p>
    <w:p>
      <w:pPr>
        <w:pStyle w:val="Heading1"/>
        <w:keepNext/>
      </w:pPr>
      <w:r>
        <w:t>第12条 通知与账户</w:t>
      </w:r>
    </w:p>
    <w:p>
      <w:r>
        <w:t>双方以本合同约定的项目书面记录交换通知；接收角色分别为各方项目负责人，法律通知同时送交各方法务。变更应由有权代表签署。双方的联系信息、送达地址及收款账户以经核验的书面清单为准，签署前由各方有权代表确认。更改收款账户必须经付款方独立回拨核验，不以单封邮件为依据。</w:t>
      </w:r>
    </w:p>
    <w:p>
      <w:pPr>
        <w:pStyle w:val="Heading1"/>
        <w:keepNext/>
      </w:pPr>
      <w:r>
        <w:t>第13条 争议解决</w:t>
      </w:r>
    </w:p>
    <w:p>
      <w:r>
        <w:t>双方协商十五日不成，向甲方住所地有管辖权的人民法院起诉。</w:t>
      </w:r>
    </w:p>
    <w:p>
      <w:pPr>
        <w:pStyle w:val="Heading1"/>
        <w:keepNext/>
      </w:pPr>
      <w:r>
        <w:t>第14条 生效与签署</w:t>
      </w:r>
    </w:p>
    <w:p>
      <w:r>
        <w:t>本合同适用中华人民共和国大陆地区法律。双方有权代表签字并加盖公章或合同专用章后生效。修改、附件与补充协议应采用书面形式，冲突时以双方后签署且明确变更原条款的文件为准。合同一式两份，双方各执一份。</w:t>
      </w:r>
    </w:p>
    <w:p>
      <w:r>
        <w:t>甲方签章：________________    乙方签章：________________</w:t>
      </w:r>
    </w:p>
    <w:p>
      <w:r>
        <w:t>授权代表：________________    授权代表：________________</w:t>
      </w:r>
    </w:p>
    <w:p>
      <w:r>
        <w:t>签署日期：________________    签署日期：________________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产品交流会会务服务合同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