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工业控制终端补充采购合同</w:t>
      </w:r>
    </w:p>
    <w:p>
      <w:r>
        <w:t>合同编号 HZ-CG-2026-005  |  修订日期 2026-08-21  |  修订版本 R2  |  项目 二期生产线终端采购项目</w:t>
      </w:r>
    </w:p>
    <w:p>
      <w:r>
        <w:t>甲方 华子有限公司    乙方 启衡设备有限公司</w:t>
      </w:r>
    </w:p>
    <w:p>
      <w:pPr>
        <w:pStyle w:val="Heading1"/>
        <w:keepNext/>
      </w:pPr>
      <w:r>
        <w:t>第1条 主体与交易</w:t>
      </w:r>
    </w:p>
    <w:p>
      <w:r>
        <w:t>甲方为华子有限公司（买受人），乙方为启衡设备有限公司（出卖人）。甲方为第二条生产线采购设备，编号 HZ-CG-2026-005，项目 二期生产线终端采购项目。双方先前项目各自独立结算，不因同一交易方自动合并义务。</w:t>
      </w:r>
    </w:p>
    <w:p>
      <w:pPr>
        <w:pStyle w:val="Heading1"/>
        <w:keepNext/>
      </w:pPr>
      <w:r>
        <w:t>第2条 标的与价格</w:t>
      </w:r>
    </w:p>
    <w:p>
      <w:r>
        <w:t>采购 QH-T20 工业控制终端三十台，含税单价人民币11,300元，含税总价人民币339,000元。每台含电源模块、支架和中文手册，总价包括包装、境内运输、保险、安装、培训及十二个月质保。</w:t>
      </w:r>
    </w:p>
    <w:p>
      <w:pPr>
        <w:pStyle w:val="Heading1"/>
        <w:keepNext/>
      </w:pPr>
      <w:r>
        <w:t>第3条 交付与质量</w:t>
      </w:r>
    </w:p>
    <w:p>
      <w:r>
        <w:t>乙方于2026年9月15日前交至甲方上海项目现场，接收点提前五个工作日书面确认。货物须为全新合格品，具备至少四路数字输入、四路数字输出和双以太网接口，安装后连续运行七十二小时无设备故障。交付前运输风险由乙方承担，签收仅证明数量和外观。</w:t>
      </w:r>
    </w:p>
    <w:p>
      <w:pPr>
        <w:pStyle w:val="Heading1"/>
        <w:keepNext/>
      </w:pPr>
      <w:r>
        <w:t>第4条 验收</w:t>
      </w:r>
    </w:p>
    <w:p>
      <w:r>
        <w:t>到货十个工作日内初验，安装调试后连续运行测试并出具书面终验记录。试用、付款或沉默均不视为放弃缺陷请求。乙方收到缺陷记录后五个工作日修复或换货，两次整改不合格时甲方可退货。质保自终验合格十二个月，响应四小时、到场四十八小时。</w:t>
      </w:r>
    </w:p>
    <w:p>
      <w:pPr>
        <w:pStyle w:val="Heading1"/>
        <w:keepNext/>
      </w:pPr>
      <w:r>
        <w:t>第5条 付款</w:t>
      </w:r>
    </w:p>
    <w:p>
      <w:r>
        <w:t>合同生效、取得合格发票后十个工作日内支付20%，即67,800元；终验合格且收到对应发票后十五个工作日内支付70%，即237,300元；质保届满且无未解决缺陷后十五个工作日内支付10%，即33,900元。仅支付至乙方核验的对公账户，争议部分单独处理。</w:t>
      </w:r>
    </w:p>
    <w:p>
      <w:pPr>
        <w:pStyle w:val="Heading1"/>
        <w:keepNext/>
      </w:pPr>
      <w:r>
        <w:t>第6条 迟延责任</w:t>
      </w:r>
    </w:p>
    <w:p>
      <w:r>
        <w:t>乙方迟延交货，按迟延部分含税价款每日0.05%向甲方支付违约金，累计不超过迟延部分价款5%。迟延超过十五日，甲方可解除迟延部分，违约金不足弥补依法可赔偿损失的可请求不足部分，不得重复获偿。甲方逾期支付无争议到期款经十个工作日催告未改正，按每日0.02%承担责任。</w:t>
      </w:r>
    </w:p>
    <w:p>
      <w:pPr>
        <w:pStyle w:val="Heading1"/>
        <w:keepNext/>
      </w:pPr>
      <w:r>
        <w:t>第7条 责任上限</w:t>
      </w:r>
    </w:p>
    <w:p>
      <w:r>
        <w:t>乙方一般损害赔偿累计上限为本合同含税总价100%；故意或重大过失、人身损害、知识产权侵权和违反保密义务不受此限，法律不得限制的责任依法处理。退还未履行部分价款、修理更换及继续履行义务不计入赔偿上限。</w:t>
      </w:r>
    </w:p>
    <w:p>
      <w:pPr>
        <w:pStyle w:val="Heading1"/>
        <w:keepNext/>
      </w:pPr>
      <w:r>
        <w:t>第8条 知识产权</w:t>
      </w:r>
    </w:p>
    <w:p>
      <w:r>
        <w:t>乙方保证产品及随附软件在本合同用途内有合法授权，承担其产品侵权争议处理并提供替代或退款。甲方取得随设备使用所需的永久非独占许可，乙方不得将甲方生产参数用于其他客户项目。</w:t>
      </w:r>
    </w:p>
    <w:p>
      <w:pPr>
        <w:pStyle w:val="Heading1"/>
        <w:keepNext/>
      </w:pPr>
      <w:r>
        <w:t>第9条 保密</w:t>
      </w:r>
    </w:p>
    <w:p>
      <w:r>
        <w:t>双方未公开技术、价格和经营资料仅用于履约，向必要人员披露时应约束同等保密义务；依法披露在允许范围预先通知。一般保密义务终止后五年有效，商业秘密在秘密状态持续保护。</w:t>
      </w:r>
    </w:p>
    <w:p>
      <w:pPr>
        <w:pStyle w:val="Heading1"/>
        <w:keepNext/>
      </w:pPr>
      <w:r>
        <w:t>第10条 变更与解除</w:t>
      </w:r>
    </w:p>
    <w:p>
      <w:r>
        <w:t>任何增量、变价和工期变更须双方有权代表签署变更单。重大违约十个工作日未纠正可解除，严重侵权或泄密可立即解除；解除后按合格已交付部分结算并返还余额，违约及保密义务继续有效。</w:t>
      </w:r>
    </w:p>
    <w:p>
      <w:pPr>
        <w:pStyle w:val="Heading1"/>
        <w:keepNext/>
      </w:pPr>
      <w:r>
        <w:t>第11条 不可抗力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  <w:keepNext/>
      </w:pPr>
      <w:r>
        <w:t>第12条 通知与账户</w:t>
      </w:r>
    </w:p>
    <w:p>
      <w:r>
        <w:t>双方以本合同约定的项目书面记录交换通知；接收角色分别为各方项目负责人，法律通知同时送交各方法务。变更应由有权代表签署。双方的联系信息、送达地址及收款账户以经核验的书面清单为准，签署前由各方有权代表确认。更改收款账户必须经付款方独立回拨核验，不以单封邮件为依据。</w:t>
      </w:r>
    </w:p>
    <w:p>
      <w:pPr>
        <w:pStyle w:val="Heading1"/>
        <w:keepNext/>
      </w:pPr>
      <w:r>
        <w:t>第13条 争议解决</w:t>
      </w:r>
    </w:p>
    <w:p>
      <w:r>
        <w:t>协商十五日不成，向甲方住所地有管辖权的人民法院起诉。</w:t>
      </w:r>
    </w:p>
    <w:p>
      <w:pPr>
        <w:pStyle w:val="Heading1"/>
        <w:keepNext/>
      </w:pPr>
      <w:r>
        <w:t>第14条 生效与签署</w:t>
      </w:r>
    </w:p>
    <w:p>
      <w:r>
        <w:t>本合同适用中华人民共和国大陆地区法律。双方有权代表签字并加盖公章或合同专用章后生效。修改、附件与补充协议应采用书面形式，冲突时以双方后签署且明确变更原条款的文件为准。合同一式两份，双方各执一份。</w:t>
      </w:r>
    </w:p>
    <w:p>
      <w:r>
        <w:t>甲方签章：________________    乙方签章：________________</w:t>
      </w:r>
    </w:p>
    <w:p>
      <w:r>
        <w:t>授权代表：________________    授权代表：________________</w:t>
      </w:r>
    </w:p>
    <w:p>
      <w:r>
        <w:t>签署日期：________________    签署日期：________________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Arial Unicode MS" w:hAnsi="Arial Unicode MS" w:eastAsia="Arial Unicode MS" w:cs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Unicode MS" w:hAnsi="Arial Unicode MS" w:eastAsia="Arial Unicode MS" w:cs="Arial Unicode MS"/>
      <w:b w:val="0"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工业控制终端补充采购合同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