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协同接口开发及许可服务合同</w:t>
      </w:r>
    </w:p>
    <w:p>
      <w:r>
        <w:t>合同编号 HZ-XS-2026-003  |  草案日期 2026-08-05  |  项目 协同接口开发项目</w:t>
      </w:r>
    </w:p>
    <w:p>
      <w:r>
        <w:t>甲方 云砺信息技术有限公司    乙方 华子有限公司</w:t>
      </w:r>
    </w:p>
    <w:p>
      <w:pPr>
        <w:pStyle w:val="Heading1"/>
        <w:keepNext/>
      </w:pPr>
      <w:r>
        <w:t>第1条 主体与范围</w:t>
      </w:r>
    </w:p>
    <w:p>
      <w:r>
        <w:t>甲方为云砺信息技术有限公司（客户和付款方），乙方为华子有限公司（开发及许可服务提供方）。编号 HZ-XS-2026-003，项目 协同接口开发项目。乙方交付用于甲方内部系统的三个协同接口及部署说明，不承担甲方原有平台整体运行。</w:t>
      </w:r>
    </w:p>
    <w:p>
      <w:pPr>
        <w:pStyle w:val="Heading1"/>
        <w:keepNext/>
      </w:pPr>
      <w:r>
        <w:t>第2条 费用与期限</w:t>
      </w:r>
    </w:p>
    <w:p>
      <w:r>
        <w:t>含税总价人民币180,000元，包括需求确认、开发、联调、文档和验收后六个月缺陷维护。项目计划自2026年8月25日至11月20日，维护期从实际验收之日起计算。新增接口或第三方平台重大变动应先签署变更单。</w:t>
      </w:r>
    </w:p>
    <w:p>
      <w:pPr>
        <w:pStyle w:val="Heading1"/>
        <w:keepNext/>
      </w:pPr>
      <w:r>
        <w:t>第3条 里程碑与配合</w:t>
      </w:r>
    </w:p>
    <w:p>
      <w:r>
        <w:t>甲方于8月25日前提供测试环境和接口规范；乙方9月10日前完成设计、10月20日前交付测试版本、11月20日前完成最终交付。甲方变更或未按期提供必要条件时，双方按影响书面调整，不视为乙方当然免责。双方仅使用脱敏的流程验证记录。</w:t>
      </w:r>
    </w:p>
    <w:p>
      <w:pPr>
        <w:pStyle w:val="Heading1"/>
        <w:keepNext/>
      </w:pPr>
      <w:r>
        <w:t>第4条 验收与维护</w:t>
      </w:r>
    </w:p>
    <w:p>
      <w:r>
        <w:t>三个接口分别为订单状态查询、库存同步和审批结果回传；每个接口检查鉴权成功、鉴权失败、正常响应、字段缺失、空值、超时、重试、重复请求、并发请求和审计日志共十项，合计三十项功能测试。鉴权与数据准确性为关键测试，须全部通过，其他缺陷不得影响主流程。甲方收到最终交付后十个工作日出具书面验收结果；乙方五个工作日内修复可重现缺陷，两次未通过可解除受影响模块。测试使用不构成默示验收。维护期内缺陷免费修复，新增功能另行约定。</w:t>
      </w:r>
    </w:p>
    <w:p>
      <w:pPr>
        <w:pStyle w:val="Heading1"/>
        <w:keepNext/>
      </w:pPr>
      <w:r>
        <w:t>第5条 付款</w:t>
      </w:r>
    </w:p>
    <w:p>
      <w:r>
        <w:t>合同生效且收到合格发票后十个工作日内，甲方向乙方支付30%，即54,000元；测试版本交付且收到发票后十个工作日支付40%，即72,000元；书面验收合格且收到发票后十五个工作日支付30%，即54,000元。无争议到期款不得因无关项目争议而拒付。</w:t>
      </w:r>
    </w:p>
    <w:p>
      <w:pPr>
        <w:pStyle w:val="Heading1"/>
        <w:keepNext/>
      </w:pPr>
      <w:r>
        <w:t>第6条 责任分配</w:t>
      </w:r>
    </w:p>
    <w:p>
      <w:r>
        <w:t>乙方因本合同一般违约产生的损害赔偿累计上限为本合同含税总价30%，即54,000元。故意或重大过失、人身损害、知识产权侵权、违反保密或数据用途限制的责任不受该上限限制；退款、缺陷补救、数据返还不计入赔偿上限。甲方付款义务不受本条赔偿上限限制。</w:t>
      </w:r>
    </w:p>
    <w:p>
      <w:pPr>
        <w:pStyle w:val="Heading1"/>
        <w:keepNext/>
      </w:pPr>
      <w:r>
        <w:t>第7条 迟延与整改</w:t>
      </w:r>
    </w:p>
    <w:p>
      <w:r>
        <w:t>乙方迟延里程碑按迟延部分费用（设计确认为54,000元、测试版本为72,000元、最终交付为54,000元；同一期间不重复计提）每日0.03%承担违约金，累计5%封顶；甲方迟延支付无争议到期款经十个工作日催告未改正的，按未付金额每日0.03%向乙方支付违约金，累计5%封顶。损失赔偿与违约金不重复计算，重大迟延的解除权另按本合同。</w:t>
      </w:r>
    </w:p>
    <w:p>
      <w:pPr>
        <w:pStyle w:val="Heading1"/>
        <w:keepNext/>
      </w:pPr>
      <w:r>
        <w:t>第8条 成果权利</w:t>
      </w:r>
    </w:p>
    <w:p>
      <w:r>
        <w:t>甲方按期付清对应价款后，取得交付的定制接口代码在其内部系统持续使用、维护和修改的非独占许可；乙方保留通用框架和事前工具的权利。乙方保证交付代码的合法来源，列明开源组件及许可义务，不得嵌入与约定使用方式冲突的组件。</w:t>
      </w:r>
    </w:p>
    <w:p>
      <w:pPr>
        <w:pStyle w:val="Heading1"/>
        <w:keepNext/>
      </w:pPr>
      <w:r>
        <w:t>第9条 数据与保密</w:t>
      </w:r>
    </w:p>
    <w:p>
      <w:r>
        <w:t>甲方仅提供脱敏的流程验证记录；如需真实数据须另行评估并签署处理约定。乙方不得将甲方资料用于通用模型训练或第三方项目，双方按最小必要范围访问资料。疑似泄露十二小时内通知，资料存储限中国大陆；一般保密五年，商业秘密持续。</w:t>
      </w:r>
    </w:p>
    <w:p>
      <w:pPr>
        <w:pStyle w:val="Heading1"/>
        <w:keepNext/>
      </w:pPr>
      <w:r>
        <w:t>第10条 终止与交接</w:t>
      </w:r>
    </w:p>
    <w:p>
      <w:r>
        <w:t>重大违约十个工作日未补救时守约方可解除受影响部分。甲方应按已验收模块结算，乙方退还未完成部分款项；乙方在十五日内交付对应已付费成果、说明及甲方资料，三十日删除在线副本，备份九十日内轮替删除。</w:t>
      </w:r>
    </w:p>
    <w:p>
      <w:pPr>
        <w:pStyle w:val="Heading1"/>
        <w:keepNext/>
      </w:pPr>
      <w:r>
        <w:t>第11条 不可抗力</w:t>
      </w:r>
    </w:p>
    <w:p>
      <w:r>
        <w:t>因不能预见、不能避免且不能克服的客观事件导致不能履行的，受影响方应及时通知，在合理期限提供证明，并采取合理措施减少损失；按实际影响协商延期或部分免除责任。付款困难、一般人员短缺或可预防的系统故障不当然构成不可抗力。影响持续三十日且合同目的无法实现的，任一方可解除未履行部分，已完成且合格的部分据实结算。</w:t>
      </w:r>
    </w:p>
    <w:p>
      <w:pPr>
        <w:pStyle w:val="Heading1"/>
        <w:keepNext/>
      </w:pPr>
      <w:r>
        <w:t>第12条 通知与账户</w:t>
      </w:r>
    </w:p>
    <w:p>
      <w:r>
        <w:t>双方以本合同约定的项目书面记录交换通知；接收角色分别为各方项目负责人，法律通知同时送交各方法务。变更应由有权代表签署。双方的联系信息、送达地址及收款账户以经核验的书面清单为准，签署前由各方有权代表确认。更改收款账户必须经付款方独立回拨核验，不以单封邮件为依据。</w:t>
      </w:r>
    </w:p>
    <w:p>
      <w:pPr>
        <w:pStyle w:val="Heading1"/>
        <w:keepNext/>
      </w:pPr>
      <w:r>
        <w:t>第13条 争议解决</w:t>
      </w:r>
    </w:p>
    <w:p>
      <w:r>
        <w:t>双方协商十五日不成，向乙方住所地有管辖权的人民法院起诉。</w:t>
      </w:r>
    </w:p>
    <w:p>
      <w:pPr>
        <w:pStyle w:val="Heading1"/>
        <w:keepNext/>
      </w:pPr>
      <w:r>
        <w:t>第14条 生效与签署</w:t>
      </w:r>
    </w:p>
    <w:p>
      <w:r>
        <w:t>本合同适用中华人民共和国大陆地区法律。双方有权代表签字并加盖公章或合同专用章后生效。修改、附件与补充协议应采用书面形式，冲突时以双方后签署且明确变更原条款的文件为准。合同一式两份，双方各执一份。</w:t>
      </w:r>
    </w:p>
    <w:p>
      <w:r>
        <w:t>甲方签章：________________    乙方签章：________________</w:t>
      </w:r>
    </w:p>
    <w:p>
      <w:r>
        <w:t>授权代表：________________    授权代表：________________</w:t>
      </w:r>
    </w:p>
    <w:p>
      <w:r>
        <w:t>签署日期：________________    签署日期：________________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 Unicode MS" w:hAnsi="Arial Unicode MS" w:eastAsia="Arial Unicode MS" w:cs="Arial Unicode MS"/>
      <w:b w:val="0"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协同接口开发及许可服务合同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