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流程协作软件年度服务合同</w:t>
      </w:r>
    </w:p>
    <w:p>
      <w:r>
        <w:t>合同编号 HZ-CG-2026-006  |  草案日期 2026-08-10  |  项目 流程协作软件年度项目</w:t>
      </w:r>
    </w:p>
    <w:p>
      <w:r>
        <w:t>甲方 华子有限公司    乙方 云砺信息技术有限公司</w:t>
      </w:r>
    </w:p>
    <w:p>
      <w:pPr>
        <w:pStyle w:val="Heading1"/>
        <w:keepNext/>
      </w:pPr>
      <w:r>
        <w:t>第1条 主体与服务</w:t>
      </w:r>
    </w:p>
    <w:p>
      <w:r>
        <w:t>甲方为华子有限公司（软件客户），乙方为云砺信息技术有限公司（软件服务提供方）。编号 HZ-CG-2026-006，项目 流程协作软件年度项目。乙方为甲方提供一百个内部账号和十个审批流程，不包含对外转售许可。</w:t>
      </w:r>
    </w:p>
    <w:p>
      <w:pPr>
        <w:pStyle w:val="Heading1"/>
        <w:keepNext/>
      </w:pPr>
      <w:r>
        <w:t>第2条 期限与价格</w:t>
      </w:r>
    </w:p>
    <w:p>
      <w:r>
        <w:t>服务期为2026年9月1日至2027年8月31日，含税总价人民币240,000元，包括开通配置、迁移协助、两次培训和技术支持。期满不自动续费，新增用户或功能另行书面报价。本合同与此前六个月试点属于不同项目。</w:t>
      </w:r>
    </w:p>
    <w:p>
      <w:pPr>
        <w:pStyle w:val="Heading1"/>
        <w:keepNext/>
      </w:pPr>
      <w:r>
        <w:t>第3条 实施与验收</w:t>
      </w:r>
    </w:p>
    <w:p>
      <w:r>
        <w:t>乙方9月1日前开通环境，9月15日前完成请假、采购申请、费用报销、用印申请、合同送审、供应商准入、付款申请、资产领用、出差申请和账号授权十个流程配置并提交测试记录。甲方在收到完整交付后十个工作日按流程清单验收，关键流程全部通过；不合格项五个工作日修复并重新验收。沉默、试用或试运行均不视为验收。</w:t>
      </w:r>
    </w:p>
    <w:p>
      <w:pPr>
        <w:pStyle w:val="Heading1"/>
        <w:keepNext/>
      </w:pPr>
      <w:r>
        <w:t>第4条 可用率与支持</w:t>
      </w:r>
    </w:p>
    <w:p>
      <w:r>
        <w:t>月度可用率不低于99.5%，合规计划维护每月最多四小时，须提前四十八小时告知；一级故障一小时响应、八小时恢复。每低于0.5个百分点减免当月服务费5%，最多20%；持续三个月不达标时甲方可解除未履行部分。</w:t>
      </w:r>
    </w:p>
    <w:p>
      <w:pPr>
        <w:pStyle w:val="Heading1"/>
        <w:keepNext/>
      </w:pPr>
      <w:r>
        <w:t>第5条 付款及担保</w:t>
      </w:r>
    </w:p>
    <w:p>
      <w:r>
        <w:t>合同生效且取得合格发票后十个工作日内支付60%，即144,000元；项目验收合格且取得发票后十五个工作日内支付40%，即96,000元。乙方不为本合同另行提供银行保函，主张前次试点合作可作为信用基础；双方确认前次保函金额72,000元、到期日2026年9月14日，是否覆盖本年度项目须按保函文本另行核验，不能仅凭本合同推定。</w:t>
      </w:r>
    </w:p>
    <w:p>
      <w:pPr>
        <w:pStyle w:val="Heading1"/>
        <w:keepNext/>
      </w:pPr>
      <w:r>
        <w:t>第6条 责任上限</w:t>
      </w:r>
    </w:p>
    <w:p>
      <w:r>
        <w:t>乙方一般违约损害赔偿累计上限为合同含税总价30%，即72,000元。故意或重大过失、人身损害、知识产权侵权、违反保密及数据用途限制不受上限限制；退还未履行部分服务费及数据返还不计入上限。甲方无争议到期款经催告十个工作日未付，按每日0.02%承担迟延责任。</w:t>
      </w:r>
    </w:p>
    <w:p>
      <w:pPr>
        <w:pStyle w:val="Heading1"/>
        <w:keepNext/>
      </w:pPr>
      <w:r>
        <w:t>第7条 数据处理</w:t>
      </w:r>
    </w:p>
    <w:p>
      <w:r>
        <w:t>处理及备份地点限中国大陆，乙方仅为履行合同处理甲方流程数据，不得用于通用模型训练、广告或出售。新增分包方须事前书面同意。上线真实数据前，双方应确认字段清单、合法来源和必要的处理安排；不得因本合同未作明确限制，即推定乙方获得全部个人数据处理权限。</w:t>
      </w:r>
    </w:p>
    <w:p>
      <w:pPr>
        <w:pStyle w:val="Heading1"/>
        <w:keepNext/>
      </w:pPr>
      <w:r>
        <w:t>第8条 知识产权</w:t>
      </w:r>
    </w:p>
    <w:p>
      <w:r>
        <w:t>乙方保留通用平台权利，甲方数据和业务配置由甲方管理，甲方享有服务期内内部使用及随时导出的权利。乙方不得利用技术限制阻止合法导出；涉及第三方组件应提供合法许可。因平台侵权导致不能使用时乙方提供替代或退还受影响服务费。</w:t>
      </w:r>
    </w:p>
    <w:p>
      <w:pPr>
        <w:pStyle w:val="Heading1"/>
        <w:keepNext/>
      </w:pPr>
      <w:r>
        <w:t>第9条 安全与保密</w:t>
      </w:r>
    </w:p>
    <w:p>
      <w:r>
        <w:t>双方按最小权限、加密传输、必要日志管理数据；乙方发现疑似事件十二小时内通知并采取措施。未经甲方书面许可不得将甲方名称、标识或合作内容用于营销。一般保密期终止后五年，商业秘密持续保护。</w:t>
      </w:r>
    </w:p>
    <w:p>
      <w:pPr>
        <w:pStyle w:val="Heading1"/>
        <w:keepNext/>
      </w:pPr>
      <w:r>
        <w:t>第10条 退出与解除</w:t>
      </w:r>
    </w:p>
    <w:p>
      <w:r>
        <w:t>重大违约十个工作日未补救或持续不达标满足第四条条件的，甲方可解除并按未提供服务天数退费。终止十五日内提供数据及配置导出，三十日内删除在线副本，九十日内删除备份并出具证明；依法留存部分隔离且仅限法定用途。</w:t>
      </w:r>
    </w:p>
    <w:p>
      <w:pPr>
        <w:pStyle w:val="Heading1"/>
        <w:keepNext/>
      </w:pPr>
      <w:r>
        <w:t>第11条 不可抗力</w:t>
      </w:r>
    </w:p>
    <w:p>
      <w:r>
        <w:t>因不能预见、不能避免且不能克服的客观事件导致不能履行的，受影响方应及时通知，在合理期限提供证明，并采取合理措施减少损失；按实际影响协商延期或部分免除责任。付款困难、一般人员短缺或可预防的系统故障不当然构成不可抗力。影响持续三十日且合同目的无法实现的，任一方可解除未履行部分，已完成且合格的部分据实结算。</w:t>
      </w:r>
    </w:p>
    <w:p>
      <w:pPr>
        <w:pStyle w:val="Heading1"/>
        <w:keepNext/>
      </w:pPr>
      <w:r>
        <w:t>第12条 通知与账户</w:t>
      </w:r>
    </w:p>
    <w:p>
      <w:r>
        <w:t>双方以本合同约定的项目书面记录交换通知；接收角色分别为各方项目负责人，法律通知同时送交各方法务。变更应由有权代表签署。双方的联系信息、送达地址及收款账户以经核验的书面清单为准，签署前由各方有权代表确认。更改收款账户必须经付款方独立回拨核验，不以单封邮件为依据。</w:t>
      </w:r>
    </w:p>
    <w:p>
      <w:pPr>
        <w:pStyle w:val="Heading1"/>
        <w:keepNext/>
      </w:pPr>
      <w:r>
        <w:t>第13条 争议解决</w:t>
      </w:r>
    </w:p>
    <w:p>
      <w:r>
        <w:t>双方协商十五日不成，向甲方住所地有管辖权的人民法院起诉。</w:t>
      </w:r>
    </w:p>
    <w:p>
      <w:pPr>
        <w:pStyle w:val="Heading1"/>
        <w:keepNext/>
      </w:pPr>
      <w:r>
        <w:t>第14条 生效与签署</w:t>
      </w:r>
    </w:p>
    <w:p>
      <w:r>
        <w:t>本合同适用中华人民共和国大陆地区法律。双方有权代表签字并加盖公章或合同专用章后生效。修改、附件与补充协议应采用书面形式，冲突时以双方后签署且明确变更原条款的文件为准。合同一式两份，双方各执一份。</w:t>
      </w:r>
    </w:p>
    <w:p>
      <w:r>
        <w:t>甲方签章：________________    乙方签章：________________</w:t>
      </w:r>
    </w:p>
    <w:p>
      <w:r>
        <w:t>授权代表：________________    授权代表：________________</w:t>
      </w:r>
    </w:p>
    <w:p>
      <w:r>
        <w:t>签署日期：________________    签署日期：________________</w:t>
      </w:r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 Unicode MS" w:hAnsi="Arial Unicode MS" w:eastAsia="Arial Unicode MS" w:cs="Arial Unicode MS"/>
      <w:b w:val="0"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流程协作软件年度服务合同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