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商品知识库数据加工服务合同</w:t>
      </w:r>
    </w:p>
    <w:p>
      <w:r>
        <w:t>合同编号 HZ-CG-2026-007  |  草案日期 2026-08-12  |  项目 商品知识库加工项目</w:t>
      </w:r>
    </w:p>
    <w:p>
      <w:r>
        <w:t>甲方 华子有限公司    乙方 景澍数字服务有限公司</w:t>
      </w:r>
    </w:p>
    <w:p>
      <w:pPr>
        <w:pStyle w:val="Heading1"/>
        <w:keepNext/>
      </w:pPr>
      <w:r>
        <w:t>第1条 主体与范围</w:t>
      </w:r>
    </w:p>
    <w:p>
      <w:r>
        <w:t>甲方为华子有限公司（数据委托方），乙方为景澍数字服务有限公司（数据受托方和服务供应商）。编号 HZ-CG-2026-007，项目 商品知识库加工项目。乙方为甲方加工新版商品知识库，双方既有其他项目不自动延伸至本项目。</w:t>
      </w:r>
    </w:p>
    <w:p>
      <w:pPr>
        <w:pStyle w:val="Heading1"/>
        <w:keepNext/>
      </w:pPr>
      <w:r>
        <w:t>第2条 数据与总价</w:t>
      </w:r>
    </w:p>
    <w:p>
      <w:r>
        <w:t>原始数据为六万条商品属性记录及一份受控分类词表，字段包括商品编码、品类、规格、公开产品说明；不含自然人身份信息。交付标准化数据、分类映射表与质量报告，含税固定总价人民币100,000元。增量超过10%或新增处理目的须签署变更。</w:t>
      </w:r>
    </w:p>
    <w:p>
      <w:pPr>
        <w:pStyle w:val="Heading1"/>
        <w:keepNext/>
      </w:pPr>
      <w:r>
        <w:t>第3条 交付计划</w:t>
      </w:r>
    </w:p>
    <w:p>
      <w:r>
        <w:t>甲方2026年9月1日前交付数据，乙方9月15日前交付样本，9月30日前交付完整成果及处理规则。采用境内加密文件空间，版本和文件校验值载于交接单。乙方未经甲方事前书面同意不得分包。</w:t>
      </w:r>
    </w:p>
    <w:p>
      <w:pPr>
        <w:pStyle w:val="Heading1"/>
        <w:keepNext/>
      </w:pPr>
      <w:r>
        <w:t>第4条 验收</w:t>
      </w:r>
    </w:p>
    <w:p>
      <w:r>
        <w:t>必填字段完整率99.5%以上、抽样分类准确率98%以上、重复率不高于0.2%；随机抽取一千条由双方核对。甲方十个工作日内书面确认，未达标乙方五个工作日补正；两次补正失败可解除未验收部分。甲方沉默和测试使用不构成验收。</w:t>
      </w:r>
    </w:p>
    <w:p>
      <w:pPr>
        <w:pStyle w:val="Heading1"/>
        <w:keepNext/>
      </w:pPr>
      <w:r>
        <w:t>第5条 付款</w:t>
      </w:r>
    </w:p>
    <w:p>
      <w:r>
        <w:t>生效及取得合格发票后十个工作日内支付30%，即30,000元；完整交付且取得发票后十个工作日支付40%，即40,000元；书面验收合格后十五个工作日支付30%，即30,000元。仅向乙方核验的对公账户付款，争议款项以书面记录隔离处理。</w:t>
      </w:r>
    </w:p>
    <w:p>
      <w:pPr>
        <w:pStyle w:val="Heading1"/>
        <w:keepNext/>
      </w:pPr>
      <w:r>
        <w:t>第6条 二次利用许可</w:t>
      </w:r>
    </w:p>
    <w:p>
      <w:r>
        <w:t>乙方提出：甲方同意乙方永久、无偿将本合同原始数据、过程数据及结果数据在去标识化后用于乙方及关联方通用模型训练、产品改进和其他客户服务，不再逐次取得甲方书面同意。乙方保证不对外展示可直接识别甲方的标识，并在甲方要求时提供处理说明。此条为双方待审议的许可条款，不是甲方管理制度。</w:t>
      </w:r>
    </w:p>
    <w:p>
      <w:pPr>
        <w:pStyle w:val="Heading1"/>
        <w:keepNext/>
      </w:pPr>
      <w:r>
        <w:t>第7条 权利安排</w:t>
      </w:r>
    </w:p>
    <w:p>
      <w:r>
        <w:t>甲方对原始和交付结果按合法权限管理，乙方保留预先已有工具和算法权利。除第六条拟议许可外，不转让甲方其他数据权利。甲方取得使用交付成果所需工具许可；双方对第三方权利提出的合法异议应及时配合处理。</w:t>
      </w:r>
    </w:p>
    <w:p>
      <w:pPr>
        <w:pStyle w:val="Heading1"/>
        <w:keepNext/>
      </w:pPr>
      <w:r>
        <w:t>第8条 保密与安全</w:t>
      </w:r>
    </w:p>
    <w:p>
      <w:r>
        <w:t>数据和备份仅存储于中国大陆，按项目隔离权限并记录访问。乙方发现泄露或越权访问十二小时内通知甲方并立即处置；不得向未获授权人员披露原始内容。一般保密期终止后五年，商业秘密持续。第六条拟议许可与保密边界需双方在签署前一并确认。</w:t>
      </w:r>
    </w:p>
    <w:p>
      <w:pPr>
        <w:pStyle w:val="Heading1"/>
        <w:keepNext/>
      </w:pPr>
      <w:r>
        <w:t>第9条 责任</w:t>
      </w:r>
    </w:p>
    <w:p>
      <w:r>
        <w:t>一般违约损害赔偿累计上限为合同总价100%，故意或重大过失、知识产权侵权、违反明确约定的数据使用范围或保密义务不受此限。迟延交付按迟延记录数占全部约定记录数的比例乘以合同总价，作为迟延部分服务费基数，每日0.03%、累计5%承担责任；退款及数据返还不计入赔偿上限，赔偿与违约金不得重复。</w:t>
      </w:r>
    </w:p>
    <w:p>
      <w:pPr>
        <w:pStyle w:val="Heading1"/>
        <w:keepNext/>
      </w:pPr>
      <w:r>
        <w:t>第10条 终止与数据处置</w:t>
      </w:r>
    </w:p>
    <w:p>
      <w:r>
        <w:t>重大违约十个工作日未补救可解除，严重泄露可立即解除。终止十五日内返还资料，三十日内删除在线原始副本，九十日内清理轮替备份；乙方主张第六条授权的衍生模型和去标识化训练集可继续保留。未履行部分价款十个工作日内退还。</w:t>
      </w:r>
    </w:p>
    <w:p>
      <w:pPr>
        <w:pStyle w:val="Heading1"/>
        <w:keepNext/>
      </w:pPr>
      <w:r>
        <w:t>第11条 不可抗力</w:t>
      </w:r>
    </w:p>
    <w:p>
      <w:r>
        <w:t>因不能预见、不能避免且不能克服的客观事件导致不能履行的，受影响方应及时通知，在合理期限提供证明，并采取合理措施减少损失；按实际影响协商延期或部分免除责任。付款困难、一般人员短缺或可预防的系统故障不当然构成不可抗力。影响持续三十日且合同目的无法实现的，任一方可解除未履行部分，已完成且合格的部分据实结算。</w:t>
      </w:r>
    </w:p>
    <w:p>
      <w:pPr>
        <w:pStyle w:val="Heading1"/>
        <w:keepNext/>
      </w:pPr>
      <w:r>
        <w:t>第12条 通知与账户</w:t>
      </w:r>
    </w:p>
    <w:p>
      <w:r>
        <w:t>双方以本合同约定的项目书面记录交换通知；接收角色分别为各方项目负责人，法律通知同时送交各方法务。变更应由有权代表签署。双方的联系信息、送达地址及收款账户以经核验的书面清单为准，签署前由各方有权代表确认。更改收款账户必须经付款方独立回拨核验，不以单封邮件为依据。</w:t>
      </w:r>
    </w:p>
    <w:p>
      <w:pPr>
        <w:pStyle w:val="Heading1"/>
        <w:keepNext/>
      </w:pPr>
      <w:r>
        <w:t>第13条 争议解决</w:t>
      </w:r>
    </w:p>
    <w:p>
      <w:r>
        <w:t>双方协商十五日不成，向甲方住所地有管辖权的人民法院起诉。</w:t>
      </w:r>
    </w:p>
    <w:p>
      <w:pPr>
        <w:pStyle w:val="Heading1"/>
        <w:keepNext/>
      </w:pPr>
      <w:r>
        <w:t>第14条 生效与签署</w:t>
      </w:r>
    </w:p>
    <w:p>
      <w:r>
        <w:t>本合同适用中华人民共和国大陆地区法律。双方有权代表签字并加盖公章或合同专用章后生效。修改、附件与补充协议应采用书面形式，冲突时以双方后签署且明确变更原条款的文件为准。合同一式两份，双方各执一份。</w:t>
      </w:r>
    </w:p>
    <w:p>
      <w:r>
        <w:t>甲方签章：________________    乙方签章：________________</w:t>
      </w:r>
    </w:p>
    <w:p>
      <w:r>
        <w:t>授权代表：________________    授权代表：________________</w:t>
      </w:r>
    </w:p>
    <w:p>
      <w:r>
        <w:t>签署日期：________________    签署日期：________________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商品知识库数据加工服务合同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