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工业控制终端采购合同</w:t>
      </w:r>
    </w:p>
    <w:p>
      <w:r>
        <w:t>合同编号 H01  |  草案日期 2026-01-12  |  项目 PRJ-PLANT-A</w:t>
      </w:r>
    </w:p>
    <w:p>
      <w:r>
        <w:t>甲方 华子有限公司    乙方 启衡设备有限公司</w:t>
      </w:r>
    </w:p>
    <w:p>
      <w:r>
        <w:t>测试主体映射 甲方 ORG-HZ-001  乙方 ORG-QH-001</w:t>
      </w:r>
    </w:p>
    <w:p>
      <w:r>
        <w:t>本文件为原创虚构合同草案，仅用于合同审批记忆评测；企业名称为测试标签，不指向真实登记主体。未签署，不能直接用于交易。</w:t>
      </w:r>
    </w:p>
    <w:p>
      <w:pPr>
        <w:pStyle w:val="Heading1"/>
      </w:pPr>
      <w:r>
        <w:t>第1条 合同主体与交易目的  H01-C01</w:t>
      </w:r>
    </w:p>
    <w:p>
      <w:r>
        <w:t>甲方为华子有限公司（买受人），乙方为启衡设备有限公司（出卖人）。甲方采购工业控制终端用于自有生产线，不包含软件定制开发。合同编号 H01，履行项目为 PRJ-PLANT-A。双方主体映射见首页测试元数据。</w:t>
      </w:r>
    </w:p>
    <w:p>
      <w:pPr>
        <w:pStyle w:val="Heading1"/>
      </w:pPr>
      <w:r>
        <w:t>第2条 标的和合同价款  H01-C02</w:t>
      </w:r>
    </w:p>
    <w:p>
      <w:r>
        <w:t>乙方向甲方提供 QH-T20 工业控制终端二十台，含税单价人民币11,300元，含税总价人民币226,000元。总价包括包装、运输、保险、安装、调试、培训及十二个月质保，无另行收取的必要费用。每台配一套电源模块、一套安装支架和中文操作手册。</w:t>
      </w:r>
    </w:p>
    <w:p>
      <w:pPr>
        <w:pStyle w:val="Heading1"/>
      </w:pPr>
      <w:r>
        <w:t>第3条 技术质量与交付  H01-C03</w:t>
      </w:r>
    </w:p>
    <w:p>
      <w:r>
        <w:t>每台终端应为全新合格品，具备至少四路数字输入、四路数字输出和双以太网接口；连续运行七十二小时不得发生设备原因宕机。乙方应于2026年2月10日前将全部货物交至甲方上海项目现场，具体卸货点由项目负责人提前五个工作日确认。运输及交付前毁损灭失风险由乙方承担，现场签收仅确认数量和外观。</w:t>
      </w:r>
    </w:p>
    <w:p>
      <w:pPr>
        <w:pStyle w:val="Heading1"/>
      </w:pPr>
      <w:r>
        <w:t>第4条 验收与质量保证  H01-C04</w:t>
      </w:r>
    </w:p>
    <w:p>
      <w:r>
        <w:t>到货后十个工作日内甲方按技术要求完成初验，安装调试后连续运行七十二小时形成终验记录。未出具书面终验合格记录不视为验收，甲方试运行或未及时反馈不构成默示验收。缺陷由乙方在五个工作日内免费修复或更换；仍不合格的，甲方有权退货。质保期自终验合格之日起十二个月，质保响应四小时、到场四十八小时。</w:t>
      </w:r>
    </w:p>
    <w:p>
      <w:pPr>
        <w:pStyle w:val="Heading1"/>
      </w:pPr>
      <w:r>
        <w:t>第5条 付款安排  H01-C05</w:t>
      </w:r>
    </w:p>
    <w:p>
      <w:r>
        <w:t>合同生效且收到合格发票后十个工作日内甲方支付20%，即45,200元；全部设备终验合格且收到对应发票后十五个工作日内支付70%，即158,200元；质保期届满且无未解决质量缺陷后十五个工作日内支付10%，即22,600元。甲方对有合理依据的争议金额可暂缓支付，无争议部分按期支付。款项仅付至乙方核验后的对公账户。</w:t>
      </w:r>
    </w:p>
    <w:p>
      <w:pPr>
        <w:pStyle w:val="Heading1"/>
      </w:pPr>
      <w:r>
        <w:t>第6条 交付迟延责任  H01-C06</w:t>
      </w:r>
    </w:p>
    <w:p>
      <w:r>
        <w:t>因乙方原因迟延交货的，乙方应按迟延交付部分含税价款每日0.03%向甲方支付违约金，累计不超过该迟延部分价款的5%。超过十五日仍未交付的，甲方可解除迟延部分。违约金不足弥补可依法主张的实际损失时，甲方可就不足部分请求赔偿，但不得重复获偿。</w:t>
      </w:r>
    </w:p>
    <w:p>
      <w:pPr>
        <w:pStyle w:val="Heading1"/>
      </w:pPr>
      <w:r>
        <w:t>第7条 责任边界  H01-C07</w:t>
      </w:r>
    </w:p>
    <w:p>
      <w:r>
        <w:t>乙方在本合同项下的一般损害赔偿累计上限为合同含税总价的100%。故意或重大过失造成的损失、人身损害、知识产权侵权和保密义务违反不适用该上限；法律不得限制的责任依法律处理。退款、修理、更换及继续履行义务不计入损害赔偿上限。甲方逾期支付无争议到期款项，经乙方书面催告十个工作日仍未支付的，按未付金额每日0.02%承担迟延付款责任。</w:t>
      </w:r>
    </w:p>
    <w:p>
      <w:pPr>
        <w:pStyle w:val="Heading1"/>
      </w:pPr>
      <w:r>
        <w:t>第8条 知识产权和资料  H01-C08</w:t>
      </w:r>
    </w:p>
    <w:p>
      <w:r>
        <w:t>乙方保证货物及随附软件在本合同用途内不侵犯第三人权利；发生索赔应负责处理，并提供合法替代或退还不能使用部分价款。乙方保留通用产品知识产权，授予甲方随设备使用所需的永久非独占许可。甲方生产参数及现场资料归甲方管理，乙方不得另作商业用途。</w:t>
      </w:r>
    </w:p>
    <w:p>
      <w:pPr>
        <w:pStyle w:val="Heading1"/>
      </w:pPr>
      <w:r>
        <w:t>第9条 保密义务  H01-C09</w:t>
      </w:r>
    </w:p>
    <w:p>
      <w:r>
        <w:t>双方对履行中获悉的技术、报价、生产安排和未公开经营信息承担保密义务，仅向履约必要人员按最小范围披露并使其承担同等义务。已合法公开、独立开发或由有权第三方合法提供的信息除外；依法必须披露时在允许范围内提前通知。一般保密期为合同终止后五年，商业秘密在依法属于秘密期间持续保护。</w:t>
      </w:r>
    </w:p>
    <w:p>
      <w:pPr>
        <w:pStyle w:val="Heading1"/>
      </w:pPr>
      <w:r>
        <w:t>第10条 变更与解除  H01-C10</w:t>
      </w:r>
    </w:p>
    <w:p>
      <w:r>
        <w:t>任何数量、配置或交期调整须书面签署变更单，明确价格及影响；现场口头指令不自动改变总价。重大违约经书面催告十个工作日未纠正，守约方可解除受影响部分；严重侵权或泄密无法补救时可立即解除。解除后乙方返还未履行部分款项，双方完成货物及资料交接，违约责任继续适用。</w:t>
      </w:r>
    </w:p>
    <w:p>
      <w:pPr>
        <w:pStyle w:val="Heading1"/>
      </w:pPr>
      <w:r>
        <w:t>第11条 不可抗力  H01-C11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</w:pPr>
      <w:r>
        <w:t>第12条 通知与账户  H01-C12</w:t>
      </w:r>
    </w:p>
    <w:p>
      <w:r>
        <w:t>双方以本合同约定的项目书面记录交换通知；接收角色分别为各方项目负责人，法律通知同时送交各方法务。变更应由有权代表签署。为防止误用，本样本不提供真实地址、自然人、电话、印章或银行账号；正式签署前应另附经核验的主体、送达和账户清单。更改收款账户必须经付款方独立回拨核验，不以单封邮件为依据。</w:t>
      </w:r>
    </w:p>
    <w:p>
      <w:pPr>
        <w:pStyle w:val="Heading1"/>
      </w:pPr>
      <w:r>
        <w:t>第13条 争议解决  H01-C13</w:t>
      </w:r>
    </w:p>
    <w:p>
      <w:r>
        <w:t>履行争议先由双方负责人协商十五日；协商不成，任何一方可向甲方住所地有管辖权的人民法院起诉。争议期间不受争议影响的部分继续履行。</w:t>
      </w:r>
    </w:p>
    <w:p>
      <w:pPr>
        <w:pStyle w:val="Heading1"/>
      </w:pPr>
      <w:r>
        <w:t>第14条 生效与签署  H01-C14</w:t>
      </w:r>
    </w:p>
    <w:p>
      <w:r>
        <w:t>本合同适用中华人民共和国大陆地区法律。双方有权代表签字并加盖公章或合同专用章后生效；本测试文件未签署、未盖章，不代表现实法律承诺。修改、附件与补充协议应采用书面形式，冲突时以双方后签署且明确变更原条款的文件为准。合同一式两份，双方各执一份。甲方签署栏与乙方签署栏均留空；签署日期以真实签署时填写为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原创虚构评测样本  H01  |  非真实已签合同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工业控制终端采购合同</dc:title>
  <dc:subject>原创虚构合同审批记忆评测样本</dc:subject>
  <dc:creator>OpenHarvey evaluation fixtures</dc:creator>
  <cp:keywords>synthetic,contract-memory,zh-CN</cp:keywords>
  <dc:description>No real identifiers or credentials.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