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控制终端配套组件销售合同</w:t>
      </w:r>
    </w:p>
    <w:p>
      <w:r>
        <w:t>合同编号 H02  |  草案日期 2026-02-03  |  项目 PRJ-QH-PARTS</w:t>
      </w:r>
    </w:p>
    <w:p>
      <w:r>
        <w:t>甲方 启衡设备有限公司    乙方 华子有限公司</w:t>
      </w:r>
    </w:p>
    <w:p>
      <w:r>
        <w:t>测试主体映射 甲方 ORG-QH-001  乙方 ORG-HZ-001</w:t>
      </w:r>
    </w:p>
    <w:p>
      <w:r>
        <w:t>本文件为原创虚构合同草案，仅用于合同审批记忆评测；企业名称为测试标签，不指向真实登记主体。未签署，不能直接用于交易。</w:t>
      </w:r>
    </w:p>
    <w:p>
      <w:pPr>
        <w:pStyle w:val="Heading1"/>
      </w:pPr>
      <w:r>
        <w:t>第1条 主体与目的  H02-C01</w:t>
      </w:r>
    </w:p>
    <w:p>
      <w:r>
        <w:t>甲方为启衡设备有限公司（买受人），乙方为华子有限公司（出卖人）。甲方为其设备集成项目购买配套组件，编号 H02。华子在本合同中是收款和交货方。</w:t>
      </w:r>
    </w:p>
    <w:p>
      <w:pPr>
        <w:pStyle w:val="Heading1"/>
      </w:pPr>
      <w:r>
        <w:t>第2条 标的与价款  H02-C02</w:t>
      </w:r>
    </w:p>
    <w:p>
      <w:r>
        <w:t>乙方向甲方销售 HZ-M8 通信扩展组件一百套，含税单价人民币1,130元，含税总价人民币113,000元，包括标准包装、境内运输及十二个月质保。每套包括扩展板、连接线和安装说明；第三方系统集成服务不在总价内，需另行书面约定。</w:t>
      </w:r>
    </w:p>
    <w:p>
      <w:pPr>
        <w:pStyle w:val="Heading1"/>
      </w:pPr>
      <w:r>
        <w:t>第3条 技术标准与交付  H02-C03</w:t>
      </w:r>
    </w:p>
    <w:p>
      <w:r>
        <w:t>组件应支持RS-485接口和Modbus RTU协议，工作温度零至五十摄氏度；出厂全数通电检测合格。乙方于2026年3月5日前向甲方苏州集成现场交货，运费及交付前风险由乙方承担。甲方应提前五个工作日落实接收条件；因甲方原因延误的，双方书面确认顺延时间及合理新增仓储费。</w:t>
      </w:r>
    </w:p>
    <w:p>
      <w:pPr>
        <w:pStyle w:val="Heading1"/>
      </w:pPr>
      <w:r>
        <w:t>第4条 检验与验收  H02-C04</w:t>
      </w:r>
    </w:p>
    <w:p>
      <w:r>
        <w:t>甲方在到货后十个工作日内按技术标准验收，提出异议应附检验记录；无异议并书面签署验收单后完成验收。隐藏缺陷不因验收被免除。乙方对可修复问题五个工作日内补正，无法补正时更换或退还不合格部分款项，质保自验收合格起十二个月。</w:t>
      </w:r>
    </w:p>
    <w:p>
      <w:pPr>
        <w:pStyle w:val="Heading1"/>
      </w:pPr>
      <w:r>
        <w:t>第5条 付款与发票  H02-C05</w:t>
      </w:r>
    </w:p>
    <w:p>
      <w:r>
        <w:t>甲方在合同生效且取得合格发票后十个工作日内支付30%，即33,900元；全部组件验收合格且取得对应发票后十五个工作日内支付70%，即79,100元。争议金额应书面说明，无争议部分不得拒付。付款至乙方经核验的对公账户，不设置个人代收。</w:t>
      </w:r>
    </w:p>
    <w:p>
      <w:pPr>
        <w:pStyle w:val="Heading1"/>
      </w:pPr>
      <w:r>
        <w:t>第6条 付款迟延责任  H02-C06</w:t>
      </w:r>
    </w:p>
    <w:p>
      <w:r>
        <w:t>因甲方原因迟延付款的，甲方应按迟延支付的到期款项每日0.03%向乙方支付违约金，累计不超过该到期未付金额的5%。催告后超过十五日仍未付款，乙方可暂停未完成交付并书面通知；违约金与赔偿不得重复计算。此条只约束买方付款，并非供应商交货违约金。</w:t>
      </w:r>
    </w:p>
    <w:p>
      <w:pPr>
        <w:pStyle w:val="Heading1"/>
      </w:pPr>
      <w:r>
        <w:t>第7条 交货与责任上限  H02-C07</w:t>
      </w:r>
    </w:p>
    <w:p>
      <w:r>
        <w:t>乙方迟延交货按迟延部分价款每日0.02%承担责任，累计不超过该部分价款的5%。双方一般损害赔偿累计各以合同含税总价的100%为上限；故意或重大过失、人身损害、知识产权侵权及泄密不受此限。支付价款和返还未履行部分款项不计入该上限。</w:t>
      </w:r>
    </w:p>
    <w:p>
      <w:pPr>
        <w:pStyle w:val="Heading1"/>
      </w:pPr>
      <w:r>
        <w:t>第8条 知识产权  H02-C08</w:t>
      </w:r>
    </w:p>
    <w:p>
      <w:r>
        <w:t>乙方保留自有组件及通用技术知识产权，甲方取得在其设备中安装和销售集成产品所必需的使用许可，不得单独复制扩展板固件用于无关设备。乙方对合法授权承担保证；甲方自有改造引起的侵权由甲方就其过错承担。</w:t>
      </w:r>
    </w:p>
    <w:p>
      <w:pPr>
        <w:pStyle w:val="Heading1"/>
      </w:pPr>
      <w:r>
        <w:t>第9条 保密与信息使用  H02-C09</w:t>
      </w:r>
    </w:p>
    <w:p>
      <w:r>
        <w:t>双方只为履约使用技术图纸、报价及商业信息，禁止未经书面许可向竞争方披露。履约人员按需接触，终止后返还或销毁对方资料，法律要求留存的资料隔离保护。一般保密义务持续五年；商业秘密依其秘密状态持续保护。</w:t>
      </w:r>
    </w:p>
    <w:p>
      <w:pPr>
        <w:pStyle w:val="Heading1"/>
      </w:pPr>
      <w:r>
        <w:t>第10条 变更与解除  H02-C10</w:t>
      </w:r>
    </w:p>
    <w:p>
      <w:r>
        <w:t>增减数量、变更接口或提前交期须有权代表书面确认。任一方重大违约经十个工作日催告未补救，另一方可解除未履行部分；解除后按合格且已接收数量结算，预付款超出应结算金额的部分十个工作日内退还。</w:t>
      </w:r>
    </w:p>
    <w:p>
      <w:pPr>
        <w:pStyle w:val="Heading1"/>
      </w:pPr>
      <w:r>
        <w:t>第11条 不可抗力  H02-C11</w:t>
      </w:r>
    </w:p>
    <w:p>
      <w:r>
        <w:t>因不能预见、不能避免且不能克服的客观事件导致不能履行的，受影响方应及时通知，在合理期限提供证明，并采取合理措施减少损失；按实际影响协商延期或部分免除责任。付款困难、一般人员短缺或可预防的系统故障不当然构成不可抗力。影响持续三十日且合同目的无法实现的，任一方可解除未履行部分，已完成且合格的部分据实结算。</w:t>
      </w:r>
    </w:p>
    <w:p>
      <w:pPr>
        <w:pStyle w:val="Heading1"/>
      </w:pPr>
      <w:r>
        <w:t>第12条 通知与账户  H02-C12</w:t>
      </w:r>
    </w:p>
    <w:p>
      <w:r>
        <w:t>双方以本合同约定的项目书面记录交换通知；接收角色分别为各方项目负责人，法律通知同时送交各方法务。变更应由有权代表签署。为防止误用，本样本不提供真实地址、自然人、电话、印章或银行账号；正式签署前应另附经核验的主体、送达和账户清单。更改收款账户必须经付款方独立回拨核验，不以单封邮件为依据。</w:t>
      </w:r>
    </w:p>
    <w:p>
      <w:pPr>
        <w:pStyle w:val="Heading1"/>
      </w:pPr>
      <w:r>
        <w:t>第13条 争议解决  H02-C13</w:t>
      </w:r>
    </w:p>
    <w:p>
      <w:r>
        <w:t>双方协商十五日不成，向乙方住所地有管辖权的人民法院起诉。履行无争议义务不因争议而中止。</w:t>
      </w:r>
    </w:p>
    <w:p>
      <w:pPr>
        <w:pStyle w:val="Heading1"/>
      </w:pPr>
      <w:r>
        <w:t>第14条 生效与签署  H02-C14</w:t>
      </w:r>
    </w:p>
    <w:p>
      <w:r>
        <w:t>本合同适用中华人民共和国大陆地区法律。双方有权代表签字并加盖公章或合同专用章后生效；本测试文件未签署、未盖章，不代表现实法律承诺。修改、附件与补充协议应采用书面形式，冲突时以双方后签署且明确变更原条款的文件为准。合同一式两份，双方各执一份。甲方签署栏与乙方签署栏均留空；签署日期以真实签署时填写为准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原创虚构评测样本  H02  |  非真实已签合同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erif CJK SC" w:hAnsi="Noto Serif CJK SC" w:eastAsia="Noto Serif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控制终端配套组件销售合同</dc:title>
  <dc:subject>原创虚构合同审批记忆评测样本</dc:subject>
  <dc:creator>OpenHarvey evaluation fixtures</dc:creator>
  <cp:keywords>synthetic,contract-memory,zh-CN</cp:keywords>
  <dc:description>No real identifiers or credentials.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