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设备运行数据处理服务合同</w:t>
      </w:r>
    </w:p>
    <w:p>
      <w:r>
        <w:t>合同编号 H05  |  草案日期 2026-04-06  |  项目 PRJ-JS-OPS</w:t>
      </w:r>
    </w:p>
    <w:p>
      <w:r>
        <w:t>甲方 景澍数字服务有限公司    乙方 华子有限公司</w:t>
      </w:r>
    </w:p>
    <w:p>
      <w:r>
        <w:t>测试主体映射 甲方 ORG-JS-001  乙方 ORG-HZ-001</w:t>
      </w:r>
    </w:p>
    <w:p>
      <w:r>
        <w:t>本文件为原创虚构合同草案，仅用于合同审批记忆评测；企业名称为测试标签，不指向真实登记主体。未签署，不能直接用于交易。</w:t>
      </w:r>
    </w:p>
    <w:p>
      <w:pPr>
        <w:pStyle w:val="Heading1"/>
      </w:pPr>
      <w:r>
        <w:t>第1条 主体与角色  H05-C01</w:t>
      </w:r>
    </w:p>
    <w:p>
      <w:r>
        <w:t>甲方为景澍数字服务有限公司（数据委托方和付款方），乙方为华子有限公司（数据受托方和服务提供方）。编号 H05，项目 PRJ-JS-OPS，甲方委托乙方分析设备运行日志。</w:t>
      </w:r>
    </w:p>
    <w:p>
      <w:pPr>
        <w:pStyle w:val="Heading1"/>
      </w:pPr>
      <w:r>
        <w:t>第2条 服务范围与总价  H05-C02</w:t>
      </w:r>
    </w:p>
    <w:p>
      <w:r>
        <w:t>甲方提供二十台设备共三十日的运行日志，字段限设备编码、温度、时间戳和故障状态，不包含自然人信息。乙方交付数据质量报告、故障类型统计及可复用处理脚本一套。含税总价人民币80,000元，包含两轮修订和一次线上说明会。</w:t>
      </w:r>
    </w:p>
    <w:p>
      <w:pPr>
        <w:pStyle w:val="Heading1"/>
      </w:pPr>
      <w:r>
        <w:t>第3条 履行与交付  H05-C03</w:t>
      </w:r>
    </w:p>
    <w:p>
      <w:r>
        <w:t>甲方于2026年4月15日前交付字段说明和完整日志；乙方于5月10日前交付初稿，5月25日前交付最终成果。文件在双方指定境内加密空间交接，以双方项目负责人确认的版本清单为准。甲方重大变更字段或用途时，双方书面协商工期及价款。</w:t>
      </w:r>
    </w:p>
    <w:p>
      <w:pPr>
        <w:pStyle w:val="Heading1"/>
      </w:pPr>
      <w:r>
        <w:t>第4条 验收标准  H05-C04</w:t>
      </w:r>
    </w:p>
    <w:p>
      <w:r>
        <w:t>报告须覆盖全部二十台设备，统计结果与原始有效日志抽样核对一致率不低于99%，脚本应能按说明在约定测试环境复现主要结果。甲方收到最终交付后十个工作日内书面验收；未合格项乙方五个工作日内改正，反复两次不合格可按未实现部分解除。不得以沉默认定验收。</w:t>
      </w:r>
    </w:p>
    <w:p>
      <w:pPr>
        <w:pStyle w:val="Heading1"/>
      </w:pPr>
      <w:r>
        <w:t>第5条 费用结算  H05-C05</w:t>
      </w:r>
    </w:p>
    <w:p>
      <w:r>
        <w:t>合同生效并收到合格发票后十个工作日内，甲方支付30%，即24,000元；初稿交付且收到发票后十个工作日内支付40%，即32,000元；最终验收合格且收到发票后十五个工作日内支付30%，即24,000元。款项付至乙方核验后的对公账户，未约定自动扣款。</w:t>
      </w:r>
    </w:p>
    <w:p>
      <w:pPr>
        <w:pStyle w:val="Heading1"/>
      </w:pPr>
      <w:r>
        <w:t>第6条 使用限制  H05-C06</w:t>
      </w:r>
    </w:p>
    <w:p>
      <w:r>
        <w:t>乙方仅为履行甲方委托处理原始数据、过程数据及结果数据，未经甲方逐项事前书面授权，不得以任何形式用于乙方或第三方通用模型训练、产品画像或其他客户项目，即使声称去标识化也不例外。双方明确本合同未授予二次训练许可。甲方如改变处理目的，应另行说明合法依据并签署补充协议。</w:t>
      </w:r>
    </w:p>
    <w:p>
      <w:pPr>
        <w:pStyle w:val="Heading1"/>
      </w:pPr>
      <w:r>
        <w:t>第7条 权利与工具  H05-C07</w:t>
      </w:r>
    </w:p>
    <w:p>
      <w:r>
        <w:t>甲方数据和为其形成的结果由甲方按合法权限管理；乙方原有通用程序及方法仍归乙方。乙方授予甲方在内部使用、维护交付脚本所必需的非独占许可，不授予甲方处分乙方通用平台的权利。双方各自保证提供材料的合法来源。</w:t>
      </w:r>
    </w:p>
    <w:p>
      <w:pPr>
        <w:pStyle w:val="Heading1"/>
      </w:pPr>
      <w:r>
        <w:t>第8条 保密与安全  H05-C08</w:t>
      </w:r>
    </w:p>
    <w:p>
      <w:r>
        <w:t>乙方按最小必要范围配置人员访问，处理和备份均限中国大陆，不得擅自引入第三方处理。发现安全事件十二小时内通知甲方并立即处置。双方一般保密义务在终止后五年内有效，商业秘密持续保护。</w:t>
      </w:r>
    </w:p>
    <w:p>
      <w:pPr>
        <w:pStyle w:val="Heading1"/>
      </w:pPr>
      <w:r>
        <w:t>第9条 责任与上限  H05-C09</w:t>
      </w:r>
    </w:p>
    <w:p>
      <w:r>
        <w:t>乙方一般违约损害赔偿累计以本合同总价100%为限；故意或重大过失、违反第六条用途限制或保密义务、知识产权侵权不适用上限。乙方迟延按未按期完成设备数占二十台的比例乘以合同总价，作为对应部分价款基数，每日0.03%支付违约金，累计5%封顶；甲方逾期支付无争议到期款按每日0.02%承担责任。不得重复获偿，依法不得限制的责任不受限制。</w:t>
      </w:r>
    </w:p>
    <w:p>
      <w:pPr>
        <w:pStyle w:val="Heading1"/>
      </w:pPr>
      <w:r>
        <w:t>第10条 退出与解除  H05-C10</w:t>
      </w:r>
    </w:p>
    <w:p>
      <w:r>
        <w:t>重大违约十个工作日内未补救的，守约方可解除受影响部分；用途限制严重违反时甲方可立即解除。终止十五日内交还数据，三十日内删除在线副本，九十日内清除轮替备份，保留必要交接和审计证明。甲方应结算已验收成果，乙方退还超出应结算额的预付款。</w:t>
      </w:r>
    </w:p>
    <w:p>
      <w:pPr>
        <w:pStyle w:val="Heading1"/>
      </w:pPr>
      <w:r>
        <w:t>第11条 不可抗力  H05-C11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</w:pPr>
      <w:r>
        <w:t>第12条 通知与账户  H05-C12</w:t>
      </w:r>
    </w:p>
    <w:p>
      <w:r>
        <w:t>双方以本合同约定的项目书面记录交换通知；接收角色分别为各方项目负责人，法律通知同时送交各方法务。变更应由有权代表签署。为防止误用，本样本不提供真实地址、自然人、电话、印章或银行账号；正式签署前应另附经核验的主体、送达和账户清单。更改收款账户必须经付款方独立回拨核验，不以单封邮件为依据。</w:t>
      </w:r>
    </w:p>
    <w:p>
      <w:pPr>
        <w:pStyle w:val="Heading1"/>
      </w:pPr>
      <w:r>
        <w:t>第13条 争议解决  H05-C13</w:t>
      </w:r>
    </w:p>
    <w:p>
      <w:r>
        <w:t>协商十五日不成，向乙方住所地有管辖权的人民法院起诉。该约定不改变任何一方对数据合规义务的承担。</w:t>
      </w:r>
    </w:p>
    <w:p>
      <w:pPr>
        <w:pStyle w:val="Heading1"/>
      </w:pPr>
      <w:r>
        <w:t>第14条 生效与签署  H05-C14</w:t>
      </w:r>
    </w:p>
    <w:p>
      <w:r>
        <w:t>本合同适用中华人民共和国大陆地区法律。双方有权代表签字并加盖公章或合同专用章后生效；本测试文件未签署、未盖章，不代表现实法律承诺。修改、附件与补充协议应采用书面形式，冲突时以双方后签署且明确变更原条款的文件为准。合同一式两份，双方各执一份。甲方签署栏与乙方签署栏均留空；签署日期以真实签署时填写为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原创虚构评测样本  H05  |  非真实已签合同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设备运行数据处理服务合同</dc:title>
  <dc:subject>原创虚构合同审批记忆评测样本</dc:subject>
  <dc:creator>OpenHarvey evaluation fixtures</dc:creator>
  <cp:keywords>synthetic,contract-memory,zh-CN</cp:keywords>
  <dc:description>No real identifiers or credentials.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