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9" w:name="avant-propos"/>
    <w:p>
      <w:pPr>
        <w:pStyle w:val="Heading1"/>
        <w:pageBreakBefore/>
      </w:pPr>
      <w:r>
        <w:t xml:space="preserve">Avant-propos</w:t>
      </w:r>
    </w:p>
    <w:bookmarkEnd w:id="9"/>
    <w:bookmarkStart w:id="10" w:name="remerciements"/>
    <w:p>
      <w:pPr>
        <w:pStyle w:val="Heading1"/>
        <w:pageBreakBefore/>
      </w:pPr>
      <w:r>
        <w:t xml:space="preserve">Remerciements</w:t>
      </w:r>
    </w:p>
    <w:bookmarkEnd w:id="10"/>
    <w:bookmarkStart w:id="11" w:name="liste-des-sigles-et-acronymes"/>
    <w:p>
      <w:pPr>
        <w:pStyle w:val="Heading1"/>
        <w:pageBreakBefore/>
      </w:pPr>
      <w:r>
        <w:t xml:space="preserve">Liste des sigles et acronymes</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Dollar des États-Unis</w:t>
            </w:r>
          </w:p>
        </w:tc>
      </w:tr>
    </w:tbl>
    <w:bookmarkEnd w:id="11"/>
    <w:bookmarkStart w:id="12" w:name="table-des-matieres"/>
    <w:p>
      <w:pPr>
        <w:pStyle w:val="Heading1"/>
        <w:pageBreakBefore/>
      </w:pPr>
      <w:r>
        <w:t xml:space="preserve">Table des matières</w:t>
      </w:r>
    </w:p>
    <w:p>
      <w:r>
        <w:fldChar w:fldCharType="begin"/>
      </w:r>
      <w:r>
        <w:instrText xml:space="preserve"> TOC \h \z \u </w:instrText>
      </w:r>
      <w:r>
        <w:fldChar w:fldCharType="separate"/>
      </w:r>
      <w:r>
        <w:rPr>
          <w:color w:val="808080"/>
        </w:rPr>
        <w:t>[Clic droit → Mettre à jour les champs pour générer cette liste]</w:t>
      </w:r>
      <w:r>
        <w:fldChar w:fldCharType="end"/>
      </w:r>
    </w:p>
    <w:bookmarkEnd w:id="12"/>
    <w:bookmarkStart w:id="17" w:name="Xedad9349539416b4e5b8da872c8532d047509e9"/>
    <w:p>
      <w:pPr>
        <w:pStyle w:val="Heading1"/>
        <w:pageBreakBefore/>
      </w:pPr>
      <w:r>
        <w:t xml:space="preserve">Listes des tableaux, graphiques et encadrés</w:t>
      </w:r>
    </w:p>
    <w:bookmarkStart w:id="13"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13"/>
    <w:bookmarkStart w:id="14"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14"/>
    <w:bookmarkStart w:id="15" w:name="liste-des-encadres"/>
    <w:p>
      <w:pPr>
        <w:pStyle w:val="Heading2"/>
      </w:pPr>
      <w:r>
        <w:t xml:space="preserve">Liste des encadrés</w:t>
      </w:r>
    </w:p>
    <w:bookmarkEnd w:id="15"/>
    <w:bookmarkStart w:id="16" w:name="liste-des-annexes-statistiques"/>
    <w:p>
      <w:pPr>
        <w:pStyle w:val="Heading2"/>
      </w:pPr>
      <w:r>
        <w:t xml:space="preserve">Liste des annexes statistiques</w:t>
      </w:r>
    </w:p>
    <w:p>
      <w:pPr>
        <w:pStyle w:val="Normal"/>
      </w:pPr>
      <w:r>
        <w:t xml:space="preserve">[À compléter]</w:t>
      </w:r>
    </w:p>
    <w:bookmarkEnd w:id="16"/>
    <w:bookmarkEnd w:id="17"/>
    <w:bookmarkStart w:id="75" w:name="X7a5f8325099eba1b0341b61e06a68940aaa639e"/>
    <w:p>
      <w:pPr>
        <w:pStyle w:val="Heading1"/>
      </w:pPr>
      <w:r>
        <w:t xml:space="preserve">Chapitre 1 — Contexte général et cadre de référence pour la protection sociale en RDC</w:t>
      </w:r>
    </w:p>
    <w:bookmarkStart w:id="39" w:name="X0f6502e11a7224c7a278d89dd0c9e42c9fd83b0"/>
    <w:p>
      <w:pPr>
        <w:pStyle w:val="Heading2"/>
      </w:pPr>
      <w:r>
        <w:t xml:space="preserve">1.1 Contexte démographique et implications pour la protection sociale</w:t>
      </w:r>
    </w:p>
    <w:bookmarkStart w:id="24"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avec une population estimée à environ 112 millions d'habitants</w:t>
      </w:r>
      <w:r>
        <w:rPr>
          <w:rStyle w:val="FootnoteReference"/>
        </w:rPr>
        <w:footnoteReference w:id="18"/>
      </w:r>
      <w:r>
        <w:t xml:space="preserve"> </w:t>
      </w:r>
      <w:r>
        <w:t xml:space="preserve">en 2025. Sa croissance démographique soutenue — avec un taux d'accroissement naturel annuel d'environ 3,2 %</w:t>
      </w:r>
      <w:r>
        <w:rPr>
          <w:rStyle w:val="FootnoteReference"/>
        </w:rPr>
        <w:footnoteReference w:id="19"/>
      </w:r>
      <w:r>
        <w:t xml:space="preserve"> </w:t>
      </w:r>
      <w:r>
        <w:t xml:space="preserve">—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20"/>
      </w:r>
      <w:r>
        <w:t xml:space="preserve"> </w:t>
      </w:r>
      <w:r>
        <w:t xml:space="preserve">par la taille de sa population, après le Nigeria, l'Éthiopie et l'Égypte</w:t>
      </w:r>
      <w:r>
        <w:t xml:space="preserve"> </w:t>
      </w:r>
      <w:r>
        <w:rPr>
          <w:i/>
          <w:iCs/>
        </w:rPr>
        <w:t xml:space="preserve">(Division de la population des Nations Unies, WPP 2024)</w:t>
      </w:r>
      <w:r>
        <w:t xml:space="preserve">.</w:t>
      </w:r>
    </w:p>
    <w:p>
      <w:pPr>
        <w:pStyle w:val="GraphicTitle"/>
      </w:pPr>
      <w:r>
        <w:rPr>
          <w:b/>
          <w:bCs/>
        </w:rPr>
        <w:t xml:space="preserve">Figure 1</w:t>
      </w:r>
      <w:r>
        <w:t xml:space="preserve"> </w:t>
      </w:r>
      <w:r>
        <w:t xml:space="preserve">— 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22" name="Picture"/>
            <a:graphic>
              <a:graphicData uri="http://schemas.openxmlformats.org/drawingml/2006/picture">
                <pic:pic>
                  <pic:nvPicPr>
                    <pic:cNvPr descr="C:/Users/M.Diouf/OneDrive/Bureau/RDC%20Bulletin%20V1/Bulletin_rdc_2026_agents/08_figures/exports/FIG_1_population_totale_urbaine_rurale_1950_2025.png" id="23" name="Picture"/>
                    <pic:cNvPicPr>
                      <a:picLocks noChangeArrowheads="1" noChangeAspect="1"/>
                    </pic:cNvPicPr>
                  </pic:nvPicPr>
                  <pic:blipFill>
                    <a:blip r:embed="rId21"/>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p>
    <w:bookmarkEnd w:id="24"/>
    <w:bookmarkStart w:id="31" w:name="X78341611dcbeec1863796d4a6a53f8a2affd21e"/>
    <w:p>
      <w:pPr>
        <w:pStyle w:val="Heading3"/>
      </w:pPr>
      <w:r>
        <w:t xml:space="preserve">Une population jeune, portée par des besoins de cycle de vie</w:t>
      </w:r>
    </w:p>
    <w:p>
      <w:pPr>
        <w:pStyle w:val="Normal"/>
      </w:pPr>
      <w:r>
        <w:t xml:space="preserve">La population congolaise est structurellement jeune : les personnes âgées de moins de 15 ans représentent environ 46 %</w:t>
      </w:r>
      <w:r>
        <w:rPr>
          <w:rStyle w:val="FootnoteReference"/>
        </w:rPr>
        <w:footnoteReference w:id="25"/>
      </w:r>
      <w:r>
        <w:t xml:space="preserve"> </w:t>
      </w:r>
      <w:r>
        <w:t xml:space="preserve">de la population totale, et l'âge médian s'établit à 15,9 ans</w:t>
      </w:r>
      <w:r>
        <w:rPr>
          <w:rStyle w:val="FootnoteReference"/>
        </w:rPr>
        <w:footnoteReference w:id="26"/>
      </w:r>
      <w:r>
        <w:t xml:space="preserve"> </w:t>
      </w:r>
      <w:r>
        <w:rPr>
          <w:i/>
          <w:iCs/>
        </w:rPr>
        <w:t xml:space="preserve">(UNFPA, 2024 ; Division de la population des Nations Unies, WPP 2024)</w:t>
      </w:r>
      <w:r>
        <w:t xml:space="preserve">. Le ratio de dépendance démographique atteint près de 96 dépendants pour 100 personnes en âge de travailler</w:t>
      </w:r>
      <w:r>
        <w:rPr>
          <w:rStyle w:val="FootnoteReference"/>
        </w:rPr>
        <w:footnoteReference w:id="27"/>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 Structure de la population par grand groupe d'âge, RDC (2025)</w:t>
      </w:r>
    </w:p>
    <w:p>
      <w:pPr>
        <w:pStyle w:val="Normal"/>
      </w:pPr>
      <w:r>
        <w:drawing>
          <wp:inline>
            <wp:extent cx="5753100" cy="2866425"/>
            <wp:effectExtent b="0" l="0" r="0" t="0"/>
            <wp:docPr descr="Structure de la population par grand groupe d'âge, RDC (2025)" title="" id="29" name="Picture"/>
            <a:graphic>
              <a:graphicData uri="http://schemas.openxmlformats.org/drawingml/2006/picture">
                <pic:pic>
                  <pic:nvPicPr>
                    <pic:cNvPr descr="C:/Users/M.Diouf/OneDrive/Bureau/RDC%20Bulletin%20V1/Bulletin_rdc_2026_agents/08_figures/exports/FIG_2_structure_age_2025.png" id="30" name="Picture"/>
                    <pic:cNvPicPr>
                      <a:picLocks noChangeArrowheads="1" noChangeAspect="1"/>
                    </pic:cNvPicPr>
                  </pic:nvPicPr>
                  <pic:blipFill>
                    <a:blip r:embed="rId28"/>
                    <a:stretch>
                      <a:fillRect/>
                    </a:stretch>
                  </pic:blipFill>
                  <pic:spPr bwMode="auto">
                    <a:xfrm>
                      <a:off x="0" y="0"/>
                      <a:ext cx="5753100" cy="2866425"/>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w:t>
      </w:r>
    </w:p>
    <w:bookmarkEnd w:id="31"/>
    <w:bookmarkStart w:id="37"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32"/>
      </w:r>
      <w:r>
        <w:t xml:space="preserve"> </w:t>
      </w:r>
      <w:r>
        <w:t xml:space="preserve">à environ 45 %</w:t>
      </w:r>
      <w:r>
        <w:rPr>
          <w:rStyle w:val="FootnoteReference"/>
        </w:rPr>
        <w:footnoteReference w:id="33"/>
      </w:r>
      <w:r>
        <w:t xml:space="preserve"> </w:t>
      </w:r>
      <w:r>
        <w:rPr>
          <w:i/>
          <w:iCs/>
        </w:rPr>
        <w:t xml:space="preserve">(Banque mondiale, WDI 2024)</w:t>
      </w:r>
      <w:r>
        <w:t xml:space="preserve">. Cette urbanisation accélérée transforme les besoins sociaux dans les grandes agglomérations, en premier lieu à Kinshasa qui compte environ 17 millions d'habitants</w:t>
      </w:r>
      <w:r>
        <w:rPr>
          <w:rStyle w:val="FootnoteReference"/>
        </w:rPr>
        <w:footnoteReference w:id="34"/>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 environ 55 %</w:t>
      </w:r>
      <w:r>
        <w:rPr>
          <w:rStyle w:val="FootnoteReference"/>
        </w:rPr>
        <w:footnoteReference w:id="35"/>
      </w:r>
      <w:r>
        <w:t xml:space="preserve"> </w:t>
      </w:r>
      <w:r>
        <w:t xml:space="preserve">des Congolais vivent encore dans des zones éloignées des grands centres</w:t>
      </w:r>
      <w:r>
        <w:t xml:space="preserve"> </w:t>
      </w:r>
      <w:r>
        <w:rPr>
          <w:i/>
          <w:iCs/>
        </w:rPr>
        <w:t xml:space="preserve">(Banque mondiale WDI, 2024)</w:t>
      </w:r>
      <w:r>
        <w:t xml:space="preserve">, avec une densité moyenne de 51 habitants par km²</w:t>
      </w:r>
      <w:r>
        <w:rPr>
          <w:rStyle w:val="FootnoteReference"/>
        </w:rPr>
        <w:footnoteReference w:id="36"/>
      </w:r>
      <w:r>
        <w:t xml:space="preserve"> </w:t>
      </w:r>
      <w:r>
        <w:t xml:space="preserve">sur un territoire de plus de 2,3 millions de km², mais des disparités provinciales considérables.</w:t>
      </w:r>
    </w:p>
    <w:bookmarkEnd w:id="37"/>
    <w:bookmarkStart w:id="38"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bookmarkEnd w:id="38"/>
    <w:bookmarkEnd w:id="39"/>
    <w:bookmarkStart w:id="65" w:name="X875bd217f609cd4b0efe41cdc0493e4b94e2a8f"/>
    <w:p>
      <w:pPr>
        <w:pStyle w:val="Heading2"/>
      </w:pPr>
      <w:r>
        <w:t xml:space="preserve">1.2 Contexte économique, emploi et enjeux d'extension de la couverture</w:t>
      </w:r>
    </w:p>
    <w:bookmarkStart w:id="50"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40"/>
      </w:r>
      <w:r>
        <w:t xml:space="preserve">, +9,3 % en 2022</w:t>
      </w:r>
      <w:r>
        <w:rPr>
          <w:rStyle w:val="FootnoteReference"/>
        </w:rPr>
        <w:footnoteReference w:id="41"/>
      </w:r>
      <w:r>
        <w:t xml:space="preserve">, +8,5 % en 2023</w:t>
      </w:r>
      <w:r>
        <w:rPr>
          <w:rStyle w:val="FootnoteReference"/>
        </w:rPr>
        <w:footnoteReference w:id="42"/>
      </w:r>
      <w:r>
        <w:t xml:space="preserve"> </w:t>
      </w:r>
      <w:r>
        <w:t xml:space="preserve">et +6,1 % en 2024</w:t>
      </w:r>
      <w:r>
        <w:rPr>
          <w:rStyle w:val="FootnoteReference"/>
        </w:rPr>
        <w:footnoteReference w:id="43"/>
      </w:r>
      <w:r>
        <w:t xml:space="preserve"> </w:t>
      </w:r>
      <w:r>
        <w:rPr>
          <w:i/>
          <w:iCs/>
        </w:rPr>
        <w:t xml:space="preserve">(Banque mondiale, WDI 2026)</w:t>
      </w:r>
      <w:r>
        <w:t xml:space="preserve">.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44"/>
      </w:r>
      <w:r>
        <w:t xml:space="preserve"> </w:t>
      </w:r>
      <w:r>
        <w:t xml:space="preserve">(USD courants), parmi les plus bas du continent. Les inégalités restent marquées — l'indice de Gini s'établissait à 0,447 en 2020</w:t>
      </w:r>
      <w:r>
        <w:rPr>
          <w:rStyle w:val="FootnoteReference"/>
        </w:rPr>
        <w:footnoteReference w:id="45"/>
      </w:r>
      <w:r>
        <w:t xml:space="preserve"> </w:t>
      </w:r>
      <w:r>
        <w:rPr>
          <w:i/>
          <w:iCs/>
        </w:rPr>
        <w:t xml:space="preserve">(Banque mondiale, WDI — enquête ménages 2020 ; l'enquête INS 2024 indique une valeur de 0,381, non encore intégrée dans les bases internationales)</w:t>
      </w:r>
      <w:r>
        <w:t xml:space="preserve"> </w:t>
      </w:r>
      <w:r>
        <w:t xml:space="preserve">— et le taux de pauvreté atteignait 69 % de la population</w:t>
      </w:r>
      <w:r>
        <w:rPr>
          <w:rStyle w:val="FootnoteReference"/>
        </w:rPr>
        <w:footnoteReference w:id="46"/>
      </w:r>
      <w:r>
        <w:t xml:space="preserve"> </w:t>
      </w:r>
      <w:r>
        <w:t xml:space="preserve">selon le seuil national</w:t>
      </w:r>
      <w:r>
        <w:t xml:space="preserve"> </w:t>
      </w:r>
      <w:r>
        <w:rPr>
          <w:i/>
          <w:iCs/>
        </w:rPr>
        <w:t xml:space="preserve">(Banque mondiale, mars 2026, citant enquête INS 2024)</w:t>
      </w:r>
      <w:r>
        <w:t xml:space="preserve">. Ces données soulignent la persistance d'une vulnérabilité économique structurelle.</w:t>
      </w:r>
    </w:p>
    <w:p>
      <w:pPr>
        <w:pStyle w:val="GraphicTitle"/>
      </w:pPr>
      <w:r>
        <w:rPr>
          <w:b/>
          <w:bCs/>
        </w:rPr>
        <w:t xml:space="preserve">Figure 4</w:t>
      </w:r>
      <w:r>
        <w:t xml:space="preserve"> </w:t>
      </w:r>
      <w:r>
        <w:t xml:space="preserve">— Évolution du taux de croissance annuel du PIB en RDC (2000–2024)</w:t>
      </w:r>
    </w:p>
    <w:p>
      <w:pPr>
        <w:pStyle w:val="Normal"/>
      </w:pPr>
      <w:r>
        <w:drawing>
          <wp:inline>
            <wp:extent cx="5753100" cy="2452872"/>
            <wp:effectExtent b="0" l="0" r="0" t="0"/>
            <wp:docPr descr="Évolution du taux de croissance annuel du PIB en RDC (2000–2024)" title="" id="48" name="Picture"/>
            <a:graphic>
              <a:graphicData uri="http://schemas.openxmlformats.org/drawingml/2006/picture">
                <pic:pic>
                  <pic:nvPicPr>
                    <pic:cNvPr descr="C:/Users/M.Diouf/OneDrive/Bureau/RDC%20Bulletin%20V1/Bulletin_rdc_2026_agents/08_figures/exports/FIG_4_croissance_PIB_2000_2024.png" id="49" name="Picture"/>
                    <pic:cNvPicPr>
                      <a:picLocks noChangeArrowheads="1" noChangeAspect="1"/>
                    </pic:cNvPicPr>
                  </pic:nvPicPr>
                  <pic:blipFill>
                    <a:blip r:embed="rId47"/>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Banque mondiale, World Development Indicators (WDI, avril 2026).</w:t>
      </w:r>
    </w:p>
    <w:bookmarkEnd w:id="50"/>
    <w:bookmarkStart w:id="59" w:name="X4a9dc27c2bcb00ce2a49728742e4b47b9e11392"/>
    <w:p>
      <w:pPr>
        <w:pStyle w:val="Heading3"/>
      </w:pPr>
      <w:r>
        <w:t xml:space="preserve">Un marché du travail dominé par l'informalité</w:t>
      </w:r>
    </w:p>
    <w:p>
      <w:pPr>
        <w:pStyle w:val="Normal"/>
      </w:pPr>
      <w:r>
        <w:t xml:space="preserve">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51"/>
      </w:r>
      <w:r>
        <w:t xml:space="preserve"> </w:t>
      </w:r>
      <w:r>
        <w:t xml:space="preserve">travaille dans l'agriculture en 2024, avec une part nettement plus élevée chez les femmes (68 %) que chez les hommes (50 %)</w:t>
      </w:r>
      <w:r>
        <w:t xml:space="preserve"> </w:t>
      </w:r>
      <w:r>
        <w:rPr>
          <w:i/>
          <w:iCs/>
        </w:rPr>
        <w:t xml:space="preserve">(Banque mondiale WDI, indicateur ILOEST, 2024)</w:t>
      </w:r>
      <w:r>
        <w:t xml:space="preserve">. Malgré un taux de chômage officiel relativement faible — estimé à 4,4 %</w:t>
      </w:r>
      <w:r>
        <w:rPr>
          <w:rStyle w:val="FootnoteReference"/>
        </w:rPr>
        <w:footnoteReference w:id="52"/>
      </w:r>
      <w:r>
        <w:t xml:space="preserve"> </w:t>
      </w:r>
      <w:r>
        <w:t xml:space="preserve">en 2024</w:t>
      </w:r>
      <w:r>
        <w:t xml:space="preserve"> </w:t>
      </w:r>
      <w:r>
        <w:rPr>
          <w:i/>
          <w:iCs/>
        </w:rPr>
        <w:t xml:space="preserve">(Banque mondiale WDI, modèle ILO)</w:t>
      </w:r>
      <w:r>
        <w:t xml:space="preserve"> </w:t>
      </w:r>
      <w:r>
        <w:t xml:space="preserve">—, la grande majorité des actifs occupés exercent dans des conditions précaires : le taux d'emploi informel est estimé à environ 96 %</w:t>
      </w:r>
      <w:r>
        <w:rPr>
          <w:rStyle w:val="FootnoteReference"/>
        </w:rPr>
        <w:footnoteReference w:id="53"/>
      </w:r>
      <w:r>
        <w:t xml:space="preserve"> </w:t>
      </w:r>
      <w:r>
        <w:t xml:space="preserve">selon les estimations modélisées de l'OIT</w:t>
      </w:r>
      <w:r>
        <w:t xml:space="preserve"> </w:t>
      </w:r>
      <w:r>
        <w:rPr>
          <w:i/>
          <w:iCs/>
        </w:rPr>
        <w:t xml:space="preserve">(ILOSTAT, données 2020 — les indicateurs proxy les plus récents confirment une informalité massive et persistante)</w:t>
      </w:r>
      <w:r>
        <w:t xml:space="preserve">, avec une légère prépondérance chez les femmes (97,8 %</w:t>
      </w:r>
      <w:r>
        <w:rPr>
          <w:rStyle w:val="FootnoteReference"/>
        </w:rPr>
        <w:footnoteReference w:id="54"/>
      </w:r>
      <w:r>
        <w:t xml:space="preserve">) par rapport aux hommes (95,7 %</w:t>
      </w:r>
      <w:r>
        <w:rPr>
          <w:rStyle w:val="FootnoteReference"/>
        </w:rPr>
        <w:footnoteReference w:id="55"/>
      </w:r>
      <w:r>
        <w:t xml:space="preserve">). Cette informalité concerne toutes les catégories de statut dans l'emploi : travailleurs indépendants, employés et employeurs.</w:t>
      </w:r>
    </w:p>
    <w:p>
      <w:pPr>
        <w:pStyle w:val="GraphicTitle"/>
      </w:pPr>
      <w:r>
        <w:rPr>
          <w:b/>
          <w:bCs/>
        </w:rPr>
        <w:t xml:space="preserve">Figure 5</w:t>
      </w:r>
      <w:r>
        <w:t xml:space="preserve"> </w:t>
      </w:r>
      <w:r>
        <w:t xml:space="preserve">— Taux d'emploi informel par sexe, RDC</w:t>
      </w:r>
    </w:p>
    <w:p>
      <w:pPr>
        <w:pStyle w:val="Normal"/>
      </w:pPr>
      <w:r>
        <w:drawing>
          <wp:inline>
            <wp:extent cx="5753100" cy="3287088"/>
            <wp:effectExtent b="0" l="0" r="0" t="0"/>
            <wp:docPr descr="Taux d'emploi informel par sexe, RDC" title="" id="57" name="Picture"/>
            <a:graphic>
              <a:graphicData uri="http://schemas.openxmlformats.org/drawingml/2006/picture">
                <pic:pic>
                  <pic:nvPicPr>
                    <pic:cNvPr descr="C:/Users/M.Diouf/OneDrive/Bureau/RDC%20Bulletin%20V1/Bulletin_rdc_2026_agents/08_figures/exports/FIG_5_emploi_informel_par_sexe.png" id="58" name="Picture"/>
                    <pic:cNvPicPr>
                      <a:picLocks noChangeArrowheads="1" noChangeAspect="1"/>
                    </pic:cNvPicPr>
                  </pic:nvPicPr>
                  <pic:blipFill>
                    <a:blip r:embed="rId56"/>
                    <a:stretch>
                      <a:fillRect/>
                    </a:stretch>
                  </pic:blipFill>
                  <pic:spPr bwMode="auto">
                    <a:xfrm>
                      <a:off x="0" y="0"/>
                      <a:ext cx="5753100" cy="3287088"/>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de l'emploi informel (ILOEST), 2020.</w:t>
      </w:r>
    </w:p>
    <w:bookmarkEnd w:id="59"/>
    <w:bookmarkStart w:id="63"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pPr>
        <w:pStyle w:val="GraphicTitle"/>
      </w:pPr>
      <w:r>
        <w:rPr>
          <w:b/>
          <w:bCs/>
        </w:rPr>
        <w:t xml:space="preserve">Figure 6</w:t>
      </w:r>
      <w:r>
        <w:t xml:space="preserve"> </w:t>
      </w:r>
      <w:r>
        <w:t xml:space="preserve">— Structure de l'emploi par grand secteur d'activité (agriculture, industrie, services), RDC</w:t>
      </w:r>
    </w:p>
    <w:p>
      <w:pPr>
        <w:pStyle w:val="Normal"/>
      </w:pPr>
      <w:r>
        <w:drawing>
          <wp:inline>
            <wp:extent cx="5753100" cy="3081931"/>
            <wp:effectExtent b="0" l="0" r="0" t="0"/>
            <wp:docPr descr="Structure de l'emploi par grand secteur d'activité, RDC" title="" id="61" name="Picture"/>
            <a:graphic>
              <a:graphicData uri="http://schemas.openxmlformats.org/drawingml/2006/picture">
                <pic:pic>
                  <pic:nvPicPr>
                    <pic:cNvPr descr="C:/Users/M.Diouf/OneDrive/Bureau/RDC%20Bulletin%20V1/Bulletin_rdc_2026_agents/08_figures/exports/FIG_6_structure_emploi_secteurs.png" id="62" name="Picture"/>
                    <pic:cNvPicPr>
                      <a:picLocks noChangeArrowheads="1" noChangeAspect="1"/>
                    </pic:cNvPicPr>
                  </pic:nvPicPr>
                  <pic:blipFill>
                    <a:blip r:embed="rId60"/>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Banque mondiale, WDI (indicateur ILOEST, 2024). Industrie et services : parts résiduelles estimées.</w:t>
      </w:r>
    </w:p>
    <w:bookmarkEnd w:id="63"/>
    <w:bookmarkStart w:id="64"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bookmarkEnd w:id="64"/>
    <w:bookmarkEnd w:id="65"/>
    <w:bookmarkStart w:id="74" w:name="X9525585a82bf70263e12a782584206f6e266557"/>
    <w:p>
      <w:pPr>
        <w:pStyle w:val="Heading2"/>
      </w:pPr>
      <w:r>
        <w:t xml:space="preserve">1.3 Protection sociale, stratégie nationale et besoin de données statistiques</w:t>
      </w:r>
    </w:p>
    <w:bookmarkStart w:id="69"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66"/>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67"/>
      </w:r>
      <w:r>
        <w:t xml:space="preserve"> </w:t>
      </w:r>
      <w:r>
        <w:t xml:space="preserve">bénéficient d'au moins une prestation de protection sociale, et ce taux tombe à 19,1 % en Afrique</w:t>
      </w:r>
      <w:r>
        <w:rPr>
          <w:rStyle w:val="FootnoteReference"/>
        </w:rPr>
        <w:footnoteReference w:id="68"/>
      </w:r>
      <w:r>
        <w:t xml:space="preserve"> </w:t>
      </w:r>
      <w:r>
        <w:rPr>
          <w:i/>
          <w:iCs/>
        </w:rPr>
        <w:t xml:space="preserve">(BIT, 2024)</w:t>
      </w:r>
      <w:r>
        <w:t xml:space="preserve">, soulignant l'ampleur des défis communs à la RDC et à son environnement régional.</w:t>
      </w:r>
    </w:p>
    <w:bookmarkEnd w:id="69"/>
    <w:bookmarkStart w:id="71"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70"/>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71"/>
    <w:bookmarkStart w:id="72"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72"/>
    <w:bookmarkStart w:id="73"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bookmarkEnd w:id="73"/>
    <w:bookmarkEnd w:id="74"/>
    <w:bookmarkEnd w:id="75"/>
    <w:bookmarkStart w:id="91" w:name="X101ffbd1ca7686cb5d65df408d79fa3b64745ae"/>
    <w:p>
      <w:pPr>
        <w:pStyle w:val="Heading1"/>
      </w:pPr>
      <w:r>
        <w:t xml:space="preserve">Chapitre 2 — Cadre conceptuel et périmètre statistique</w:t>
      </w:r>
    </w:p>
    <w:bookmarkStart w:id="82" w:name="Xb5de44341d3431b4058dcfcfb2191280a9838ee"/>
    <w:p>
      <w:pPr>
        <w:pStyle w:val="Heading2"/>
      </w:pPr>
      <w:r>
        <w:t xml:space="preserve">2.1 Définitions et approches de la protection sociale</w:t>
      </w:r>
    </w:p>
    <w:bookmarkStart w:id="78"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76"/>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77"/>
      </w:r>
    </w:p>
    <w:bookmarkEnd w:id="78"/>
    <w:bookmarkStart w:id="81"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79"/>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80"/>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81"/>
    <w:bookmarkEnd w:id="82"/>
    <w:bookmarkStart w:id="88" w:name="X1ab6219a882291178bcfc20cbc2711226a7d9c6"/>
    <w:p>
      <w:pPr>
        <w:pStyle w:val="Heading2"/>
      </w:pPr>
      <w:r>
        <w:t xml:space="preserve">2.2 Approche retenue pour le bulletin : cadre BIT/OIT et indicateurs de couverture effective</w:t>
      </w:r>
    </w:p>
    <w:bookmarkStart w:id="86"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83"/>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84"/>
      </w:r>
      <w:r>
        <w:t xml:space="preserve"> </w:t>
      </w:r>
      <w:r>
        <w:t xml:space="preserve">et indicateur ODD 1.3.1, dont la méthodologie est harmonisée par le BIT</w:t>
      </w:r>
      <w:r>
        <w:rPr>
          <w:rStyle w:val="FootnoteReference"/>
        </w:rPr>
        <w:footnoteReference w:id="85"/>
      </w:r>
      <w:r>
        <w:t xml:space="preserve">.</w:t>
      </w:r>
    </w:p>
    <w:bookmarkEnd w:id="86"/>
    <w:bookmarkStart w:id="87"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87"/>
    <w:bookmarkEnd w:id="88"/>
    <w:bookmarkStart w:id="89" w:name="Xd67dbdbe4284bfbd7d5a725fbe16010e3707dc7"/>
    <w:p>
      <w:pPr>
        <w:pStyle w:val="Heading2"/>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89"/>
    <w:bookmarkStart w:id="90" w:name="X323c4f22bad9d26e731773e1bb5ec18c2dc8d6f"/>
    <w:p>
      <w:pPr>
        <w:pStyle w:val="Heading2"/>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pPr>
        <w:pStyle w:val="Normal"/>
      </w:pPr>
      <w:r>
        <w:rPr>
          <w:i/>
          <w:iCs/>
        </w:rPr>
        <w:t xml:space="preserve">→ Les définitions opérationnelles complètes figurent dans le Glossaire.</w:t>
      </w:r>
    </w:p>
    <w:bookmarkEnd w:id="90"/>
    <w:bookmarkEnd w:id="91"/>
    <w:bookmarkStart w:id="135" w:name="X5f1b84ce5a1e87a4731e51491ddbc71a2f4a872"/>
    <w:p>
      <w:pPr>
        <w:pStyle w:val="Heading1"/>
      </w:pPr>
      <w:r>
        <w:t xml:space="preserve">Chapitre 3 — Cartographie institutionnelle de la protection sociale en RDC</w:t>
      </w:r>
    </w:p>
    <w:bookmarkStart w:id="134" w:name="X27535e0f9de3278860b155ee257df3da6e7665e"/>
    <w:p>
      <w:pPr>
        <w:pStyle w:val="Heading2"/>
      </w:pPr>
      <w:r>
        <w:t xml:space="preserve">3.1 Panorama des régimes et programmes de protection sociale en RDC</w:t>
      </w:r>
    </w:p>
    <w:bookmarkStart w:id="92"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trois grandes catégories : la sécurité sociale contributive obligatoire, qui couvre les travailleurs du secteur formel selon leurs catégories (Tableaux 2.1 et 2.2) ; la protection de la santé, organisée par segment de population (Tableau 2.3) ; et les programmes d'assistance sociale et initiatives non contributives destinés aux populations non couvertes par les régimes formels (Tableau 2.4).</w:t>
      </w:r>
    </w:p>
    <w:bookmarkEnd w:id="92"/>
    <w:bookmarkStart w:id="105" w:name="X679c7ed0e1ed8689bfd3f8340a313da6db29658"/>
    <w:p>
      <w:pPr>
        <w:pStyle w:val="Heading3"/>
      </w:pPr>
      <w:r>
        <w:t xml:space="preserve">Tableau 2.1 — Sécurité sociale contributive obligatoire : CNSS et CNSSAP</w:t>
      </w:r>
    </w:p>
    <w:p>
      <w:pPr>
        <w:pStyle w:val="Normal"/>
      </w:pPr>
      <w:r>
        <w:t xml:space="preserve">Les neuf branches de la Convention no 102 de l'OIT</w:t>
      </w:r>
      <w:r>
        <w:rPr>
          <w:rStyle w:val="FootnoteReference"/>
        </w:rPr>
        <w:footnoteReference w:id="93"/>
      </w:r>
      <w:r>
        <w:t xml:space="preserve"> </w:t>
      </w:r>
      <w:r>
        <w:t xml:space="preserve">servent de grille de lecture pour situer chaque institution dans le panorama de la protection sociale.</w:t>
      </w:r>
    </w:p>
    <w:p>
      <w:pPr>
        <w:pStyle w:val="TableTitle"/>
      </w:pPr>
      <w:r>
        <w:rPr>
          <w:b/>
          <w:bCs/>
        </w:rPr>
        <w:t xml:space="preserve">Tableau 2.1</w:t>
      </w:r>
      <w:r>
        <w:t xml:space="preserve"> </w:t>
      </w:r>
      <w:r>
        <w:t xml:space="preserve">— Sécurité sociale contributive obligatoire : CNSS et CNSSAP</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w:t>
            </w:r>
            <w:r>
              <w:rPr>
                <w:rStyle w:val="FootnoteReference"/>
              </w:rPr>
              <w:footnoteReference w:id="94"/>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CNSSAP</w:t>
            </w:r>
            <w:r>
              <w:rPr>
                <w:rStyle w:val="FootnoteReference"/>
              </w:rPr>
              <w:footnoteReference w:id="95"/>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Travailleurs du secteur privé formel et assimilés [1]</w:t>
            </w:r>
            <w:r>
              <w:rPr>
                <w:rStyle w:val="FootnoteReference"/>
              </w:rPr>
              <w:footnoteReference w:id="96"/>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Agents de carrière, militaires, policiers, enseignants, contractuels de l'État [2]</w:t>
            </w:r>
            <w:r>
              <w:rPr>
                <w:rStyle w:val="FootnoteReference"/>
              </w:rPr>
              <w:footnoteReference w:id="97"/>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 + salarié [1]</w:t>
            </w:r>
            <w:r>
              <w:rPr>
                <w:rStyle w:val="FootnoteReference"/>
              </w:rPr>
              <w:footnoteReference w:id="98"/>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État employeur + agent [2]</w:t>
            </w:r>
            <w:r>
              <w:rPr>
                <w:rStyle w:val="FootnoteReference"/>
              </w:rPr>
              <w:footnoteReference w:id="99"/>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Loi n°16/009 du 15 juillet 2016 [1]</w:t>
            </w:r>
            <w:r>
              <w:rPr>
                <w:rStyle w:val="FootnoteReference"/>
              </w:rPr>
              <w:footnoteReference w:id="100"/>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Décret n°15/031 du 14 déc. 2015 ; Loi n°22/031 du 15 juil. 2022 [2]</w:t>
            </w:r>
            <w:r>
              <w:rPr>
                <w:rStyle w:val="FootnoteReference"/>
              </w:rPr>
              <w:footnoteReference w:id="101"/>
            </w:r>
          </w:p>
        </w:tc>
      </w:tr>
      <w:tr>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w:t>
            </w:r>
          </w:p>
        </w:tc>
      </w:tr>
    </w:tbl>
    <w:p>
      <w:pPr>
        <w:pStyle w:val="TableNoteSource"/>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TableNoteSource"/>
      </w:pPr>
      <w:r>
        <w:t xml:space="preserve">Sources : CNSS (cnss.cd, 2026)</w:t>
      </w:r>
      <w:r>
        <w:rPr>
          <w:rStyle w:val="FootnoteReference"/>
        </w:rPr>
        <w:footnoteReference w:id="102"/>
      </w:r>
      <w:r>
        <w:t xml:space="preserve"> </w:t>
      </w:r>
      <w:r>
        <w:t xml:space="preserve">· CNSSAP (cnssap.cd, 2026)</w:t>
      </w:r>
      <w:r>
        <w:rPr>
          <w:rStyle w:val="FootnoteReference"/>
        </w:rPr>
        <w:footnoteReference w:id="103"/>
      </w:r>
      <w:r>
        <w:t xml:space="preserve"> </w:t>
      </w:r>
      <w:r>
        <w:t xml:space="preserve">· Premier bulletin RDC (2023)</w:t>
      </w:r>
      <w:r>
        <w:rPr>
          <w:rStyle w:val="FootnoteReference"/>
        </w:rPr>
        <w:footnoteReference w:id="104"/>
      </w:r>
    </w:p>
    <w:bookmarkEnd w:id="105"/>
    <w:bookmarkStart w:id="107" w:name="tableau-22-regimes-speciaux-non-valide"/>
    <w:p>
      <w:pPr>
        <w:pStyle w:val="Heading3"/>
      </w:pPr>
      <w:r>
        <w:t xml:space="preserve">Tableau 2.2 — Régimes spéciaux</w:t>
      </w:r>
    </w:p>
    <w:p>
      <w:pPr>
        <w:pStyle w:val="Normal"/>
      </w:pPr>
      <w:r>
        <w:t xml:space="preserve">Les régimes spéciaux couvrent des catégories professionnelles spécifiques de l'État. À l'exception du régime des parlementaires, ces régimes sont en grande partie financés par allocation budgétaire du Trésor public et non par cotisations.</w:t>
      </w:r>
    </w:p>
    <w:p>
      <w:pPr>
        <w:pStyle w:val="TableTitle"/>
      </w:pPr>
      <w:r>
        <w:rPr>
          <w:b/>
          <w:bCs/>
        </w:rPr>
        <w:t xml:space="preserve">Tableau 2.2</w:t>
      </w:r>
      <w:r>
        <w:t xml:space="preserve"> </w:t>
      </w:r>
      <w:r>
        <w:t xml:space="preserve">— Régimes spéciaux (financement par allocation budgétaire)</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Branches C102 prévues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militaires (FAC, PNC)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Forces armées, Police nationale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 dotation</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régimes budgétaires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Autres catégories spécifiques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préciser</w:t>
            </w:r>
          </w:p>
        </w:tc>
      </w:tr>
    </w:tbl>
    <w:p>
      <w:pPr>
        <w:pStyle w:val="TableNoteSource"/>
      </w:pPr>
      <w:r>
        <w:t xml:space="preserve">Légende :</w:t>
      </w:r>
      <w:r>
        <w:t xml:space="preserve"> </w:t>
      </w:r>
      <w:r>
        <w:t xml:space="preserve">✓</w:t>
      </w:r>
      <w:r>
        <w:t xml:space="preserve"> </w:t>
      </w:r>
      <w:r>
        <w:t xml:space="preserve">= branche couverte de façon effective.</w:t>
      </w:r>
      <w:r>
        <w:br/>
      </w:r>
      <w:r>
        <w:t xml:space="preserve">Note : les branches couvertes par les régimes spéciaux sont identifiées sur base du premier bulletin (2023). La collecte des données effectives fera l'objet de démarches spécifiques dans le cadre du présent bulletin.</w:t>
      </w:r>
      <w:r>
        <w:br/>
      </w:r>
      <w:r>
        <w:t xml:space="preserve">Source : Premier bulletin RDC (2023)</w:t>
      </w:r>
      <w:r>
        <w:rPr>
          <w:rStyle w:val="FootnoteReference"/>
        </w:rPr>
        <w:footnoteReference w:id="106"/>
      </w:r>
    </w:p>
    <w:bookmarkEnd w:id="107"/>
    <w:bookmarkStart w:id="117" w:name="X8f5c702696fb1abacff24064192aff766b279fe"/>
    <w:p>
      <w:pPr>
        <w:pStyle w:val="Heading3"/>
      </w:pPr>
      <w:r>
        <w:t xml:space="preserve">Tableau 2.3 — 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p>
      <w:pPr>
        <w:pStyle w:val="TableTitle"/>
      </w:pPr>
      <w:r>
        <w:rPr>
          <w:b/>
          <w:bCs/>
        </w:rPr>
        <w:t xml:space="preserve">Tableau 2.3</w:t>
      </w:r>
      <w:r>
        <w:t xml:space="preserve"> </w:t>
      </w:r>
      <w:r>
        <w:t xml:space="preserve">— Protection de la santé par segment de population</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(paquet de base obligatoire)</w:t>
            </w:r>
            <w:r>
              <w:rPr>
                <w:rStyle w:val="FootnoteReference"/>
              </w:rPr>
              <w:footnoteReference w:id="108"/>
            </w:r>
            <w:r>
              <w:t xml:space="preserve"> </w:t>
            </w:r>
            <w:r>
              <w:t xml:space="preserve">[1]</w:t>
            </w:r>
            <w:r>
              <w:rPr>
                <w:rStyle w:val="FootnoteReference"/>
              </w:rPr>
              <w:footnoteReference w:id="109"/>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régime informel [1]</w:t>
            </w:r>
            <w:r>
              <w:rPr>
                <w:rStyle w:val="FootnoteReference"/>
              </w:rPr>
              <w:footnoteReference w:id="110"/>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Kobota Ofele (gratuité maternité) [1]</w:t>
            </w:r>
            <w:r>
              <w:rPr>
                <w:rStyle w:val="FootnoteReference"/>
              </w:rPr>
              <w:footnoteReference w:id="11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 — Afia Bora Prime [1]</w:t>
            </w:r>
            <w:r>
              <w:rPr>
                <w:rStyle w:val="FootnoteReference"/>
              </w:rPr>
              <w:footnoteReference w:id="112"/>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 (Mutuelle agréée) [2]</w:t>
            </w:r>
            <w:r>
              <w:rPr>
                <w:rStyle w:val="FootnoteReference"/>
              </w:rPr>
              <w:footnoteReference w:id="11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TableNoteSource"/>
      </w:pPr>
      <w:r>
        <w:t xml:space="preserve">Sources : FSS (fss.cd, juin 2026)</w:t>
      </w:r>
      <w:r>
        <w:rPr>
          <w:rStyle w:val="FootnoteReference"/>
        </w:rPr>
        <w:footnoteReference w:id="114"/>
      </w:r>
      <w:r>
        <w:t xml:space="preserve"> </w:t>
      </w:r>
      <w:r>
        <w:t xml:space="preserve">· Premier bulletin RDC (2023), tableau 9</w:t>
      </w:r>
      <w:r>
        <w:rPr>
          <w:rStyle w:val="FootnoteReference"/>
        </w:rPr>
        <w:footnoteReference w:id="115"/>
      </w:r>
      <w:r>
        <w:t xml:space="preserve"> </w:t>
      </w:r>
      <w:r>
        <w:t xml:space="preserve">· Loi n°18/035 (2018) / Décret n°22/13 (2022)</w:t>
      </w:r>
      <w:r>
        <w:rPr>
          <w:rStyle w:val="FootnoteReference"/>
        </w:rPr>
        <w:footnoteReference w:id="116"/>
      </w:r>
      <w:r>
        <w:br/>
      </w:r>
      <w:r>
        <w:t xml:space="preserve">Note : Les mutuelles volontaires ne sont pas incluses dans les indicateurs de couverture du présent bulletin, conformément aux critères définis en section 2.3.</w:t>
      </w:r>
    </w:p>
    <w:bookmarkEnd w:id="117"/>
    <w:bookmarkStart w:id="133" w:name="X4a200e07389455f21803e1604483d9c38b6df79"/>
    <w:p>
      <w:pPr>
        <w:pStyle w:val="Heading3"/>
      </w:pPr>
      <w:r>
        <w:t xml:space="preserve">Tableau 2.4 — 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18"/>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19"/>
      </w:r>
    </w:p>
    <w:p>
      <w:pPr>
        <w:pStyle w:val="Normal"/>
      </w:pPr>
      <w:r>
        <w:t xml:space="preserve">Ces programmes se distinguent des régimes précédents par trois caractéristiques structurelles : ils sont entièrement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p>
      <w:pPr>
        <w:pStyle w:val="TableTitle"/>
      </w:pPr>
      <w:r>
        <w:rPr>
          <w:b/>
          <w:bCs/>
        </w:rPr>
        <w:t xml:space="preserve">Tableau 2.4</w:t>
      </w:r>
      <w:r>
        <w:t xml:space="preserve"> </w:t>
      </w:r>
      <w:r>
        <w:t xml:space="preserve">— Programmes d'assistance sociale et initiatives non contributives (actifs au 31.12.2025)</w:t>
      </w:r>
    </w:p>
    <w:tbl>
      <w:tblPr>
        <w:tblStyle w:val="ILO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TableHeader"/>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Transferts de ressources sans conditions</w:t>
            </w:r>
            <w:r>
              <w:rPr>
                <w:rStyle w:val="FootnoteReference"/>
              </w:rPr>
              <w:footnoteReference w:id="120"/>
            </w:r>
            <w:r>
              <w:br/>
            </w:r>
            <w:r>
              <w:rPr>
                <w:i/>
                <w:iCs/>
              </w:rPr>
              <w:t xml:space="preserve">Début : continu (2000s) — Actif au 31.12.2025</w:t>
            </w:r>
            <w:r>
              <w:t xml:space="preserve"> </w:t>
            </w:r>
            <w:r>
              <w:t xml:space="preserve">[1]</w:t>
            </w:r>
            <w:r>
              <w:rPr>
                <w:rStyle w:val="FootnoteReference"/>
              </w:rPr>
              <w:footnoteReference w:id="121"/>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Cantines scolaires</w:t>
            </w:r>
            <w:r>
              <w:rPr>
                <w:rStyle w:val="FootnoteReference"/>
              </w:rPr>
              <w:footnoteReference w:id="122"/>
            </w:r>
            <w:r>
              <w:br/>
            </w:r>
            <w:r>
              <w:rPr>
                <w:i/>
                <w:iCs/>
              </w:rPr>
              <w:t xml:space="preserve">Début : 2023 (pilote) — Statut 2025 : en cours (données non consolidées)</w:t>
            </w:r>
            <w:r>
              <w:t xml:space="preserve"> </w:t>
            </w:r>
            <w:r>
              <w:t xml:space="preserve">[1]</w:t>
            </w:r>
            <w:r>
              <w:rPr>
                <w:rStyle w:val="FootnoteReference"/>
              </w:rPr>
              <w:footnoteReference w:id="123"/>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Cash + Nutrition</w:t>
            </w:r>
            <w:r>
              <w:rPr>
                <w:rStyle w:val="FootnoteReference"/>
              </w:rPr>
              <w:footnoteReference w:id="124"/>
            </w:r>
            <w:r>
              <w:br/>
            </w:r>
            <w:r>
              <w:rPr>
                <w:i/>
                <w:iCs/>
              </w:rPr>
              <w:t xml:space="preserve">Début : 2021 (données disponibles) — Actif (intermittent) au 31.12.2025</w:t>
            </w:r>
            <w:r>
              <w:t xml:space="preserve"> </w:t>
            </w:r>
            <w:r>
              <w:t xml:space="preserve">[2]</w:t>
            </w:r>
            <w:r>
              <w:rPr>
                <w:rStyle w:val="FootnoteReference"/>
              </w:rPr>
              <w:footnoteReference w:id="125"/>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 (intermittent)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Gratuité de l'enseignement primaire public</w:t>
            </w:r>
            <w:r>
              <w:rPr>
                <w:rStyle w:val="FootnoteReference"/>
              </w:rPr>
              <w:footnoteReference w:id="126"/>
            </w:r>
            <w:r>
              <w:br/>
            </w:r>
            <w:r>
              <w:rPr>
                <w:i/>
                <w:iCs/>
              </w:rPr>
              <w:t xml:space="preserve">Début : rentrée sept. 2019 — Actif au 31.12.2025</w:t>
            </w:r>
            <w:r>
              <w:t xml:space="preserve"> </w:t>
            </w:r>
            <w:r>
              <w:t xml:space="preserve">[3]</w:t>
            </w:r>
            <w:r>
              <w:rPr>
                <w:rStyle w:val="FootnoteReference"/>
              </w:rPr>
              <w:footnoteReference w:id="127"/>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Exonération de frais (accès gratuit à un service public d'éducation)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en âge scolaire — écoles primaires publiques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Gouvernement RDC + appui Banque mondiale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TableText"/>
              <w:jc w:val="center"/>
            </w:pPr>
            <w:r>
              <w:t xml:space="preserve">Actif</w:t>
            </w:r>
          </w:p>
        </w:tc>
      </w:tr>
    </w:tbl>
    <w:p>
      <w:pPr>
        <w:pStyle w:val="TableNoteSource"/>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TableNoteSource"/>
      </w:pPr>
      <w:r>
        <w:t xml:space="preserve">Sources : Premier bulletin RDC (2023), ch. 2.3</w:t>
      </w:r>
      <w:r>
        <w:rPr>
          <w:rStyle w:val="FootnoteReference"/>
        </w:rPr>
        <w:footnoteReference w:id="128"/>
      </w:r>
      <w:r>
        <w:t xml:space="preserve"> </w:t>
      </w:r>
      <w:r>
        <w:t xml:space="preserve">· PAM (wfp.org, 2026)</w:t>
      </w:r>
      <w:r>
        <w:rPr>
          <w:rStyle w:val="FootnoteReference"/>
        </w:rPr>
        <w:footnoteReference w:id="129"/>
      </w:r>
      <w:r>
        <w:t xml:space="preserve"> </w:t>
      </w:r>
      <w:r>
        <w:t xml:space="preserve">· Programmes gouvernementaux RDC (2019–2025)</w:t>
      </w:r>
      <w:r>
        <w:rPr>
          <w:rStyle w:val="FootnoteReference"/>
        </w:rPr>
        <w:footnoteReference w:id="130"/>
      </w:r>
      <w:r>
        <w:t xml:space="preserve"> </w:t>
      </w:r>
      <w:r>
        <w:t xml:space="preserve">· UNICEF RDC (2021–2025)</w:t>
      </w:r>
      <w:r>
        <w:rPr>
          <w:rStyle w:val="FootnoteReference"/>
        </w:rPr>
        <w:footnoteReference w:id="131"/>
      </w:r>
      <w:r>
        <w:t xml:space="preserve"> </w:t>
      </w:r>
      <w:r>
        <w:t xml:space="preserve">· R202 (OIT, 2012)</w:t>
      </w:r>
      <w:r>
        <w:rPr>
          <w:rStyle w:val="FootnoteReference"/>
        </w:rPr>
        <w:footnoteReference w:id="132"/>
      </w:r>
      <w:r>
        <w:br/>
      </w:r>
      <w:r>
        <w:rPr>
          <w:i/>
          <w:iCs/>
        </w:rPr>
        <w:t xml:space="preserve">La liste est indicative et non exhaustive. Une cartographie complète des initiatives actives en 2025 dépasse le périmètre du présent chapitre.</w:t>
      </w:r>
    </w:p>
    <w:bookmarkEnd w:id="133"/>
    <w:bookmarkEnd w:id="134"/>
    <w:bookmarkEnd w:id="135"/>
    <w:bookmarkStart w:id="164" w:name="X994a9a602a833b2977f51bdcbbad21ea488e206"/>
    <w:p>
      <w:pPr>
        <w:pStyle w:val="Heading1"/>
      </w:pPr>
      <w:r>
        <w:t xml:space="preserve">Chapitre 4 — Couverture effective et prestations</w:t>
      </w:r>
    </w:p>
    <w:bookmarkStart w:id="138" w:name="Xab89a7b5115dfcc445fe4e333560ece931f48a3"/>
    <w:p>
      <w:pPr>
        <w:pStyle w:val="Heading2"/>
      </w:pPr>
      <w:r>
        <w:t xml:space="preserve">4.2 — Protection dans la vieillesse</w:t>
      </w:r>
    </w:p>
    <w:bookmarkStart w:id="136" w:name="X5142d79ada3de8217c6c24f2e0277835d03e657"/>
    <w:p>
      <w:pPr>
        <w:pStyle w:val="Heading3"/>
      </w:pPr>
      <w:r>
        <w:t xml:space="preserve">Bénéficiaires de pensions de vieillesse</w:t>
      </w:r>
    </w:p>
    <w:p>
      <w:pPr>
        <w:pStyle w:val="Normal"/>
      </w:pPr>
      <w:r>
        <w:t xml:space="preserve">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p>
      <w:pPr>
        <w:pStyle w:val="TableTitle"/>
      </w:pPr>
      <w:r>
        <w:rPr>
          <w:b/>
          <w:bCs/>
        </w:rPr>
        <w:t xml:space="preserve">Tableau 4.1</w:t>
      </w:r>
      <w:r>
        <w:t xml:space="preserve"> </w:t>
      </w:r>
      <w:r>
        <w:t xml:space="preserve">— Bénéficiaires de pensions de vieillesse, CNSS et CNSSAP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(FARDC, magistrats, parlementaires) : données non disponibles — à instruire.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w:t>
      </w:r>
    </w:p>
    <w:bookmarkEnd w:id="136"/>
    <w:bookmarkStart w:id="137"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p>
      <w:pPr>
        <w:pStyle w:val="TableTitle"/>
      </w:pPr>
      <w:r>
        <w:rPr>
          <w:b/>
          <w:bCs/>
        </w:rPr>
        <w:t xml:space="preserve">Tableau 4.2</w:t>
      </w:r>
      <w:r>
        <w:t xml:space="preserve"> </w:t>
      </w:r>
      <w:r>
        <w:t xml:space="preserve">— Adéquation des pensions de vieillesse, CNSS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 estimation)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37"/>
    <w:bookmarkEnd w:id="138"/>
    <w:bookmarkStart w:id="142" w:name="X0ce4a42c0eb9f4e2ccf6bf2efca2ab92e836687"/>
    <w:p>
      <w:pPr>
        <w:pStyle w:val="Heading2"/>
      </w:pPr>
      <w:r>
        <w:t xml:space="preserve">4.3 — Protection des personnes en âge actif</w:t>
      </w:r>
    </w:p>
    <w:bookmarkStart w:id="139" w:name="X073c4f6bcfc66e60ddb8231d622cb5bff802ec5"/>
    <w:p>
      <w:pPr>
        <w:pStyle w:val="Heading3"/>
      </w:pPr>
      <w:r>
        <w:t xml:space="preserve">Couverture des travailleurs — cotisants actifs</w:t>
      </w:r>
    </w:p>
    <w:p>
      <w:pPr>
        <w:pStyle w:val="Normal"/>
      </w:pPr>
      <w:r>
        <w:t xml:space="preserve">Les régimes contributifs couvrent les travailleurs du secteur formel. Le tableau présente l'évolution du nombre d'employeurs enregistrés et de cotisants actifs auprès de la CNSS et de la CNSSAP sur la période 2019–2025.</w:t>
      </w:r>
    </w:p>
    <w:p>
      <w:pPr>
        <w:pStyle w:val="TableTitle"/>
      </w:pPr>
      <w:r>
        <w:rPr>
          <w:b/>
          <w:bCs/>
        </w:rPr>
        <w:t xml:space="preserve">Tableau 4.3</w:t>
      </w:r>
      <w:r>
        <w:t xml:space="preserve"> </w:t>
      </w:r>
      <w:r>
        <w:t xml:space="preserve">— Employeurs enregistrés et cotisants actifs, CNSS et CNSSAP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(FARDC, magistrats, parlementaires) : données non disponibles — à instruire.</w:t>
      </w:r>
    </w:p>
    <w:bookmarkEnd w:id="139"/>
    <w:bookmarkStart w:id="140" w:name="protection-maternite-non-valide"/>
    <w:p>
      <w:pPr>
        <w:pStyle w:val="Heading3"/>
      </w:pPr>
      <w:r>
        <w:t xml:space="preserve">Protection maternité</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p>
      <w:pPr>
        <w:pStyle w:val="TableTitle"/>
      </w:pPr>
      <w:r>
        <w:rPr>
          <w:b/>
          <w:bCs/>
        </w:rPr>
        <w:t xml:space="preserve">Tableau 4.4</w:t>
      </w:r>
      <w:r>
        <w:t xml:space="preserve"> </w:t>
      </w:r>
      <w:r>
        <w:t xml:space="preserve">— Bénéficiaires de prestations maternité, CNSS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Régimes spéciaux : données non disponibles.</w:t>
      </w:r>
    </w:p>
    <w:p>
      <w:pPr>
        <w:pStyle w:val="Normal"/>
      </w:pPr>
      <w:r>
        <w:rPr>
          <w:b/>
          <w:bCs/>
        </w:rPr>
        <w:t xml:space="preserve">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 Elle ne doit pas être interprétée comme un faible recours aux soins obstétricaux. Un encadré méthodologique spécifique est prévu dans le bulletin pour documenter cette limite.</w:t>
      </w:r>
    </w:p>
    <w:bookmarkEnd w:id="140"/>
    <w:bookmarkStart w:id="141" w:name="X93d4b188e2d5e1997cc4e0927a4304225310692"/>
    <w:p>
      <w:pPr>
        <w:pStyle w:val="Heading3"/>
      </w:pPr>
      <w:r>
        <w:t xml:space="preserve">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pPr>
        <w:pStyle w:val="TableTitle"/>
      </w:pPr>
      <w:r>
        <w:rPr>
          <w:b/>
          <w:bCs/>
        </w:rPr>
        <w:t xml:space="preserve">Tableau 4.5</w:t>
      </w:r>
      <w:r>
        <w:t xml:space="preserve"> </w:t>
      </w:r>
      <w:r>
        <w:t xml:space="preserve">— Bénéficiaires de rentes d'accidents du travail et maladies professionnelles, CNSS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Régimes spéciaux : données non disponibles.</w:t>
      </w:r>
    </w:p>
    <w:bookmarkEnd w:id="141"/>
    <w:bookmarkEnd w:id="142"/>
    <w:bookmarkStart w:id="146" w:name="Xf86aa574e413c13a983826bfc223d8060d7dd61"/>
    <w:p>
      <w:pPr>
        <w:pStyle w:val="Heading2"/>
      </w:pPr>
      <w:r>
        <w:t xml:space="preserve">4.4 — Protection des enfants et des familles</w:t>
      </w:r>
    </w:p>
    <w:bookmarkStart w:id="143"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pPr>
        <w:pStyle w:val="TableTitle"/>
      </w:pPr>
      <w:r>
        <w:rPr>
          <w:b/>
          <w:bCs/>
        </w:rPr>
        <w:t xml:space="preserve">Tableau 4.6</w:t>
      </w:r>
      <w:r>
        <w:t xml:space="preserve"> </w:t>
      </w:r>
      <w:r>
        <w:t xml:space="preserve">— Enfants couverts par les allocations familiales, CNSS et CNSSAP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43"/>
    <w:bookmarkStart w:id="144"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p>
      <w:pPr>
        <w:pStyle w:val="TableTitle"/>
      </w:pPr>
      <w:r>
        <w:rPr>
          <w:b/>
          <w:bCs/>
        </w:rPr>
        <w:t xml:space="preserve">Tableau 4.7</w:t>
      </w:r>
      <w:r>
        <w:t xml:space="preserve"> </w:t>
      </w:r>
      <w:r>
        <w:t xml:space="preserve">— Montant de l'allocation familiale CNSS et seuil de pauvreté de référence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par personne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44"/>
    <w:bookmarkStart w:id="145" w:name="X15ffa240d97e719e2ce640c14414307b19d0b60"/>
    <w:p>
      <w:pPr>
        <w:pStyle w:val="Heading3"/>
      </w:pPr>
      <w:r>
        <w:t xml:space="preserve">Programmes non contributifs ciblant enfants et familles</w:t>
      </w:r>
    </w:p>
    <w:p>
      <w:pPr>
        <w:pStyle w:val="Normal"/>
      </w:pPr>
      <w:r>
        <w:t xml:space="preserve">Le tableau recense les programmes d'assistance sociale non contributifs ciblant les enfants et les ménages, ainsi que les données de couverture disponibles pour la période considérée.</w:t>
      </w:r>
    </w:p>
    <w:p>
      <w:pPr>
        <w:pStyle w:val="TableTitle"/>
      </w:pPr>
      <w:r>
        <w:rPr>
          <w:b/>
          <w:bCs/>
        </w:rPr>
        <w:t xml:space="preserve">Tableau 4.8</w:t>
      </w:r>
      <w:r>
        <w:t xml:space="preserve"> </w:t>
      </w:r>
      <w:r>
        <w:t xml:space="preserve">— Programmes non contributifs ciblant les enfants et les familles</w:t>
      </w:r>
    </w:p>
    <w:tbl>
      <w:tblPr>
        <w:tblStyle w:val="ILO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r>
    </w:tbl>
    <w:bookmarkEnd w:id="145"/>
    <w:bookmarkEnd w:id="146"/>
    <w:bookmarkStart w:id="150" w:name="Xd94aeefddf9079d02dc0cd4611d38e08d1810d1"/>
    <w:p>
      <w:pPr>
        <w:pStyle w:val="Heading2"/>
      </w:pPr>
      <w:r>
        <w:t xml:space="preserve">4.5 — Protection en cas d'invalidité</w:t>
      </w:r>
    </w:p>
    <w:bookmarkStart w:id="147" w:name="Xf6a4a96f7d72a7a9167f966ddfdd89ca8312eba"/>
    <w:p>
      <w:pPr>
        <w:pStyle w:val="Heading3"/>
      </w:pPr>
      <w:r>
        <w:t xml:space="preserve">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p>
      <w:pPr>
        <w:pStyle w:val="TableTitle"/>
      </w:pPr>
      <w:r>
        <w:rPr>
          <w:b/>
          <w:bCs/>
        </w:rPr>
        <w:t xml:space="preserve">Tableau 4.9</w:t>
      </w:r>
      <w:r>
        <w:t xml:space="preserve"> </w:t>
      </w:r>
      <w:r>
        <w:t xml:space="preserve">— Bénéficiaires de pensions d'invalidité, CNSS et CNSSAP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47"/>
    <w:bookmarkStart w:id="148" w:name="Xa0b9a428c2c42df3bcf5a5cf16c93b0ebd6bd27"/>
    <w:p>
      <w:pPr>
        <w:pStyle w:val="Heading3"/>
      </w:pPr>
      <w:r>
        <w:t xml:space="preserve">Adéquation de la pension d'invalidité</w:t>
      </w:r>
    </w:p>
    <w:p>
      <w:pPr>
        <w:pStyle w:val="Normal"/>
      </w:pPr>
      <w:r>
        <w:t xml:space="preserve">Dans les régimes de la CNSS, la pension d'invalidité et la pension de vieillesse sont fixées au même montant unitaire mensuel par arrêté. Le tableau présente ces montants et le seuil de pauvreté de référence pour la même période.</w:t>
      </w:r>
    </w:p>
    <w:p>
      <w:pPr>
        <w:pStyle w:val="TableTitle"/>
      </w:pPr>
      <w:r>
        <w:rPr>
          <w:b/>
          <w:bCs/>
        </w:rPr>
        <w:t xml:space="preserve">Tableau 4.10</w:t>
      </w:r>
      <w:r>
        <w:t xml:space="preserve"> </w:t>
      </w:r>
      <w:r>
        <w:t xml:space="preserve">— Adéquation de la pension d'invalidité CNSS et seuil de pauvreté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48"/>
    <w:bookmarkStart w:id="149" w:name="Xf1f5324215226b246dd4c61172bc8a83cc03183"/>
    <w:p>
      <w:pPr>
        <w:pStyle w:val="Heading3"/>
      </w:pPr>
      <w:r>
        <w:t xml:space="preserve">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p>
      <w:pPr>
        <w:pStyle w:val="TableTitle"/>
      </w:pPr>
      <w:r>
        <w:rPr>
          <w:b/>
          <w:bCs/>
        </w:rPr>
        <w:t xml:space="preserve">Tableau 4.11</w:t>
      </w:r>
      <w:r>
        <w:t xml:space="preserve"> </w:t>
      </w:r>
      <w:r>
        <w:t xml:space="preserve">— Programmes non contributifs pour les personnes handicapées</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bookmarkEnd w:id="149"/>
    <w:bookmarkEnd w:id="150"/>
    <w:bookmarkStart w:id="153" w:name="X057254504ffc1e6e9f25b48c36187f1010dd555"/>
    <w:p>
      <w:pPr>
        <w:pStyle w:val="Heading2"/>
      </w:pPr>
      <w:r>
        <w:t xml:space="preserve">4.6 — Protection en cas de décès et prestations de survie</w:t>
      </w:r>
    </w:p>
    <w:bookmarkStart w:id="151" w:name="X9efb38265d5261748fbff61ad39a69b869cdf61"/>
    <w:p>
      <w:pPr>
        <w:pStyle w:val="Heading3"/>
      </w:pPr>
      <w:r>
        <w:t xml:space="preserve">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p>
      <w:pPr>
        <w:pStyle w:val="TableTitle"/>
      </w:pPr>
      <w:r>
        <w:rPr>
          <w:b/>
          <w:bCs/>
        </w:rPr>
        <w:t xml:space="preserve">Tableau 4.12</w:t>
      </w:r>
      <w:r>
        <w:t xml:space="preserve"> </w:t>
      </w:r>
      <w:r>
        <w:t xml:space="preserve">— Bénéficiaires de prestations de survie, CNSS et CNSSAP (2019–2025)</w:t>
      </w:r>
    </w:p>
    <w:tbl>
      <w:tblPr>
        <w:tblStyle w:val="ILOTable"/>
        <w:tblW w:type="pct" w:w="5000"/>
        <w:tblLook w:firstRow="1" w:lastRow="0" w:firstColumn="0" w:lastColumn="0" w:noHBand="0" w:noVBand="0" w:val="0020"/>
        <w:tblLayout w:type="autofit"/>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(2019–2022) et CNSSAP (2020–2022). Régimes spéciaux : données non disponibles — à instruire.</w:t>
      </w:r>
    </w:p>
    <w:bookmarkEnd w:id="151"/>
    <w:bookmarkStart w:id="152"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p>
      <w:pPr>
        <w:pStyle w:val="TableTitle"/>
      </w:pPr>
      <w:r>
        <w:rPr>
          <w:b/>
          <w:bCs/>
        </w:rPr>
        <w:t xml:space="preserve">Tableau 4.13</w:t>
      </w:r>
      <w:r>
        <w:t xml:space="preserve"> </w:t>
      </w:r>
      <w:r>
        <w:t xml:space="preserve">— Adéquation des pensions de survie CNSS et seuil de pauvreté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 seuil de pauvreté : estimation à construire à partir des données INS.</w:t>
      </w:r>
    </w:p>
    <w:bookmarkEnd w:id="152"/>
    <w:bookmarkEnd w:id="153"/>
    <w:bookmarkStart w:id="158" w:name="Xd3323ec71ec98b6715241cd498017312ab5420f"/>
    <w:p>
      <w:pPr>
        <w:pStyle w:val="Heading2"/>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155" w:name="X08a0a04bf2639d136b6490ed382f6c8942c65f3"/>
    <w:p>
      <w:pPr>
        <w:pStyle w:val="Heading3"/>
      </w:pPr>
      <w:r>
        <w:t xml:space="preserve">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154"/>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pPr>
        <w:pStyle w:val="TableTitle"/>
      </w:pPr>
      <w:r>
        <w:rPr>
          <w:b/>
          <w:bCs/>
        </w:rPr>
        <w:t xml:space="preserve">Tableau 4.14</w:t>
      </w:r>
      <w:r>
        <w:t xml:space="preserve"> </w:t>
      </w:r>
      <w:r>
        <w:t xml:space="preserve">— Indicateurs de couverture FSS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155"/>
    <w:bookmarkStart w:id="156" w:name="X29b285b5ab960f76b2602a425e599f390968e67"/>
    <w:p>
      <w:pPr>
        <w:pStyle w:val="Heading3"/>
      </w:pPr>
      <w:r>
        <w:t xml:space="preserve">La MESP — Mutuelle des Enseignants de l'EPST</w:t>
      </w:r>
    </w:p>
    <w:p>
      <w:pPr>
        <w:pStyle w:val="Normal"/>
      </w:pPr>
      <w:r>
        <w:t xml:space="preserve">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p>
      <w:pPr>
        <w:pStyle w:val="TableTitle"/>
      </w:pPr>
      <w:r>
        <w:rPr>
          <w:b/>
          <w:bCs/>
        </w:rPr>
        <w:t xml:space="preserve">Tableau 4.15</w:t>
      </w:r>
      <w:r>
        <w:t xml:space="preserve"> </w:t>
      </w:r>
      <w:r>
        <w:t xml:space="preserve">— Indicateurs de couverture MESP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156"/>
    <w:bookmarkStart w:id="157" w:name="Xe0e42193e655a8d81666b0fd0f34374e35729e0"/>
    <w:p>
      <w:pPr>
        <w:pStyle w:val="Heading3"/>
      </w:pPr>
      <w:r>
        <w:t xml:space="preserve">Mutuelles de santé volontaires</w:t>
      </w:r>
    </w:p>
    <w:p>
      <w:pPr>
        <w:pStyle w:val="Normal"/>
      </w:pPr>
      <w:r>
        <w:t xml:space="preserve">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bookmarkEnd w:id="157"/>
    <w:bookmarkEnd w:id="158"/>
    <w:bookmarkStart w:id="163" w:name="Xf5578adc30b0b8356f177d90dfd1eb58484e22d"/>
    <w:p>
      <w:pPr>
        <w:pStyle w:val="Heading2"/>
      </w:pPr>
      <w:r>
        <w:t xml:space="preserve">4.8 — Dépenses et financement du système</w:t>
      </w:r>
    </w:p>
    <w:bookmarkStart w:id="159"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Le financement des régimes non contributifs repose sur les transferts du budget de l'État et les contributions des partenaires au développement.</w:t>
      </w:r>
    </w:p>
    <w:p>
      <w:pPr>
        <w:pStyle w:val="TableTitle"/>
      </w:pPr>
      <w:r>
        <w:rPr>
          <w:b/>
          <w:bCs/>
        </w:rPr>
        <w:t xml:space="preserve">Tableau 4.16</w:t>
      </w:r>
      <w:r>
        <w:t xml:space="preserve"> </w:t>
      </w:r>
      <w:r>
        <w:t xml:space="preserve">— Recettes des régimes contributifs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w:t>
      </w:r>
    </w:p>
    <w:bookmarkEnd w:id="159"/>
    <w:bookmarkStart w:id="160"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p>
      <w:pPr>
        <w:pStyle w:val="TableTitle"/>
      </w:pPr>
      <w:r>
        <w:rPr>
          <w:b/>
          <w:bCs/>
        </w:rPr>
        <w:t xml:space="preserve">Tableau 4.17</w:t>
      </w:r>
      <w:r>
        <w:t xml:space="preserve"> </w:t>
      </w:r>
      <w:r>
        <w:t xml:space="preserve">— Dépenses de prestations par institution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Régimes spéciaux : données non disponibles — à instruire.</w:t>
      </w:r>
    </w:p>
    <w:bookmarkEnd w:id="160"/>
    <w:bookmarkStart w:id="161" w:name="X93288f9e49d69189d6de7b3689ca313adc82116"/>
    <w:p>
      <w:pPr>
        <w:pStyle w:val="Heading3"/>
      </w:pPr>
      <w:r>
        <w:t xml:space="preserve">Dépenses administratives et ratio d'efficience</w:t>
      </w:r>
    </w:p>
    <w:p>
      <w:pPr>
        <w:pStyle w:val="TableTitle"/>
      </w:pPr>
      <w:r>
        <w:rPr>
          <w:b/>
          <w:bCs/>
        </w:rPr>
        <w:t xml:space="preserve">Tableau 4.18</w:t>
      </w:r>
      <w:r>
        <w:t xml:space="preserve"> </w:t>
      </w:r>
      <w:r>
        <w:t xml:space="preserve">— Dépenses administratives et ratio d'efficience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161"/>
    <w:bookmarkStart w:id="162"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p>
      <w:pPr>
        <w:pStyle w:val="TableTitle"/>
      </w:pPr>
      <w:r>
        <w:rPr>
          <w:b/>
          <w:bCs/>
        </w:rPr>
        <w:t xml:space="preserve">Tableau 4.19</w:t>
      </w:r>
      <w:r>
        <w:t xml:space="preserve"> </w:t>
      </w:r>
      <w:r>
        <w:t xml:space="preserve">— Dépenses de protection sociale en proportion du PIB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p>
      <w:pPr>
        <w:pStyle w:val="Source-GraphicPicture"/>
      </w:pPr>
      <w:r>
        <w:rPr>
          <w:i/>
          <w:iCs/>
        </w:rPr>
        <w:t xml:space="preserve">Source : ESS OIT ; PIB RDC : Banque mondiale WDI ; comparaisons : World Social Protection Report OIT.</w:t>
      </w:r>
    </w:p>
    <w:bookmarkEnd w:id="162"/>
    <w:bookmarkEnd w:id="163"/>
    <w:bookmarkEnd w:id="164"/>
    <w:bookmarkStart w:id="175" w:name="Xc7cb1a02a7858ae19d58c1c9bd0e60c654533af"/>
    <w:p>
      <w:pPr>
        <w:pStyle w:val="Heading1"/>
      </w:pPr>
      <w:r>
        <w:t xml:space="preserve">Chapitre 5 — Positionnement de la RDC au regard des indicateurs ODD</w:t>
      </w:r>
    </w:p>
    <w:bookmarkStart w:id="169" w:name="X8eaf0c5b9fe1bb6ba3e1003181a2719cc2dec11"/>
    <w:p>
      <w:pPr>
        <w:pStyle w:val="Heading2"/>
      </w:pPr>
      <w:r>
        <w:t xml:space="preserve">5.1 — ODD 1.3.1 : couverture par les régimes de protection sociale</w:t>
      </w:r>
    </w:p>
    <w:bookmarkStart w:id="165"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pPr>
        <w:pStyle w:val="Normal"/>
      </w:pPr>
      <w:r>
        <w:t xml:space="preserve">L'indicateur est décomposé par groupe de population conformément aux catégories officielles de l'OIT :</w:t>
      </w:r>
    </w:p>
    <w:p>
      <w:pPr>
        <w:pStyle w:val="TableTitle"/>
      </w:pPr>
      <w:r>
        <w:rPr>
          <w:b/>
          <w:bCs/>
        </w:rPr>
        <w:t xml:space="preserve">Tableau 5.1</w:t>
      </w:r>
      <w:r>
        <w:t xml:space="preserve"> </w:t>
      </w:r>
      <w:r>
        <w:t xml:space="preserve">— Définitions des sous-indicateurs de l'ODD 1.3.1</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cotisant à un régime contributif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 recevant une prestation invalidité</w:t>
            </w:r>
          </w:p>
        </w:tc>
      </w:tr>
    </w:tbl>
    <w:bookmarkEnd w:id="165"/>
    <w:bookmarkStart w:id="166" w:name="resultats-pour-la-rdc-non-valide"/>
    <w:p>
      <w:pPr>
        <w:pStyle w:val="Heading3"/>
      </w:pPr>
      <w:r>
        <w:t xml:space="preserve">Résultats pour la RDC</w:t>
      </w:r>
    </w:p>
    <w:p>
      <w:pPr>
        <w:pStyle w:val="TableTitle"/>
      </w:pPr>
      <w:r>
        <w:rPr>
          <w:b/>
          <w:bCs/>
        </w:rPr>
        <w:t xml:space="preserve">Tableau 5.2</w:t>
      </w:r>
      <w:r>
        <w:t xml:space="preserve"> </w:t>
      </w:r>
      <w:r>
        <w:t xml:space="preserve">— Valeurs de l'ODD 1.3.1 pour la RDC par groupe de population (2019–2025)</w:t>
      </w:r>
    </w:p>
    <w:tbl>
      <w:tblPr>
        <w:tblStyle w:val="ILOTable"/>
        <w:tblW w:type="pct" w:w="500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Actifs — contributeurs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r>
    </w:tbl>
    <w:p>
      <w:pPr>
        <w:pStyle w:val="Source-GraphicPicture"/>
      </w:pPr>
      <w:r>
        <w:rPr>
          <w:i/>
          <w:iCs/>
        </w:rPr>
        <w:t xml:space="preserve">Source : calculs à partir des ESS OIT (CNSS 2019–2022, CNSSAP 2020–2022) et des données démographiques ONU WPP. Les estimations [EST.] seront calculées par le script</w:t>
      </w:r>
      <w:r>
        <w:rPr>
          <w:i/>
          <w:iCs/>
        </w:rPr>
        <w:t xml:space="preserve"> </w:t>
      </w:r>
      <w:r>
        <w:rPr>
          <w:rStyle w:val="VerbatimChar"/>
          <w:i/>
          <w:iCs/>
        </w:rPr>
        <w:t xml:space="preserve">generer_figures_ch4.py</w:t>
      </w:r>
      <w:r>
        <w:rPr>
          <w:i/>
          <w:iCs/>
        </w:rPr>
        <w:t xml:space="preserve"> </w:t>
      </w:r>
      <w:r>
        <w:rPr>
          <w:i/>
          <w:iCs/>
        </w:rPr>
        <w:t xml:space="preserve">depuis la base.</w:t>
      </w:r>
    </w:p>
    <w:bookmarkEnd w:id="166"/>
    <w:bookmarkStart w:id="167" w:name="X6932b8d256f9439e268579d1891c1dcaf17140c"/>
    <w:p>
      <w:pPr>
        <w:pStyle w:val="Heading3"/>
      </w:pPr>
      <w:r>
        <w:t xml:space="preserve">Comparaison régionale et internationale</w:t>
      </w:r>
    </w:p>
    <w:p>
      <w:pPr>
        <w:pStyle w:val="TableTitle"/>
      </w:pPr>
      <w:r>
        <w:rPr>
          <w:b/>
          <w:bCs/>
        </w:rPr>
        <w:t xml:space="preserve">Tableau 5.3</w:t>
      </w:r>
      <w:r>
        <w:t xml:space="preserve"> </w:t>
      </w:r>
      <w:r>
        <w:t xml:space="preserve">— Comparaison régionale et internationale de l'ODD 1.3.1</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World Social Protection Report OIT</w:t>
            </w:r>
          </w:p>
        </w:tc>
      </w:tr>
    </w:tbl>
    <w:p>
      <w:pPr>
        <w:pStyle w:val="Source-GraphicPicture"/>
      </w:pPr>
      <w:r>
        <w:rPr>
          <w:i/>
          <w:iCs/>
        </w:rPr>
        <w:t xml:space="preserve">Source : World Social Protection Report OIT (2024–26) ; ILOSTAT.</w:t>
      </w:r>
    </w:p>
    <w:bookmarkEnd w:id="167"/>
    <w:bookmarkStart w:id="168" w:name="trajectoire-et-objectifs-non-valide"/>
    <w:p>
      <w:pPr>
        <w:pStyle w:val="Heading3"/>
      </w:pPr>
      <w:r>
        <w:t xml:space="preserve">Trajectoire et objectifs</w:t>
      </w:r>
    </w:p>
    <w:p>
      <w:pPr>
        <w:pStyle w:val="TableTitle"/>
      </w:pPr>
      <w:r>
        <w:rPr>
          <w:b/>
          <w:bCs/>
        </w:rPr>
        <w:t xml:space="preserve">Tableau 5.4</w:t>
      </w:r>
      <w:r>
        <w:t xml:space="preserve"> </w:t>
      </w:r>
      <w:r>
        <w:t xml:space="preserve">— Trajectoire et objectifs de l'indicateur ODD 1.3.1 pour la RDC</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r>
    </w:tbl>
    <w:bookmarkEnd w:id="168"/>
    <w:bookmarkEnd w:id="169"/>
    <w:bookmarkStart w:id="174" w:name="X9c806c3db245e708af4f2088f4beda0e23eeb36"/>
    <w:p>
      <w:pPr>
        <w:pStyle w:val="Heading2"/>
      </w:pPr>
      <w:r>
        <w:t xml:space="preserve">5.2 — ODD 3.8.1 : couverture sanitaire universelle</w:t>
      </w:r>
    </w:p>
    <w:bookmarkStart w:id="170"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170"/>
    <w:bookmarkStart w:id="171" w:name="resultats-pour-la-rdc-non-valide_1"/>
    <w:p>
      <w:pPr>
        <w:pStyle w:val="Heading3"/>
      </w:pPr>
      <w:r>
        <w:t xml:space="preserve">Résultats pour la RDC</w:t>
      </w:r>
    </w:p>
    <w:p>
      <w:pPr>
        <w:pStyle w:val="TableTitle"/>
      </w:pPr>
      <w:r>
        <w:rPr>
          <w:b/>
          <w:bCs/>
        </w:rPr>
        <w:t xml:space="preserve">Tableau 5.5</w:t>
      </w:r>
      <w:r>
        <w:t xml:space="preserve"> </w:t>
      </w:r>
      <w:r>
        <w:t xml:space="preserve">— Évolution de l'indice ODD 3.8.1 pour la RDC (2015–2023)</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171"/>
    <w:bookmarkStart w:id="172" w:name="Xe319dce0a6a1d870ad5a659b75c268678b1c93e"/>
    <w:p>
      <w:pPr>
        <w:pStyle w:val="Heading3"/>
      </w:pPr>
      <w:r>
        <w:t xml:space="preserve">Comparaison régionale et internationale</w:t>
      </w:r>
    </w:p>
    <w:p>
      <w:pPr>
        <w:pStyle w:val="TableTitle"/>
      </w:pPr>
      <w:r>
        <w:rPr>
          <w:b/>
          <w:bCs/>
        </w:rPr>
        <w:t xml:space="preserve">Tableau 5.6</w:t>
      </w:r>
      <w:r>
        <w:t xml:space="preserve"> </w:t>
      </w:r>
      <w:r>
        <w:t xml:space="preserve">— Comparaison régionale et internationale de l'ODD 3.8.1</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OMS GHO</w:t>
            </w:r>
          </w:p>
        </w:tc>
      </w:tr>
    </w:tbl>
    <w:p>
      <w:pPr>
        <w:pStyle w:val="Source-GraphicPicture"/>
      </w:pPr>
      <w:r>
        <w:rPr>
          <w:i/>
          <w:iCs/>
        </w:rPr>
        <w:t xml:space="preserve">Source : OMS, Global Health Observatory.</w:t>
      </w:r>
    </w:p>
    <w:bookmarkEnd w:id="172"/>
    <w:bookmarkStart w:id="173" w:name="trajectoire-et-objectifs-non-valide_1"/>
    <w:p>
      <w:pPr>
        <w:pStyle w:val="Heading3"/>
      </w:pPr>
      <w:r>
        <w:t xml:space="preserve">Trajectoire et objectifs</w:t>
      </w:r>
    </w:p>
    <w:p>
      <w:pPr>
        <w:pStyle w:val="TableTitle"/>
      </w:pPr>
      <w:r>
        <w:rPr>
          <w:b/>
          <w:bCs/>
        </w:rPr>
        <w:t xml:space="preserve">Tableau 5.7</w:t>
      </w:r>
      <w:r>
        <w:t xml:space="preserve"> </w:t>
      </w:r>
      <w:r>
        <w:t xml:space="preserve">— Trajectoire et objectifs de l'indicateur ODD 3.8.1 pour la RDC</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w:t>
            </w:r>
          </w:p>
        </w:tc>
      </w:tr>
    </w:tbl>
    <w:p>
      <w:pPr>
        <w:pStyle w:val="TableNoteSource"/>
      </w:pPr>
      <w:r>
        <w:rPr>
          <w:i/>
          <w:iCs/>
        </w:rPr>
        <w:t xml:space="preserve">Note : la cible ODD 3.8.1 est fixée à 80 (sur 100) pour 2030. La valeur nationale de référence sera renseignée à partir des données OMS GHO.</w:t>
      </w:r>
    </w:p>
    <w:bookmarkEnd w:id="173"/>
    <w:bookmarkEnd w:id="174"/>
    <w:bookmarkEnd w:id="175"/>
    <w:bookmarkStart w:id="176" w:name="Xd81cddf1c039cc4c9483a04a2819bdc0081b78d"/>
    <w:p>
      <w:pPr>
        <w:pStyle w:val="Heading1"/>
      </w:pPr>
      <w:r>
        <w:t xml:space="preserve">Chapitre 6 — Qualité, disponibilité et perspectives</w:t>
      </w:r>
    </w:p>
    <w:bookmarkEnd w:id="176"/>
    <w:bookmarkStart w:id="191" w:name="annexe-a-notes-methodologiques"/>
    <w:p>
      <w:pPr>
        <w:pStyle w:val="Heading1"/>
      </w:pPr>
      <w:r>
        <w:t xml:space="preserve">Annexe A — Notes méthodologiques</w:t>
      </w:r>
    </w:p>
    <w:bookmarkStart w:id="182" w:name="X42b617378bec5354531358bfc3d9cbf12c182b0"/>
    <w:p>
      <w:pPr>
        <w:pStyle w:val="Heading2"/>
      </w:pPr>
      <w:r>
        <w:t xml:space="preserve">A.1 — Champ de la protection sociale et critères d'inclusion statistique</w:t>
      </w:r>
    </w:p>
    <w:bookmarkStart w:id="178"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177"/>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178"/>
    <w:bookmarkStart w:id="180"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179"/>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180"/>
    <w:bookmarkStart w:id="181"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181"/>
    <w:bookmarkEnd w:id="182"/>
    <w:bookmarkStart w:id="190" w:name="X442c38441c59a4af2c1b7f694baafea97c21e0c"/>
    <w:p>
      <w:pPr>
        <w:pStyle w:val="Heading2"/>
      </w:pPr>
      <w:r>
        <w:t xml:space="preserve">A.2 — Classification des régimes, programmes et prestations</w:t>
      </w:r>
    </w:p>
    <w:bookmarkStart w:id="183"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183"/>
    <w:bookmarkStart w:id="188"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184"/>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185"/>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186"/>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187"/>
      </w:r>
    </w:p>
    <w:bookmarkEnd w:id="188"/>
    <w:bookmarkStart w:id="189"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189"/>
    <w:bookmarkEnd w:id="190"/>
    <w:bookmarkEnd w:id="191"/>
    <w:bookmarkStart w:id="192" w:name="Xd9552ae2030b60331a35179a9b1c8ef8a02f308"/>
    <w:p>
      <w:pPr>
        <w:pStyle w:val="Heading1"/>
      </w:pPr>
      <w:r>
        <w:t xml:space="preserve">Annexe B — Fiches institutionnelles détaillées</w:t>
      </w:r>
    </w:p>
    <w:bookmarkEnd w:id="192"/>
    <w:bookmarkStart w:id="197" w:name="X18093ea093160aba48812e82b724d5cfad27884"/>
    <w:p>
      <w:pPr>
        <w:pStyle w:val="Heading1"/>
      </w:pPr>
      <w:r>
        <w:t xml:space="preserve">B.1 Caisse Nationale de Sécurité Sociale (CNSS)</w:t>
      </w:r>
    </w:p>
    <w:bookmarkStart w:id="193" w:name="cadre-juridique-et-institutionnel"/>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1987 (refonte du régime de sécurité sociale)</w:t>
            </w:r>
          </w:p>
        </w:tc>
      </w:tr>
    </w:tbl>
    <w:bookmarkEnd w:id="193"/>
    <w:bookmarkStart w:id="194"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Indemnités de maternité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gérée directement par la CNSS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194"/>
    <w:bookmarkStart w:id="195" w:name="donnees-de-couverture"/>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613 761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1 053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1 781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w:t>
      </w:r>
    </w:p>
    <w:bookmarkEnd w:id="195"/>
    <w:bookmarkStart w:id="196"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196"/>
    <w:bookmarkEnd w:id="197"/>
    <w:bookmarkStart w:id="202" w:name="X3f03b1681aa93e593fecf9568ba9c9c3c6dbef6"/>
    <w:p>
      <w:pPr>
        <w:pStyle w:val="Heading1"/>
      </w:pPr>
      <w:r>
        <w:t xml:space="preserve">B.2 Caisse Nationale de Sécurité Sociale des Agents Publics de l'État (CNSSAP)</w:t>
      </w:r>
    </w:p>
    <w:bookmarkStart w:id="198" w:name="cadre-juridique-et-institutionnel_1"/>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w:t>
            </w:r>
          </w:p>
        </w:tc>
      </w:tr>
    </w:tbl>
    <w:bookmarkEnd w:id="198"/>
    <w:bookmarkStart w:id="199"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Branche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gérée directement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199"/>
    <w:bookmarkStart w:id="200" w:name="donnees-de-couverture_1"/>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172 204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198 399</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110 912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138 443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dont femmes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65 624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CNSSAP.</w:t>
      </w:r>
    </w:p>
    <w:bookmarkEnd w:id="200"/>
    <w:bookmarkStart w:id="201"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01"/>
    <w:bookmarkEnd w:id="202"/>
    <w:bookmarkStart w:id="207" w:name="X9ed90e874d7ea7d4d610365174f9098c0c41dd2"/>
    <w:p>
      <w:pPr>
        <w:pStyle w:val="Heading1"/>
      </w:pPr>
      <w:r>
        <w:t xml:space="preserve">B.3 Fonds National de Promotion et de Service Social (FNPSS)</w:t>
      </w:r>
    </w:p>
    <w:bookmarkStart w:id="203" w:name="cadre-juridique-et-institutionnel_2"/>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préciser</w:t>
            </w:r>
          </w:p>
        </w:tc>
      </w:tr>
    </w:tbl>
    <w:bookmarkEnd w:id="203"/>
    <w:bookmarkStart w:id="204" w:name="mission-et-branches-couvertes_2"/>
    <w:p>
      <w:pPr>
        <w:pStyle w:val="Heading2"/>
      </w:pPr>
      <w:r>
        <w:t xml:space="preserve">Mission et branches couvertes</w:t>
      </w:r>
    </w:p>
    <w:p>
      <w:pPr>
        <w:pStyle w:val="Normal"/>
      </w:pPr>
      <w:r>
        <w:rPr>
          <w:i/>
          <w:iCs/>
        </w:rPr>
        <w:t xml:space="preserve">[À rédiger à réception des informations du FNPSS.]</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b/>
          <w:bCs/>
        </w:rPr>
        <w:t xml:space="preserve">Population assujettie :</w:t>
      </w:r>
      <w:r>
        <w:t xml:space="preserve"> </w:t>
      </w:r>
      <w:r>
        <w:rPr>
          <w:i/>
          <w:iCs/>
        </w:rPr>
        <w:t xml:space="preserve">À préciser.</w:t>
      </w:r>
    </w:p>
    <w:bookmarkEnd w:id="204"/>
    <w:bookmarkStart w:id="205" w:name="donnees-de-couverture_2"/>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05"/>
    <w:bookmarkStart w:id="206"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06"/>
    <w:bookmarkEnd w:id="207"/>
    <w:bookmarkStart w:id="212" w:name="Xa01847978b6c2488585ea0a18a7398d7cc09228"/>
    <w:p>
      <w:pPr>
        <w:pStyle w:val="Heading1"/>
      </w:pPr>
      <w:r>
        <w:t xml:space="preserve">B.4 Mutuelle de Santé des Enseignants de l'Enseignement Primaire, Secondaire et Professionnel (MESP)</w:t>
      </w:r>
    </w:p>
    <w:bookmarkStart w:id="208" w:name="cadre-juridique-et-institutionnel_3"/>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2015 (reconnaissance) ; 2019 (agrément)</w:t>
            </w:r>
          </w:p>
        </w:tc>
      </w:tr>
    </w:tbl>
    <w:bookmarkEnd w:id="208"/>
    <w:bookmarkStart w:id="209"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Incluse dans le paquet de soins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09"/>
    <w:bookmarkStart w:id="210" w:name="donnees-de-couverture_3"/>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80 041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84 836</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tc>
      </w:tr>
    </w:tbl>
    <w:p>
      <w:pPr>
        <w:pStyle w:val="Source-GraphicPicture"/>
      </w:pPr>
      <w:r>
        <w:rPr>
          <w:i/>
          <w:iCs/>
        </w:rPr>
        <w:t xml:space="preserve">Source : données transmises par le MEPST (2023), reprises dans le premier Bulletin statistique RDC N°1/2023.</w:t>
      </w:r>
    </w:p>
    <w:bookmarkEnd w:id="210"/>
    <w:bookmarkStart w:id="211" w:name="evolutions-et-reformes-en-cours_3"/>
    <w:p>
      <w:pPr>
        <w:pStyle w:val="Heading2"/>
      </w:pPr>
      <w:r>
        <w:t xml:space="preserve">Évolutions et réformes en cours</w:t>
      </w:r>
    </w:p>
    <w:p>
      <w:pPr>
        <w:pStyle w:val="Normal"/>
      </w:pPr>
      <w:r>
        <w:t xml:space="preserve">Entre 2019 et 2022, le nombre de contributeurs à la MESP a progressé de</w:t>
      </w:r>
      <w:r>
        <w:t xml:space="preserve"> </w:t>
      </w:r>
      <w:r>
        <w:rPr>
          <w:b/>
          <w:bCs/>
        </w:rPr>
        <w:t xml:space="preserve">59,3 %</w:t>
      </w:r>
      <w:r>
        <w:t xml:space="preserve">, passant de 50 256 à 80 041. Le nombre de personnes à charge a également augmenté, atteignant 84 836 en 2022, pour un total couvert de 164 877 personnes.</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pPr>
        <w:pStyle w:val="Normal"/>
      </w:pPr>
      <w:r>
        <w:t xml:space="preserve">L'extension géographique progressive constitue le principal enjeu stratégique de la MESP pour les années à venir.</w:t>
      </w:r>
    </w:p>
    <w:bookmarkEnd w:id="211"/>
    <w:bookmarkEnd w:id="212"/>
    <w:bookmarkStart w:id="217" w:name="b5-fonds-de-solidarite-de-sante-fss"/>
    <w:p>
      <w:pPr>
        <w:pStyle w:val="Heading1"/>
      </w:pPr>
      <w:r>
        <w:t xml:space="preserve">B.5 Fonds de Solidarité de Santé (FSS)</w:t>
      </w:r>
    </w:p>
    <w:bookmarkStart w:id="213" w:name="cadre-juridique-et-institutionnel_4"/>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2018 (loi) ; organisation précisée en 2022</w:t>
            </w:r>
          </w:p>
        </w:tc>
      </w:tr>
    </w:tbl>
    <w:bookmarkEnd w:id="213"/>
    <w:bookmarkStart w:id="214"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TableTex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En cours</w:t>
            </w:r>
          </w:p>
        </w:tc>
      </w:tr>
    </w:tbl>
    <w:bookmarkEnd w:id="214"/>
    <w:bookmarkStart w:id="215" w:name="donnees-de-couverture_4"/>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Contributions non encore prélevées</w:t>
            </w:r>
          </w:p>
        </w:tc>
      </w:tr>
    </w:tbl>
    <w:p>
      <w:pPr>
        <w:pStyle w:val="Normal"/>
      </w:pPr>
      <w:r>
        <w:rPr>
          <w:i/>
          <w:iCs/>
        </w:rPr>
        <w:t xml:space="preserve">À compléter à réception des données du FSS.</w:t>
      </w:r>
    </w:p>
    <w:bookmarkEnd w:id="215"/>
    <w:bookmarkStart w:id="216"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16"/>
    <w:bookmarkEnd w:id="217"/>
    <w:bookmarkStart w:id="222" w:name="Xdfb106671bc93e5d28332a0ebe4edc635ed6fd5"/>
    <w:p>
      <w:pPr>
        <w:pStyle w:val="Heading1"/>
      </w:pPr>
      <w:r>
        <w:t xml:space="preserve">B.6 Service Autonome de Sécurité Sociale des Parlementaires (SESOPA)</w:t>
      </w:r>
    </w:p>
    <w:bookmarkStart w:id="218" w:name="cadre-juridique-et-institutionnel_5"/>
    <w:p>
      <w:pPr>
        <w:pStyle w:val="Heading2"/>
      </w:pPr>
      <w:r>
        <w:t xml:space="preserve">Cadre juridique et institutionnel</w:t>
      </w:r>
    </w:p>
    <w:tbl>
      <w:tblPr>
        <w:tblStyle w:val="ILOTable"/>
        <w:tblW w:type="pct" w:w="5000"/>
        <w:tblLook w:firstRow="1" w:lastRow="0" w:firstColumn="0" w:lastColumn="0" w:noHBand="0" w:noVBand="0" w:val="0020"/>
        <w:tblLayout w:type="autofit"/>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spécial contributif (partiellement)</w:t>
            </w:r>
          </w:p>
        </w:tc>
      </w:tr>
    </w:tbl>
    <w:bookmarkEnd w:id="218"/>
    <w:bookmarkStart w:id="219" w:name="mission-et-branches-couvertes_5"/>
    <w:p>
      <w:pPr>
        <w:pStyle w:val="Heading2"/>
      </w:pPr>
      <w:r>
        <w:t xml:space="preserve">Mission et branches couvertes</w:t>
      </w:r>
    </w:p>
    <w:p>
      <w:pPr>
        <w:pStyle w:val="Normal"/>
      </w:pPr>
      <w:r>
        <w:t xml:space="preserve">La SESOPA gère le régime de protection sociale des parlementaires nationaux.</w:t>
      </w:r>
    </w:p>
    <w:tbl>
      <w:tblPr>
        <w:tblStyle w:val="ILOTable"/>
        <w:tblW w:type="pct" w:w="5000"/>
        <w:tblLook w:firstRow="1" w:lastRow="0" w:firstColumn="0" w:lastColumn="0" w:noHBand="0" w:noVBand="0" w:val="0020"/>
        <w:tblLayout w:type="autofit"/>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Pension de retraite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Allocation aux ayants droit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mentionnée explicitement</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 par ce régime</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Non couverte</w:t>
            </w:r>
          </w:p>
        </w:tc>
      </w:tr>
    </w:tbl>
    <w:p>
      <w:pPr>
        <w:pStyle w:val="Normal"/>
      </w:pPr>
      <w:r>
        <w:rPr>
          <w:b/>
          <w:bCs/>
        </w:rPr>
        <w:t xml:space="preserve">Population assujettie :</w:t>
      </w:r>
      <w:r>
        <w:t xml:space="preserve"> </w:t>
      </w:r>
      <w:r>
        <w:t xml:space="preserve">parlementaires nationaux (Assemblée Nationale) et leurs ayants droit.</w:t>
      </w:r>
    </w:p>
    <w:bookmarkEnd w:id="219"/>
    <w:bookmarkStart w:id="220" w:name="donnees-de-couverture_5"/>
    <w:p>
      <w:pPr>
        <w:pStyle w:val="Heading2"/>
      </w:pPr>
      <w:r>
        <w:t xml:space="preserve">Données de couverture</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Parlementaires affiliés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Données non disponibles au moment du premier bulletin. À transmettre par la SESOPA.</w:t>
      </w:r>
    </w:p>
    <w:bookmarkEnd w:id="220"/>
    <w:bookmarkStart w:id="221"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221"/>
    <w:bookmarkEnd w:id="222"/>
    <w:bookmarkStart w:id="226" w:name="X4bb083a8c3ca8421236d101177bbc29806d64af"/>
    <w:p>
      <w:pPr>
        <w:pStyle w:val="Heading1"/>
      </w:pPr>
      <w:r>
        <w:t xml:space="preserve">B.7 Régimes spéciaux non contributifs de la fonction publique</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Start w:id="223" w:name="regimes-identifies"/>
    <w:p>
      <w:pPr>
        <w:pStyle w:val="Heading2"/>
      </w:pPr>
      <w:r>
        <w:t xml:space="preserve">Régimes identifiés</w:t>
      </w:r>
    </w:p>
    <w:tbl>
      <w:tblPr>
        <w:tblStyle w:val="ILOTable"/>
        <w:tblW w:type="pct" w:w="5000"/>
        <w:tblLook w:firstRow="1" w:lastRow="0" w:firstColumn="0" w:lastColumn="0" w:noHBand="0" w:noVBand="0" w:val="0020"/>
        <w:tblLayout w:type="autofit"/>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TableHeader"/>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TableHeader"/>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TableTex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TableText"/>
            </w:pPr>
            <w:r>
              <w:t xml:space="preserve">Vieillesse, décès, invalidité</w:t>
            </w:r>
          </w:p>
        </w:tc>
      </w:tr>
    </w:tbl>
    <w:bookmarkEnd w:id="223"/>
    <w:bookmarkStart w:id="224"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224"/>
    <w:bookmarkStart w:id="225"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225"/>
    <w:bookmarkEnd w:id="226"/>
    <w:bookmarkStart w:id="227" w:name="X06ffccb4052a4938aeaa62a22824dbbcf4e31ee"/>
    <w:p>
      <w:pPr>
        <w:pStyle w:val="Heading1"/>
      </w:pPr>
      <w:r>
        <w:t xml:space="preserve">Annexe B — Programmes et dispositifs hors périmètre OIT</w:t>
      </w:r>
    </w:p>
    <w:bookmarkEnd w:id="227"/>
    <w:bookmarkStart w:id="228" w:name="titre-de-lannexe"/>
    <w:p>
      <w:pPr>
        <w:pStyle w:val="Heading1"/>
      </w:pPr>
      <w:r>
        <w:t xml:space="preserve">Titre de l’annexe</w:t>
      </w:r>
    </w:p>
    <w:bookmarkEnd w:id="228"/>
    <w:bookmarkStart w:id="229" w:name="titre-de-lannexe_1"/>
    <w:p>
      <w:pPr>
        <w:pStyle w:val="Heading1"/>
      </w:pPr>
      <w:r>
        <w:t xml:space="preserve">Titre de l’annexe</w:t>
      </w:r>
    </w:p>
    <w:bookmarkEnd w:id="229"/>
    <w:bookmarkStart w:id="230" w:name="titre-de-lannexe_2"/>
    <w:p>
      <w:pPr>
        <w:pStyle w:val="Heading1"/>
      </w:pPr>
      <w:r>
        <w:t xml:space="preserve">Titre de l’annexe</w:t>
      </w:r>
    </w:p>
    <w:bookmarkEnd w:id="230"/>
    <w:sectPr w:rsidR="0087638A" w:rsidRPr="00BE3301"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1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0">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5">
    <w:p>
      <w:pPr>
        <w:pStyle w:val="FootnoteText"/>
      </w:pPr>
      <w:r>
        <w:rPr>
          <w:rStyle w:val="FootnoteReference"/>
        </w:rPr>
        <w:footnoteRef/>
      </w:r>
      <w:r>
        <w:t xml:space="preserve"> </w:t>
      </w:r>
      <w:r>
        <w:t xml:space="preserve">Source : UNFPA (2024) — World Population Dashboard RDC 2024</w:t>
      </w:r>
    </w:p>
  </w:footnote>
  <w:footnote w:id="26">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2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2">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3">
    <w:p>
      <w:pPr>
        <w:pStyle w:val="FootnoteText"/>
      </w:pPr>
      <w:r>
        <w:rPr>
          <w:rStyle w:val="FootnoteReference"/>
        </w:rPr>
        <w:footnoteRef/>
      </w:r>
      <w:r>
        <w:t xml:space="preserve"> </w:t>
      </w:r>
      <w:r>
        <w:t xml:space="preserve">Source : Banque mondiale — WDI (2024), d'après WUP 2025 Revision (Nations Unies)</w:t>
      </w:r>
    </w:p>
  </w:footnote>
  <w:footnote w:id="3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35">
    <w:p>
      <w:pPr>
        <w:pStyle w:val="FootnoteText"/>
      </w:pPr>
      <w:r>
        <w:rPr>
          <w:rStyle w:val="FootnoteReference"/>
        </w:rPr>
        <w:footnoteRef/>
      </w:r>
      <w:r>
        <w:t xml:space="preserve"> </w:t>
      </w:r>
      <w:r>
        <w:t xml:space="preserve">Source : Banque mondiale — WDI (2024), d'après WUP 2025 Revision (Nations Unies)</w:t>
      </w:r>
    </w:p>
  </w:footnote>
  <w:footnote w:id="36">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40">
    <w:p>
      <w:pPr>
        <w:pStyle w:val="FootnoteText"/>
      </w:pPr>
      <w:r>
        <w:rPr>
          <w:rStyle w:val="FootnoteReference"/>
        </w:rPr>
        <w:footnoteRef/>
      </w:r>
      <w:r>
        <w:t xml:space="preserve"> </w:t>
      </w:r>
      <w:r>
        <w:t xml:space="preserve">Source : Banque mondiale — WDI (2024) — Croissance du PIB, RDC</w:t>
      </w:r>
    </w:p>
  </w:footnote>
  <w:footnote w:id="41">
    <w:p>
      <w:pPr>
        <w:pStyle w:val="FootnoteText"/>
      </w:pPr>
      <w:r>
        <w:rPr>
          <w:rStyle w:val="FootnoteReference"/>
        </w:rPr>
        <w:footnoteRef/>
      </w:r>
      <w:r>
        <w:t xml:space="preserve"> </w:t>
      </w:r>
      <w:r>
        <w:t xml:space="preserve">Source : Banque mondiale — WDI (2024) — Croissance du PIB, RDC</w:t>
      </w:r>
    </w:p>
  </w:footnote>
  <w:footnote w:id="42">
    <w:p>
      <w:pPr>
        <w:pStyle w:val="FootnoteText"/>
      </w:pPr>
      <w:r>
        <w:rPr>
          <w:rStyle w:val="FootnoteReference"/>
        </w:rPr>
        <w:footnoteRef/>
      </w:r>
      <w:r>
        <w:t xml:space="preserve"> </w:t>
      </w:r>
      <w:r>
        <w:t xml:space="preserve">Source : Banque mondiale — WDI (2024) — Croissance du PIB, RDC</w:t>
      </w:r>
    </w:p>
  </w:footnote>
  <w:footnote w:id="43">
    <w:p>
      <w:pPr>
        <w:pStyle w:val="FootnoteText"/>
      </w:pPr>
      <w:r>
        <w:rPr>
          <w:rStyle w:val="FootnoteReference"/>
        </w:rPr>
        <w:footnoteRef/>
      </w:r>
      <w:r>
        <w:t xml:space="preserve"> </w:t>
      </w:r>
      <w:r>
        <w:t xml:space="preserve">Source : Banque mondiale — WDI (2024) — Croissance du PIB, RDC</w:t>
      </w:r>
    </w:p>
  </w:footnote>
  <w:footnote w:id="44">
    <w:p>
      <w:pPr>
        <w:pStyle w:val="FootnoteText"/>
      </w:pPr>
      <w:r>
        <w:rPr>
          <w:rStyle w:val="FootnoteReference"/>
        </w:rPr>
        <w:footnoteRef/>
      </w:r>
      <w:r>
        <w:t xml:space="preserve"> </w:t>
      </w:r>
      <w:r>
        <w:t xml:space="preserve">Source : Banque mondiale — WDI (2024) — PIB par habitant, RDC</w:t>
      </w:r>
    </w:p>
  </w:footnote>
  <w:footnote w:id="45">
    <w:p>
      <w:pPr>
        <w:pStyle w:val="FootnoteText"/>
      </w:pPr>
      <w:r>
        <w:rPr>
          <w:rStyle w:val="FootnoteReference"/>
        </w:rPr>
        <w:footnoteRef/>
      </w:r>
      <w:r>
        <w:t xml:space="preserve"> </w:t>
      </w:r>
      <w:r>
        <w:t xml:space="preserve">Source : Banque mondiale — WDI — Gini 2020 ; enquête INS 2024 : 38,1</w:t>
      </w:r>
    </w:p>
  </w:footnote>
  <w:footnote w:id="46">
    <w:p>
      <w:pPr>
        <w:pStyle w:val="FootnoteText"/>
      </w:pPr>
      <w:r>
        <w:rPr>
          <w:rStyle w:val="FootnoteReference"/>
        </w:rPr>
        <w:footnoteRef/>
      </w:r>
      <w:r>
        <w:t xml:space="preserve"> </w:t>
      </w:r>
      <w:r>
        <w:t xml:space="preserve">Source : Banque mondiale (2026, citant enquête INS 2024) — 69 % de la population sous le seuil national</w:t>
      </w:r>
    </w:p>
  </w:footnote>
  <w:footnote w:id="51">
    <w:p>
      <w:pPr>
        <w:pStyle w:val="FootnoteText"/>
      </w:pPr>
      <w:r>
        <w:rPr>
          <w:rStyle w:val="FootnoteReference"/>
        </w:rPr>
        <w:footnoteRef/>
      </w:r>
      <w:r>
        <w:t xml:space="preserve"> </w:t>
      </w:r>
      <w:r>
        <w:t xml:space="preserve">Source : Banque mondiale — WDI (2024) — Emploi agricole, RDC. Total : 58,9 %, femmes : 67,8 %, hommes : 50,3 %</w:t>
      </w:r>
    </w:p>
  </w:footnote>
  <w:footnote w:id="52">
    <w:p>
      <w:pPr>
        <w:pStyle w:val="FootnoteText"/>
      </w:pPr>
      <w:r>
        <w:rPr>
          <w:rStyle w:val="FootnoteReference"/>
        </w:rPr>
        <w:footnoteRef/>
      </w:r>
      <w:r>
        <w:t xml:space="preserve"> </w:t>
      </w:r>
      <w:r>
        <w:t xml:space="preserve">Source : Banque mondiale — WDI (2024) — Taux de chômage modèle ILO, RDC</w:t>
      </w:r>
    </w:p>
  </w:footnote>
  <w:footnote w:id="53">
    <w:p>
      <w:pPr>
        <w:pStyle w:val="FootnoteText"/>
      </w:pPr>
      <w:r>
        <w:rPr>
          <w:rStyle w:val="FootnoteReference"/>
        </w:rPr>
        <w:footnoteRef/>
      </w:r>
      <w:r>
        <w:t xml:space="preserve"> </w:t>
      </w:r>
      <w:r>
        <w:t xml:space="preserve">Source : OIT, ILOSTAT — Estimations modélisées de l'emploi informel, RDC (données 2020) ; proxies WDI 2024 : emploi vulnérable 81,8 %, travailleurs indépendants 85,3 %</w:t>
      </w:r>
    </w:p>
  </w:footnote>
  <w:footnote w:id="54">
    <w:p>
      <w:pPr>
        <w:pStyle w:val="FootnoteText"/>
      </w:pPr>
      <w:r>
        <w:rPr>
          <w:rStyle w:val="FootnoteReference"/>
        </w:rPr>
        <w:footnoteRef/>
      </w:r>
      <w:r>
        <w:t xml:space="preserve"> </w:t>
      </w:r>
      <w:r>
        <w:t xml:space="preserve">Source : OIT, ILOSTAT — Emploi informel par sexe, RDC (2020)</w:t>
      </w:r>
    </w:p>
  </w:footnote>
  <w:footnote w:id="55">
    <w:p>
      <w:pPr>
        <w:pStyle w:val="FootnoteText"/>
      </w:pPr>
      <w:r>
        <w:rPr>
          <w:rStyle w:val="FootnoteReference"/>
        </w:rPr>
        <w:footnoteRef/>
      </w:r>
      <w:r>
        <w:t xml:space="preserve"> </w:t>
      </w:r>
      <w:r>
        <w:t xml:space="preserve">Source : OIT, ILOSTAT — Emploi informel par sexe, RDC (2020)</w:t>
      </w:r>
    </w:p>
  </w:footnote>
  <w:footnote w:id="66">
    <w:p>
      <w:pPr>
        <w:pStyle w:val="FootnoteText"/>
      </w:pPr>
      <w:r>
        <w:rPr>
          <w:rStyle w:val="FootnoteReference"/>
        </w:rPr>
        <w:footnoteRef/>
      </w:r>
      <w:r>
        <w:t xml:space="preserve"> </w:t>
      </w:r>
      <w:r>
        <w:t xml:space="preserve">Source : Bureau International du Travail (2024) — Rapport mondial sur la protection sociale 2024-26</w:t>
      </w:r>
    </w:p>
  </w:footnote>
  <w:footnote w:id="67">
    <w:p>
      <w:pPr>
        <w:pStyle w:val="FootnoteText"/>
      </w:pPr>
      <w:r>
        <w:rPr>
          <w:rStyle w:val="FootnoteReference"/>
        </w:rPr>
        <w:footnoteRef/>
      </w:r>
      <w:r>
        <w:t xml:space="preserve"> </w:t>
      </w:r>
      <w:r>
        <w:t xml:space="preserve">Source : BIT (2024) — 52,4 % de la population mondiale couverte par au moins une prestation</w:t>
      </w:r>
    </w:p>
  </w:footnote>
  <w:footnote w:id="68">
    <w:p>
      <w:pPr>
        <w:pStyle w:val="FootnoteText"/>
      </w:pPr>
      <w:r>
        <w:rPr>
          <w:rStyle w:val="FootnoteReference"/>
        </w:rPr>
        <w:footnoteRef/>
      </w:r>
      <w:r>
        <w:t xml:space="preserve"> </w:t>
      </w:r>
      <w:r>
        <w:t xml:space="preserve">Source : BIT (2024) — 19,1 % de la population africaine couverte par au moins une prestation</w:t>
      </w:r>
    </w:p>
  </w:footnote>
  <w:footnote w:id="70">
    <w:p>
      <w:pPr>
        <w:pStyle w:val="FootnoteText"/>
      </w:pPr>
      <w:r>
        <w:rPr>
          <w:rStyle w:val="FootnoteReference"/>
        </w:rPr>
        <w:footnoteRef/>
      </w:r>
      <w:r>
        <w:t xml:space="preserve"> </w:t>
      </w:r>
      <w:r>
        <w:t xml:space="preserve">Source : Gouvernement de la RDC (2016) — Stratégie nationale de la protection sociale (SNPS)</w:t>
      </w:r>
    </w:p>
  </w:footnote>
  <w:footnote w:id="76">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77">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79">
    <w:p>
      <w:pPr>
        <w:pStyle w:val="FootnoteText"/>
      </w:pPr>
      <w:r>
        <w:rPr>
          <w:rStyle w:val="FootnoteReference"/>
        </w:rPr>
        <w:footnoteRef/>
      </w:r>
      <w:r>
        <w:t xml:space="preserve"> </w:t>
      </w:r>
      <w:r>
        <w:t xml:space="preserve">Source : OIT Convention no 102 sur la sécurité sociale (normes minimales), 1952</w:t>
      </w:r>
    </w:p>
  </w:footnote>
  <w:footnote w:id="80">
    <w:p>
      <w:pPr>
        <w:pStyle w:val="FootnoteText"/>
      </w:pPr>
      <w:r>
        <w:rPr>
          <w:rStyle w:val="FootnoteReference"/>
        </w:rPr>
        <w:footnoteRef/>
      </w:r>
      <w:r>
        <w:t xml:space="preserve"> </w:t>
      </w:r>
      <w:r>
        <w:t xml:space="preserve">Source : OIT Recommandation no 202 sur les socles de protection sociale, 2012</w:t>
      </w:r>
    </w:p>
  </w:footnote>
  <w:footnote w:id="83">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84">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85">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93">
    <w:p>
      <w:pPr>
        <w:pStyle w:val="FootnoteText"/>
      </w:pPr>
      <w:r>
        <w:rPr>
          <w:rStyle w:val="FootnoteReference"/>
        </w:rPr>
        <w:footnoteRef/>
      </w:r>
      <w:r>
        <w:t xml:space="preserve"> </w:t>
      </w:r>
      <w:r>
        <w:t xml:space="preserve">Source : OIT — Convention no 102 sur la sécurité sociale (normes minimales), 1952</w:t>
      </w:r>
    </w:p>
  </w:footnote>
  <w:footnote w:id="94">
    <w:p>
      <w:pPr>
        <w:pStyle w:val="FootnoteText"/>
      </w:pPr>
      <w:r>
        <w:rPr>
          <w:rStyle w:val="FootnoteReference"/>
        </w:rPr>
        <w:footnoteRef/>
      </w:r>
      <w:r>
        <w:t xml:space="preserve"> </w:t>
      </w:r>
      <w:r>
        <w:t xml:space="preserve">Source : CNSS RDC — Site officiel cnss.cd, consulté juin 2026</w:t>
      </w:r>
    </w:p>
  </w:footnote>
  <w:footnote w:id="95">
    <w:p>
      <w:pPr>
        <w:pStyle w:val="FootnoteText"/>
      </w:pPr>
      <w:r>
        <w:rPr>
          <w:rStyle w:val="FootnoteReference"/>
        </w:rPr>
        <w:footnoteRef/>
      </w:r>
      <w:r>
        <w:t xml:space="preserve"> </w:t>
      </w:r>
      <w:r>
        <w:t xml:space="preserve">Source : CNSSAP RDC — Site officiel cnssap.cd, consulté juin 2026</w:t>
      </w:r>
    </w:p>
  </w:footnote>
  <w:footnote w:id="96">
    <w:p>
      <w:pPr>
        <w:pStyle w:val="FootnoteText"/>
      </w:pPr>
      <w:r>
        <w:rPr>
          <w:rStyle w:val="FootnoteReference"/>
        </w:rPr>
        <w:footnoteRef/>
      </w:r>
      <w:r>
        <w:t xml:space="preserve"> </w:t>
      </w:r>
      <w:r>
        <w:t xml:space="preserve">CNSS RDC - branches et populations couvertes (cnss.cd, loi n°16/009)</w:t>
      </w:r>
    </w:p>
  </w:footnote>
  <w:footnote w:id="97">
    <w:p>
      <w:pPr>
        <w:pStyle w:val="FootnoteText"/>
      </w:pPr>
      <w:r>
        <w:rPr>
          <w:rStyle w:val="FootnoteReference"/>
        </w:rPr>
        <w:footnoteRef/>
      </w:r>
      <w:r>
        <w:t xml:space="preserve"> </w:t>
      </w:r>
      <w:r>
        <w:t xml:space="preserve">CNSSAP RDC - branches et populations couvertes (cnssap.cd, décret 15/031, loi 22/031)</w:t>
      </w:r>
    </w:p>
  </w:footnote>
  <w:footnote w:id="98">
    <w:p>
      <w:pPr>
        <w:pStyle w:val="FootnoteText"/>
      </w:pPr>
      <w:r>
        <w:rPr>
          <w:rStyle w:val="FootnoteReference"/>
        </w:rPr>
        <w:footnoteRef/>
      </w:r>
      <w:r>
        <w:t xml:space="preserve"> </w:t>
      </w:r>
      <w:r>
        <w:t xml:space="preserve">CNSS RDC - branches et populations couvertes (cnss.cd, loi n°16/009)</w:t>
      </w:r>
    </w:p>
  </w:footnote>
  <w:footnote w:id="99">
    <w:p>
      <w:pPr>
        <w:pStyle w:val="FootnoteText"/>
      </w:pPr>
      <w:r>
        <w:rPr>
          <w:rStyle w:val="FootnoteReference"/>
        </w:rPr>
        <w:footnoteRef/>
      </w:r>
      <w:r>
        <w:t xml:space="preserve"> </w:t>
      </w:r>
      <w:r>
        <w:t xml:space="preserve">CNSSAP RDC - branches et populations couvertes (cnssap.cd, décret 15/031, loi 22/031)</w:t>
      </w:r>
    </w:p>
  </w:footnote>
  <w:footnote w:id="100">
    <w:p>
      <w:pPr>
        <w:pStyle w:val="FootnoteText"/>
      </w:pPr>
      <w:r>
        <w:rPr>
          <w:rStyle w:val="FootnoteReference"/>
        </w:rPr>
        <w:footnoteRef/>
      </w:r>
      <w:r>
        <w:t xml:space="preserve"> </w:t>
      </w:r>
      <w:r>
        <w:t xml:space="preserve">CNSS RDC - branches et populations couvertes (cnss.cd, loi n°16/009)</w:t>
      </w:r>
    </w:p>
  </w:footnote>
  <w:footnote w:id="101">
    <w:p>
      <w:pPr>
        <w:pStyle w:val="FootnoteText"/>
      </w:pPr>
      <w:r>
        <w:rPr>
          <w:rStyle w:val="FootnoteReference"/>
        </w:rPr>
        <w:footnoteRef/>
      </w:r>
      <w:r>
        <w:t xml:space="preserve"> </w:t>
      </w:r>
      <w:r>
        <w:t xml:space="preserve">CNSSAP RDC - branches et populations couvertes (cnssap.cd, décret 15/031, loi 22/031)</w:t>
      </w:r>
    </w:p>
  </w:footnote>
  <w:footnote w:id="102">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03">
    <w:p>
      <w:pPr>
        <w:pStyle w:val="FootnoteText"/>
      </w:pPr>
      <w:r>
        <w:rPr>
          <w:rStyle w:val="FootnoteReference"/>
        </w:rPr>
        <w:footnoteRef/>
      </w:r>
      <w:r>
        <w:t xml:space="preserve"> </w:t>
      </w:r>
      <w:r>
        <w:t xml:space="preserve">CNSSAP RDC - Site officiel cnssap.cd ; décret n°15/031 du 14 déc. 2015 ; loi n°22/031 du 15 juil. 2022</w:t>
      </w:r>
    </w:p>
  </w:footnote>
  <w:footnote w:id="104">
    <w:p>
      <w:pPr>
        <w:pStyle w:val="FootnoteText"/>
      </w:pPr>
      <w:r>
        <w:rPr>
          <w:rStyle w:val="FootnoteReference"/>
        </w:rPr>
        <w:footnoteRef/>
      </w:r>
      <w:r>
        <w:t xml:space="preserve"> </w:t>
      </w:r>
      <w:r>
        <w:t xml:space="preserve">Premier bulletin statistique de la protection sociale en RDC (2023) - tableaux 3 à 7</w:t>
      </w:r>
    </w:p>
  </w:footnote>
  <w:footnote w:id="106">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08">
    <w:p>
      <w:pPr>
        <w:pStyle w:val="FootnoteText"/>
      </w:pPr>
      <w:r>
        <w:rPr>
          <w:rStyle w:val="FootnoteReference"/>
        </w:rPr>
        <w:footnoteRef/>
      </w:r>
      <w:r>
        <w:t xml:space="preserve"> </w:t>
      </w:r>
      <w:r>
        <w:t xml:space="preserve">Source : FSS RDC — Site officiel fss.cd, consulté juin 2026</w:t>
      </w:r>
    </w:p>
  </w:footnote>
  <w:footnote w:id="109">
    <w:p>
      <w:pPr>
        <w:pStyle w:val="FootnoteText"/>
      </w:pPr>
      <w:r>
        <w:rPr>
          <w:rStyle w:val="FootnoteReference"/>
        </w:rPr>
        <w:footnoteRef/>
      </w:r>
      <w:r>
        <w:t xml:space="preserve"> </w:t>
      </w:r>
      <w:r>
        <w:t xml:space="preserve">FSS RDC - produits et régimes opérationnels (fss.cd, juin 2026)</w:t>
      </w:r>
    </w:p>
  </w:footnote>
  <w:footnote w:id="110">
    <w:p>
      <w:pPr>
        <w:pStyle w:val="FootnoteText"/>
      </w:pPr>
      <w:r>
        <w:rPr>
          <w:rStyle w:val="FootnoteReference"/>
        </w:rPr>
        <w:footnoteRef/>
      </w:r>
      <w:r>
        <w:t xml:space="preserve"> </w:t>
      </w:r>
      <w:r>
        <w:t xml:space="preserve">FSS RDC - produits et régimes opérationnels (fss.cd, juin 2026)</w:t>
      </w:r>
    </w:p>
  </w:footnote>
  <w:footnote w:id="111">
    <w:p>
      <w:pPr>
        <w:pStyle w:val="FootnoteText"/>
      </w:pPr>
      <w:r>
        <w:rPr>
          <w:rStyle w:val="FootnoteReference"/>
        </w:rPr>
        <w:footnoteRef/>
      </w:r>
      <w:r>
        <w:t xml:space="preserve"> </w:t>
      </w:r>
      <w:r>
        <w:t xml:space="preserve">FSS RDC - produits et régimes opérationnels (fss.cd, juin 2026)</w:t>
      </w:r>
    </w:p>
  </w:footnote>
  <w:footnote w:id="112">
    <w:p>
      <w:pPr>
        <w:pStyle w:val="FootnoteText"/>
      </w:pPr>
      <w:r>
        <w:rPr>
          <w:rStyle w:val="FootnoteReference"/>
        </w:rPr>
        <w:footnoteRef/>
      </w:r>
      <w:r>
        <w:t xml:space="preserve"> </w:t>
      </w:r>
      <w:r>
        <w:t xml:space="preserve">FSS RDC - produits et régimes opérationnels (fss.cd, juin 2026)</w:t>
      </w:r>
    </w:p>
  </w:footnote>
  <w:footnote w:id="113">
    <w:p>
      <w:pPr>
        <w:pStyle w:val="FootnoteText"/>
      </w:pPr>
      <w:r>
        <w:rPr>
          <w:rStyle w:val="FootnoteReference"/>
        </w:rPr>
        <w:footnoteRef/>
      </w:r>
      <w:r>
        <w:t xml:space="preserve"> </w:t>
      </w:r>
      <w:r>
        <w:t xml:space="preserve">Premier bulletin statistique RDC (2023) - tableau 9 : MESP</w:t>
      </w:r>
    </w:p>
  </w:footnote>
  <w:footnote w:id="114">
    <w:p>
      <w:pPr>
        <w:pStyle w:val="FootnoteText"/>
      </w:pPr>
      <w:r>
        <w:rPr>
          <w:rStyle w:val="FootnoteReference"/>
        </w:rPr>
        <w:footnoteRef/>
      </w:r>
      <w:r>
        <w:t xml:space="preserve"> </w:t>
      </w:r>
      <w:r>
        <w:t xml:space="preserve">FSS RDC - Site officiel fss.cd (juin 2026) - produits et régimes opérationnels</w:t>
      </w:r>
    </w:p>
  </w:footnote>
  <w:footnote w:id="115">
    <w:p>
      <w:pPr>
        <w:pStyle w:val="FootnoteText"/>
      </w:pPr>
      <w:r>
        <w:rPr>
          <w:rStyle w:val="FootnoteReference"/>
        </w:rPr>
        <w:footnoteRef/>
      </w:r>
      <w:r>
        <w:t xml:space="preserve"> </w:t>
      </w:r>
      <w:r>
        <w:t xml:space="preserve">Premier bulletin statistique de la protection sociale en RDC (2023) - tableau 9 : MESP</w:t>
      </w:r>
    </w:p>
  </w:footnote>
  <w:footnote w:id="116">
    <w:p>
      <w:pPr>
        <w:pStyle w:val="FootnoteText"/>
      </w:pPr>
      <w:r>
        <w:rPr>
          <w:rStyle w:val="FootnoteReference"/>
        </w:rPr>
        <w:footnoteRef/>
      </w:r>
      <w:r>
        <w:t xml:space="preserve"> </w:t>
      </w:r>
      <w:r>
        <w:t xml:space="preserve">CNSSAP RDC - Base légale MESP incluse dans le champ CNSSAP / santé des agents publics</w:t>
      </w:r>
    </w:p>
  </w:footnote>
  <w:footnote w:id="118">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19">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20">
    <w:p>
      <w:pPr>
        <w:pStyle w:val="FootnoteText"/>
      </w:pPr>
      <w:r>
        <w:rPr>
          <w:rStyle w:val="FootnoteReference"/>
        </w:rPr>
        <w:footnoteRef/>
      </w:r>
      <w:r>
        <w:t xml:space="preserve"> </w:t>
      </w:r>
      <w:r>
        <w:t xml:space="preserve">PAM — Transferts de ressources sans conditions (TRC) — 4 037 575 bénéficiaires en 2021, 3 795 530 en 2022</w:t>
      </w:r>
    </w:p>
  </w:footnote>
  <w:footnote w:id="121">
    <w:p>
      <w:pPr>
        <w:pStyle w:val="FootnoteText"/>
      </w:pPr>
      <w:r>
        <w:rPr>
          <w:rStyle w:val="FootnoteReference"/>
        </w:rPr>
        <w:footnoteRef/>
      </w:r>
      <w:r>
        <w:t xml:space="preserve"> </w:t>
      </w:r>
      <w:r>
        <w:t xml:space="preserve">PAM RDC — site officiel wfp.org (consulté juin 2026) et Premier bulletin (2023)</w:t>
      </w:r>
    </w:p>
  </w:footnote>
  <w:footnote w:id="122">
    <w:p>
      <w:pPr>
        <w:pStyle w:val="FootnoteTex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23">
    <w:p>
      <w:pPr>
        <w:pStyle w:val="FootnoteText"/>
      </w:pPr>
      <w:r>
        <w:rPr>
          <w:rStyle w:val="FootnoteReference"/>
        </w:rPr>
        <w:footnoteRef/>
      </w:r>
      <w:r>
        <w:t xml:space="preserve"> </w:t>
      </w:r>
      <w:r>
        <w:t xml:space="preserve">PAM RDC — cantines scolaires : phase pilote, écoles publiques, objectif nutritionnel et scolarisation</w:t>
      </w:r>
    </w:p>
  </w:footnote>
  <w:footnote w:id="124">
    <w:p>
      <w:pPr>
        <w:pStyle w:val="FootnoteText"/>
      </w:pPr>
      <w:r>
        <w:rPr>
          <w:rStyle w:val="FootnoteReference"/>
        </w:rPr>
        <w:footnoteRef/>
      </w:r>
      <w:r>
        <w:t xml:space="preserve"> </w:t>
      </w:r>
      <w:r>
        <w:t xml:space="preserve">UNICEF — Cash + Nutrition (Tanganyika) — 226 648 enfants bénéficiaires en 2021 ; programme humanitaire récurrent</w:t>
      </w:r>
    </w:p>
  </w:footnote>
  <w:footnote w:id="125">
    <w:p>
      <w:pPr>
        <w:pStyle w:val="FootnoteText"/>
      </w:pPr>
      <w:r>
        <w:rPr>
          <w:rStyle w:val="FootnoteReference"/>
        </w:rPr>
        <w:footnoteRef/>
      </w:r>
      <w:r>
        <w:t xml:space="preserve"> </w:t>
      </w:r>
      <w:r>
        <w:t xml:space="preserve">Source : Premier bulletin (2023) citant données UNICEF 2021 — province de Tanganyika</w:t>
      </w:r>
    </w:p>
  </w:footnote>
  <w:footnote w:id="126">
    <w:p>
      <w:pPr>
        <w:pStyle w:val="FootnoteText"/>
      </w:pPr>
      <w:r>
        <w:rPr>
          <w:rStyle w:val="FootnoteReference"/>
        </w:rPr>
        <w:footnoteRef/>
      </w:r>
      <w:r>
        <w:t xml:space="preserve"> </w:t>
      </w:r>
      <w:r>
        <w:t xml:space="preserve">Gratuité de l'enseignement primaire — instruction ministérielle MEPST 2019 — suppression des frais de scolarité dans les écoles primaires publiques</w:t>
      </w:r>
    </w:p>
  </w:footnote>
  <w:footnote w:id="127">
    <w:p>
      <w:pPr>
        <w:pStyle w:val="FootnoteText"/>
      </w:pPr>
      <w:r>
        <w:rPr>
          <w:rStyle w:val="FootnoteReference"/>
        </w:rPr>
        <w:footnoteRef/>
      </w:r>
      <w:r>
        <w:t xml:space="preserve"> </w:t>
      </w:r>
      <w:r>
        <w:t xml:space="preserve">Banque mondiale DRC Overview (juin 2026) : +4,4 millions d'élèves supplémentaires en 2023-2024</w:t>
      </w:r>
    </w:p>
  </w:footnote>
  <w:footnote w:id="128">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29">
    <w:p>
      <w:pPr>
        <w:pStyle w:val="FootnoteText"/>
      </w:pPr>
      <w:r>
        <w:rPr>
          <w:rStyle w:val="FootnoteReference"/>
        </w:rPr>
        <w:footnoteRef/>
      </w:r>
      <w:r>
        <w:t xml:space="preserve"> </w:t>
      </w:r>
      <w:r>
        <w:t xml:space="preserve">PAM — site officiel wfp.org (consulté juin 2026)</w:t>
      </w:r>
    </w:p>
  </w:footnote>
  <w:footnote w:id="130">
    <w:p>
      <w:pPr>
        <w:pStyle w:val="FootnoteText"/>
      </w:pPr>
      <w:r>
        <w:rPr>
          <w:rStyle w:val="FootnoteReference"/>
        </w:rPr>
        <w:footnoteRef/>
      </w:r>
      <w:r>
        <w:t xml:space="preserve"> </w:t>
      </w:r>
      <w:r>
        <w:t xml:space="preserve">Programmes gouvernementaux non contributifs RDC — MEPST, gratuité enseignement (2019–2025)</w:t>
      </w:r>
    </w:p>
  </w:footnote>
  <w:footnote w:id="131">
    <w:p>
      <w:pPr>
        <w:pStyle w:val="FootnoteText"/>
      </w:pPr>
      <w:r>
        <w:rPr>
          <w:rStyle w:val="FootnoteReference"/>
        </w:rPr>
        <w:footnoteRef/>
      </w:r>
      <w:r>
        <w:t xml:space="preserve"> </w:t>
      </w:r>
      <w:r>
        <w:t xml:space="preserve">UNICEF RDC — transferts monétaires humanitaires (2021-2022, actif intermittent)</w:t>
      </w:r>
    </w:p>
  </w:footnote>
  <w:footnote w:id="132">
    <w:p>
      <w:pPr>
        <w:pStyle w:val="FootnoteText"/>
      </w:pPr>
      <w:r>
        <w:rPr>
          <w:rStyle w:val="FootnoteReference"/>
        </w:rPr>
        <w:footnoteRef/>
      </w:r>
      <w:r>
        <w:t xml:space="preserve"> </w:t>
      </w:r>
      <w:r>
        <w:t xml:space="preserve">OIT — Recommandation no 202 sur les socles de protection sociale (2012)</w:t>
      </w:r>
    </w:p>
  </w:footnote>
  <w:footnote w:id="154">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177">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179">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184">
    <w:p>
      <w:pPr>
        <w:pStyle w:val="FootnoteText"/>
      </w:pPr>
      <w:r>
        <w:rPr>
          <w:rStyle w:val="FootnoteReference"/>
        </w:rPr>
        <w:footnoteRef/>
      </w:r>
      <w:r>
        <w:t xml:space="preserve"> </w:t>
      </w:r>
      <w:r>
        <w:t xml:space="preserve">OIT - Convention no 102 (1952) - art. 6 : assurance volontaire supervisée par l'État</w:t>
      </w:r>
    </w:p>
  </w:footnote>
  <w:footnote w:id="185">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186">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187">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ABC64C44"/>
    <w:lvl w:ilvl="0" w:tplc="432A34D0">
      <w:start w:val="9"/>
      <w:numFmt w:val="bullet"/>
      <w:pStyle w:val="TableTitle"/>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lvlText w:val="%1."/>
      <w:lvlJc w:val="left"/>
      <w:pPr>
        <w:ind w:hanging="360" w:left="360"/>
      </w:pPr>
      <w:rPr>
        <w:rFonts w:ascii="Overpass" w:hAnsi="Overpass" w:hint="default"/>
        <w:color w:val="1E2DBE"/>
        <w:sz w:val="36"/>
      </w:rPr>
    </w:lvl>
    <w:lvl w:ilvl="1">
      <w:start w:val="1"/>
      <w:numFmt w:val="decimal"/>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pelling="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4B4FC0"/>
    <w:pPr>
      <w:spacing w:after="120" w:before="120" w:line="264" w:lineRule="auto"/>
    </w:pPr>
    <w:rPr>
      <w:rFonts w:ascii="Noto Sans" w:cs="Noto Sans" w:hAnsi="Noto Sans"/>
      <w:sz w:val="20"/>
      <w:szCs w:val="18"/>
    </w:rPr>
  </w:style>
  <w:style w:styleId="Heading1" w:type="paragraph">
    <w:name w:val="heading 1"/>
    <w:aliases w:val="DNV-H1"/>
    <w:basedOn w:val="Headinglevel1"/>
    <w:next w:val="Normal"/>
    <w:link w:val="Heading1Char"/>
    <w:uiPriority w:val="9"/>
    <w:qFormat/>
    <w:rsid w:val="0087638A"/>
    <w:rPr>
      <w:lang w:val="fr-FR"/>
    </w:rPr>
  </w:style>
  <w:style w:styleId="Heading2" w:type="paragraph">
    <w:name w:val="heading 2"/>
    <w:aliases w:val="DNV-H2,t2"/>
    <w:basedOn w:val="Headinglevel2"/>
    <w:next w:val="Normal"/>
    <w:link w:val="Heading2Char"/>
    <w:qFormat/>
    <w:rsid w:val="0087638A"/>
    <w:rPr>
      <w:lang w:val="fr-FR"/>
    </w:rPr>
  </w:style>
  <w:style w:styleId="Heading3" w:type="paragraph">
    <w:name w:val="heading 3"/>
    <w:aliases w:val="t3"/>
    <w:basedOn w:val="Heading2"/>
    <w:next w:val="Normal"/>
    <w:link w:val="Heading3Char"/>
    <w:qFormat/>
    <w:rsid w:val="00D077E5"/>
    <w:pPr>
      <w:tabs>
        <w:tab w:pos="680" w:val="left"/>
      </w:tabs>
      <w:outlineLvl w:val="2"/>
    </w:pPr>
    <w:rPr>
      <w:rFonts w:ascii="Noto Sans" w:cs="Arial" w:eastAsia="Batang" w:hAnsi="Noto Sans"/>
      <w:b w:val="0"/>
      <w:color w:val="1E2DBE"/>
      <w:kern w:val="32"/>
      <w:sz w:val="20"/>
    </w:rPr>
  </w:style>
  <w:style w:styleId="Heading4" w:type="paragraph">
    <w:name w:val="heading 4"/>
    <w:basedOn w:val="Heading3"/>
    <w:next w:val="Numbered"/>
    <w:link w:val="Heading4Char"/>
    <w:qFormat/>
    <w:rsid w:val="00937DD7"/>
    <w:pPr>
      <w:outlineLvl w:val="3"/>
    </w:pPr>
    <w:rPr>
      <w:rFonts w:eastAsia="Times New Roman"/>
      <w:b/>
      <w:i/>
      <w:sz w:val="22"/>
      <w:szCs w:val="28"/>
      <w:lang w:val="en-US"/>
    </w:rPr>
  </w:style>
  <w:style w:styleId="Heading5" w:type="paragraph">
    <w:name w:val="heading 5"/>
    <w:basedOn w:val="Heading4"/>
    <w:next w:val="Numbered"/>
    <w:link w:val="Heading5Char"/>
    <w:qFormat/>
    <w:rsid w:val="00937DD7"/>
    <w:pPr>
      <w:spacing w:after="60" w:before="120"/>
      <w:outlineLvl w:val="4"/>
    </w:pPr>
    <w:rPr>
      <w:bCs w:val="0"/>
      <w:i w:val="0"/>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val="0"/>
      <w:i/>
    </w:rPr>
  </w:style>
  <w:style w:styleId="Heading8" w:type="paragraph">
    <w:name w:val="heading 8"/>
    <w:basedOn w:val="Heading5"/>
    <w:next w:val="Numbered"/>
    <w:link w:val="Heading8Char"/>
    <w:qFormat/>
    <w:rsid w:val="00937DD7"/>
    <w:pPr>
      <w:ind w:left="1134"/>
      <w:outlineLvl w:val="7"/>
    </w:pPr>
    <w:rPr>
      <w:b w:val="0"/>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pos="0" w:val="left"/>
        <w:tab w:pos="284" w:val="left"/>
      </w:tabs>
      <w:spacing w:after="0" w:before="0"/>
      <w:ind w:hanging="284" w:left="284"/>
    </w:pPr>
    <w:rPr>
      <w:sz w:val="16"/>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cs="Noto Sans" w:eastAsia="SimSun" w:hAnsi="Noto Sans"/>
      <w:sz w:val="16"/>
      <w:szCs w:val="20"/>
      <w:lang w:val="en-GB"/>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basedOn w:val="Normal"/>
    <w:next w:val="NormalBody"/>
    <w:qFormat/>
    <w:rsid w:val="00BE3301"/>
    <w:pPr>
      <w:keepNext/>
      <w:numPr>
        <w:numId w:val="25"/>
      </w:numPr>
      <w:tabs>
        <w:tab w:pos="227" w:val="decimal"/>
        <w:tab w:pos="810" w:val="decimal"/>
        <w:tab w:pos="2790" w:val="left"/>
      </w:tabs>
      <w:spacing w:before="160" w:line="240" w:lineRule="auto"/>
      <w:ind w:hanging="227" w:left="227"/>
    </w:pPr>
    <w:rPr>
      <w:b/>
      <w:sz w:val="18"/>
      <w:lang w:val="en-GB"/>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87638A"/>
    <w:rPr>
      <w:rFonts w:ascii="Overpass" w:cs="Noto Sans" w:hAnsi="Overpass"/>
      <w:b/>
      <w:bCs/>
      <w:color w:val="1E2DBE"/>
      <w:sz w:val="36"/>
      <w:szCs w:val="36"/>
      <w:lang w:val="fr-FR"/>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rPr>
  </w:style>
  <w:style w:customStyle="1" w:styleId="GraphicTitle" w:type="paragraph">
    <w:name w:val="GraphicTitle"/>
    <w:basedOn w:val="TableTitle"/>
    <w:next w:val="NormalBody"/>
    <w:qFormat/>
    <w:rsid w:val="00B43F15"/>
    <w:rPr>
      <w:bCs/>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3949AE"/>
    <w:pPr>
      <w:spacing w:after="0" w:before="120" w:line="240" w:lineRule="auto"/>
      <w:ind w:left="113"/>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87638A"/>
    <w:rPr>
      <w:rFonts w:ascii="Overpass" w:cs="Noto Sans" w:hAnsi="Overpass"/>
      <w:b/>
      <w:bCs/>
      <w:color w:val="FA3C4B"/>
      <w:sz w:val="30"/>
      <w:szCs w:val="30"/>
      <w:lang w:val="fr-FR"/>
    </w:rPr>
  </w:style>
  <w:style w:customStyle="1" w:styleId="Heading3Char" w:type="character">
    <w:name w:val="Heading 3 Char"/>
    <w:aliases w:val="t3 Char"/>
    <w:basedOn w:val="DefaultParagraphFont"/>
    <w:link w:val="Heading3"/>
    <w:rsid w:val="00D077E5"/>
    <w:rPr>
      <w:rFonts w:ascii="Noto Sans" w:cs="Arial" w:eastAsia="Batang" w:hAnsi="Noto Sans"/>
      <w:bCs/>
      <w:color w:val="1E2DBE"/>
      <w:kern w:val="32"/>
      <w:sz w:val="20"/>
      <w:szCs w:val="30"/>
      <w:lang w:val="fr-FR"/>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before="160" w:line="240" w:lineRule="auto"/>
    </w:pPr>
    <w:rPr>
      <w:b/>
      <w:bCs/>
      <w:color w:themeColor="background1" w:themeShade="80" w:val="80808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ind w:right="2835"/>
      <w:outlineLvl w:val="9"/>
    </w:pPr>
    <w:rPr>
      <w:rFonts w:ascii="Arial" w:cs="Arial" w:eastAsia="Times New Roman" w:hAnsi="Arial"/>
      <w:b w:val="0"/>
      <w:bCs w:val="0"/>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ind w:hanging="680" w:left="680" w:right="2835"/>
    </w:pPr>
    <w:rPr>
      <w:rFonts w:ascii="Arial" w:cs="Arial" w:eastAsia="Times New Roman" w:hAnsi="Arial"/>
      <w:b w:val="0"/>
      <w:bCs w:val="0"/>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8" Type="http://schemas.openxmlformats.org/officeDocument/2006/relationships/image" Target="media/rId28.png"/><Relationship Id="rId47" Type="http://schemas.openxmlformats.org/officeDocument/2006/relationships/image" Target="media/rId47.png"/><Relationship Id="rId56" Type="http://schemas.openxmlformats.org/officeDocument/2006/relationships/image" Target="media/rId56.png"/><Relationship Id="rId60" Type="http://schemas.openxmlformats.org/officeDocument/2006/relationships/image" Target="media/rId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2026-06-27T07:44:07Z</dcterms:created>
  <dcterms:modified xsi:type="dcterms:W3CDTF">2026-06-27T07:44:07Z</dcterms:modified>
</cp:coreProperties>
</file>

<file path=docProps/custom.xml><?xml version="1.0" encoding="utf-8"?>
<Properties xmlns="http://schemas.openxmlformats.org/officeDocument/2006/custom-properties" xmlns:vt="http://schemas.openxmlformats.org/officeDocument/2006/docPropsVTypes"/>
</file>