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p>
      <w:pPr>
        <w:pStyle w:val="Normal"/>
      </w:pPr>
      <w:r>
        <w:t xml:space="preserve">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pPr>
        <w:pStyle w:val="Normal"/>
      </w:pPr>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pPr>
        <w:pStyle w:val="Normal"/>
      </w:pPr>
      <w:r>
        <w:t xml:space="preserve">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pPr>
        <w:pStyle w:val="Normal"/>
      </w:pPr>
      <w:r>
        <w:t xml:space="preserve">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pPr>
        <w:pStyle w:val="Normal"/>
      </w:pPr>
      <w:r>
        <w:t xml:space="preserve">Ce bulletin a bénéficié d'un appui financier dans le cadre du projet</w:t>
      </w:r>
      <w:r>
        <w:t xml:space="preserve"> </w:t>
      </w:r>
      <w:r>
        <w:rPr>
          <w:i/>
          <w:iCs/>
        </w:rPr>
        <w:t xml:space="preserve">Bâtir des socles de protection sociale pour tous — Appui à la deuxième phase du programme phare mondial de l'OIT</w:t>
      </w:r>
      <w:r>
        <w:t xml:space="preserve">, financé par les gouvernements du Royaume de Belgique et du Grand-Duché de Luxembourg. Le Secrétariat général de la protection sociale leur témoigne sa reconnaissance pour leur soutien constant au renforcement du système de protection sociale en République démocratique du Congo.</w:t>
      </w:r>
    </w:p>
    <w:p>
      <w:pPr>
        <w:pStyle w:val="Normal"/>
      </w:pPr>
      <w:r>
        <w:t xml:space="preserve">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de Solidarité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des Enseignants de l'Enseignement Primaire, Secondaire et Professionnel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TRESOR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Code technique utilisé dans la base et les annexes B et C pour désigner la protection budgétaire estimée des agents publics hors CNSSAP ; il ne s'agit pas d'une institution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77" w:name="X7a5f8325099eba1b0341b61e06a68940aaa639e"/>
    <w:p>
      <w:pPr>
        <w:pStyle w:val="Heading1"/>
      </w:pPr>
      <w:r>
        <w:t xml:space="preserve">Chapitre 1 — Contexte général et cadre de référence pour la protection sociale en RDC</w:t>
      </w:r>
    </w:p>
    <w:bookmarkStart w:id="38" w:name="X0f6502e11a7224c7a278d89dd0c9e42c9fd83b0"/>
    <w:p>
      <w:pPr>
        <w:pStyle w:val="Heading2"/>
      </w:pPr>
      <w:r>
        <w:t xml:space="preserve">1.1 Contexte démographique et implications pour la protection sociale</w:t>
      </w:r>
    </w:p>
    <w:bookmarkStart w:id="24"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Selon les projections démographiques transmises par l'Institut national de la statistique (INS-RDC), retenues comme référence principale du bulletin, la population totale est passée d'environ 92,9 millions d'habitants en 2019 à environ 109,3 millions en 2024</w:t>
      </w:r>
      <w:r>
        <w:rPr>
          <w:rStyle w:val="FootnoteReference"/>
        </w:rPr>
        <w:footnoteReference w:id="18"/>
      </w:r>
      <w:r>
        <w:t xml:space="preserve">, soit un taux de croissance moyen annuel implicite d'environ 3,3 %.</w:t>
      </w:r>
      <w:r>
        <w:rPr>
          <w:vertAlign w:val="superscript"/>
        </w:rPr>
        <w:t xml:space="preserve">1</w:t>
      </w:r>
      <w:r>
        <w:t xml:space="preserve"> </w:t>
      </w:r>
      <w:r>
        <w:t xml:space="preserve">Cette croissance démographique soutenue fait de la RDC l'un des pays à la démographie la plus dynamique du continent : en prolongeant cette tendance, les projections de la Division de la population des Nations Unies</w:t>
      </w:r>
      <w:r>
        <w:t xml:space="preserve"> </w:t>
      </w:r>
      <w:r>
        <w:rPr>
          <w:i/>
          <w:iCs/>
        </w:rPr>
        <w:t xml:space="preserve">(WPP 2024)</w:t>
      </w:r>
      <w:r>
        <w:t xml:space="preserve"> </w:t>
      </w:r>
      <w:r>
        <w:t xml:space="preserve">situent la population à environ 112 millions d'habitants en 2025</w:t>
      </w:r>
      <w:r>
        <w:rPr>
          <w:rStyle w:val="FootnoteReference"/>
        </w:rPr>
        <w:footnoteReference w:id="19"/>
      </w:r>
      <w:r>
        <w:t xml:space="preserve">, un niveau qui placerait la RDC au 4e rang africain par la taille de sa population, après le Nigeria, l'Éthiopie et l'Égypte.</w:t>
      </w:r>
    </w:p>
    <w:p>
      <w:pPr>
        <w:pStyle w:val="Normal"/>
      </w:pPr>
      <w:r>
        <w:rPr>
          <w:vertAlign w:val="superscript"/>
        </w:rPr>
        <w:t xml:space="preserve">1</w:t>
      </w:r>
      <w:r>
        <w:t xml:space="preserve"> </w:t>
      </w:r>
      <w:r>
        <w:rPr>
          <w:i/>
          <w:iCs/>
        </w:rPr>
        <w:t xml:space="preserve">Source : INS-RDC, projections démographiques nationales et Annuaires statistiques (canevas de collecte 2026), retenues ici comme référence principale du bulletin pour la population totale sur la période 2019-2024 — voir DM-018 (</w:t>
      </w:r>
      <w:r>
        <w:rPr>
          <w:rStyle w:val="VerbatimChar"/>
          <w:i/>
          <w:iCs/>
        </w:rPr>
        <w:t xml:space="preserve">00_pilotage/decisions_methodologiques.md</w:t>
      </w:r>
      <w:r>
        <w:rPr>
          <w:i/>
          <w:iCs/>
        </w:rPr>
        <w:t xml:space="preserve">). Ces valeurs sont cohérentes avec la série des Nations Unies (WPP 2024) : en appliquant le même rythme de croissance moyen à la valeur INS 2024, on obtiendrait environ 112,8 millions d'habitants en 2025, proche de l'estimation WPP (112 millions) retenue ci-dessus pour cette seule projection, faute de projection nationale correspondante. Le canevas INS-RDC 2026 ne couvre pas non plus les indicateurs d'urbanisation, de densité ou l'âge médian ; le bulletin continue de s'appuyer sur les séries des Nations Unies (WPP 2024) et de l'UNFPA pour ces dimensions complémentaires — voir ci-dessous. Séries conservées dans la base des dénominateurs du bulletin (</w:t>
      </w:r>
      <w:r>
        <w:rPr>
          <w:rStyle w:val="VerbatimChar"/>
          <w:i/>
          <w:iCs/>
        </w:rPr>
        <w:t xml:space="preserve">06_sources/Calculateurs et dénominateurs/Denominateurs 2026.xlsx</w:t>
      </w:r>
      <w:r>
        <w:rPr>
          <w:i/>
          <w:iCs/>
        </w:rP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1" name="Picture"/>
            <a:graphic>
              <a:graphicData uri="http://schemas.openxmlformats.org/drawingml/2006/picture">
                <pic:pic>
                  <pic:nvPicPr>
                    <pic:cNvPr descr="C:/Users/M.Diouf/OneDrive/Bureau/RDC%20Bulletin%20V1/Bulletin_rdc_2026_agents/08_figures/exports/FIG_1_population_totale_urbaine_rurale_1950_2025.png" id="22" name="Picture"/>
                    <pic:cNvPicPr>
                      <a:picLocks noChangeArrowheads="1" noChangeAspect="1"/>
                    </pic:cNvPicPr>
                  </pic:nvPicPr>
                  <pic:blipFill>
                    <a:blip r:embed="rId20"/>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r>
        <w:rPr>
          <w:rStyle w:val="FootnoteReference"/>
        </w:rPr>
        <w:footnoteReference w:id="23"/>
      </w:r>
      <w:r>
        <w:rPr>
          <w:i/>
          <w:iCs/>
        </w:rPr>
        <w:t xml:space="preserve">.</w:t>
      </w:r>
    </w:p>
    <w:bookmarkEnd w:id="24"/>
    <w:bookmarkStart w:id="33" w:name="X78341611dcbeec1863796d4a6a53f8a2affd21e"/>
    <w:p>
      <w:pPr>
        <w:pStyle w:val="Heading3"/>
      </w:pPr>
      <w:r>
        <w:t xml:space="preserve">Une population jeune, portée par des besoins de cycle de vie</w:t>
      </w:r>
    </w:p>
    <w:p>
      <w:pPr>
        <w:pStyle w:val="Normal"/>
      </w:pPr>
      <w:r>
        <w:t xml:space="preserve">La population congolaise est structurellement jeune : selon les données transmises par l'INS-RDC, les personnes âgées de moins de 15 ans représentaient environ 46 % de la population totale en 2024</w:t>
      </w:r>
      <w:r>
        <w:rPr>
          <w:rStyle w:val="FootnoteReference"/>
        </w:rPr>
        <w:footnoteReference w:id="25"/>
      </w:r>
      <w:r>
        <w:t xml:space="preserve">, une proportion cohérente avec les estimations de l'UNFPA (46 %, 2024)</w:t>
      </w:r>
      <w:r>
        <w:rPr>
          <w:rStyle w:val="FootnoteReference"/>
        </w:rPr>
        <w:footnoteReference w:id="26"/>
      </w:r>
      <w:r>
        <w:t xml:space="preserve"> </w:t>
      </w:r>
      <w:r>
        <w:t xml:space="preserve">et de la Division de la population des Nations Unies</w:t>
      </w:r>
      <w:r>
        <w:t xml:space="preserve"> </w:t>
      </w:r>
      <w:r>
        <w:rPr>
          <w:i/>
          <w:iCs/>
        </w:rPr>
        <w:t xml:space="preserve">(WPP 2024)</w:t>
      </w:r>
      <w:r>
        <w:t xml:space="preserve">. L'âge médian de la population — non disponible dans les données transmises par l'INS-RDC — s'établit à 15,9 ans selon l'ONU WPP 2024</w:t>
      </w:r>
      <w:r>
        <w:rPr>
          <w:rStyle w:val="FootnoteReference"/>
        </w:rPr>
        <w:footnoteReference w:id="27"/>
      </w:r>
      <w:r>
        <w:t xml:space="preserve">. Le ratio de dépendance démographique, calculé à partir de la structure par âge de l'ONU WPP 2024 faute de désagrégation quinquennale complète dans les données INS-RDC, atteint près de 96 dépendants pour 100 personnes en âge de travailler</w:t>
      </w:r>
      <w:r>
        <w:rPr>
          <w:rStyle w:val="FootnoteReference"/>
        </w:rPr>
        <w:footnoteReference w:id="28"/>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Pyramide des âges de la RDC (2025) : répartition de la population par groupe d'âge quinquennal et par sexe</w:t>
      </w:r>
    </w:p>
    <w:p>
      <w:pPr>
        <w:pStyle w:val="Normal"/>
      </w:pPr>
      <w:r>
        <w:drawing>
          <wp:inline>
            <wp:extent cx="5753100" cy="4138951"/>
            <wp:effectExtent b="0" l="0" r="0" t="0"/>
            <wp:docPr descr="Pyramide des âges de la RDC (2025) : répartition par groupe d'âge quinquennal et par sexe" title="" id="30" name="Picture"/>
            <a:graphic>
              <a:graphicData uri="http://schemas.openxmlformats.org/drawingml/2006/picture">
                <pic:pic>
                  <pic:nvPicPr>
                    <pic:cNvPr descr="C:/Users/M.Diouf/OneDrive/Bureau/RDC%20Bulletin%20V1/Bulletin_rdc_2026_agents/08_figures/exports/FIG_2_structure_age_2025.png" id="31" name="Picture"/>
                    <pic:cNvPicPr>
                      <a:picLocks noChangeArrowheads="1" noChangeAspect="1"/>
                    </pic:cNvPicPr>
                  </pic:nvPicPr>
                  <pic:blipFill>
                    <a:blip r:embed="rId29"/>
                    <a:stretch>
                      <a:fillRect/>
                    </a:stretch>
                  </pic:blipFill>
                  <pic:spPr bwMode="auto">
                    <a:xfrm>
                      <a:off x="0" y="0"/>
                      <a:ext cx="5753100" cy="4138951"/>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 Effectifs approximés d'après les tables WPP 2024 standard — estimation mi-2025.</w:t>
      </w:r>
      <w:r>
        <w:rPr>
          <w:rStyle w:val="FootnoteReference"/>
        </w:rPr>
        <w:footnoteReference w:id="32"/>
      </w:r>
    </w:p>
    <w:bookmarkEnd w:id="33"/>
    <w:bookmarkStart w:id="36"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4"/>
      </w:r>
      <w:r>
        <w:t xml:space="preserve"> </w:t>
      </w:r>
      <w:r>
        <w:t xml:space="preserve">à un niveau nettement plus élevé, traduisant une urbanisation rapide. Cette dynamique transforme les besoins sociaux dans les grandes agglomérations, en premier lieu à Kinshasa qui compte environ 17 millions d'habitants</w:t>
      </w:r>
      <w:r>
        <w:rPr>
          <w:rStyle w:val="FootnoteReference"/>
        </w:rPr>
        <w:footnoteReference w:id="35"/>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avec des disparités provinciales considérables.</w:t>
      </w:r>
    </w:p>
    <w:bookmarkEnd w:id="36"/>
    <w:bookmarkStart w:id="37"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w:t>
      </w:r>
    </w:p>
    <w:bookmarkEnd w:id="37"/>
    <w:bookmarkEnd w:id="38"/>
    <w:bookmarkStart w:id="67" w:name="X875bd217f609cd4b0efe41cdc0493e4b94e2a8f"/>
    <w:p>
      <w:pPr>
        <w:pStyle w:val="Heading2"/>
      </w:pPr>
      <w:r>
        <w:t xml:space="preserve">1.2 Contexte économique, emploi et enjeux d'extension de la couverture</w:t>
      </w:r>
    </w:p>
    <w:bookmarkStart w:id="49"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39"/>
      </w:r>
      <w:r>
        <w:t xml:space="preserve">, +9,3 % en 2022</w:t>
      </w:r>
      <w:r>
        <w:rPr>
          <w:rStyle w:val="FootnoteReference"/>
        </w:rPr>
        <w:footnoteReference w:id="40"/>
      </w:r>
      <w:r>
        <w:t xml:space="preserve">, +8,5 % en 2023</w:t>
      </w:r>
      <w:r>
        <w:rPr>
          <w:rStyle w:val="FootnoteReference"/>
        </w:rPr>
        <w:footnoteReference w:id="41"/>
      </w:r>
      <w:r>
        <w:t xml:space="preserve"> </w:t>
      </w:r>
      <w:r>
        <w:t xml:space="preserve">et +6,1 % en 2024</w:t>
      </w:r>
      <w:r>
        <w:rPr>
          <w:rStyle w:val="FootnoteReference"/>
        </w:rPr>
        <w:footnoteReference w:id="42"/>
      </w:r>
      <w:r>
        <w:t xml:space="preserve"> </w:t>
      </w:r>
      <w:r>
        <w:rPr>
          <w:i/>
          <w:iCs/>
        </w:rPr>
        <w:t xml:space="preserve">(FMI, WEO)</w:t>
      </w:r>
      <w:r>
        <w:t xml:space="preserve">. Cette dynamique est notamment portée par le secteur minier, qui concentre d'importants gisements de cuivre, cobalt, or, diamants et coltan. Elle ne se traduit cependant pas par une amélioration proportionnelle du niveau de vie moyen : le niveau du PIB par habitant demeure faible</w:t>
      </w:r>
      <w:r>
        <w:rPr>
          <w:rStyle w:val="FootnoteReference"/>
        </w:rPr>
        <w:footnoteReference w:id="43"/>
      </w:r>
      <w:r>
        <w:t xml:space="preserve"> </w:t>
      </w:r>
      <w:r>
        <w:t xml:space="preserve">à l'échelle du continent. Selon l'Institut national de la statistique (INS-RDC, ECVM 2024)</w:t>
      </w:r>
      <w:r>
        <w:rPr>
          <w:rStyle w:val="FootnoteReference"/>
        </w:rPr>
        <w:footnoteReference w:id="44"/>
      </w:r>
      <w:r>
        <w:t xml:space="preserve">, la pauvreté monétaire reste élevée : 67,9 % de la population vit sous le seuil national de pauvreté, soit près de sept personnes sur dix. Les inégalités de niveau de vie demeurent également marquées, avec un indice de Gini estimé à 0,381 en 2024</w:t>
      </w:r>
      <w:r>
        <w:t xml:space="preserve"> </w:t>
      </w:r>
      <w:r>
        <w:rPr>
          <w:i/>
          <w:iCs/>
        </w:rPr>
        <w:t xml:space="preserve">(INS-RDC, ECVM 2024)</w:t>
      </w:r>
      <w:r>
        <w:rPr>
          <w:vertAlign w:val="superscript"/>
        </w:rPr>
        <w:t xml:space="preserve">1</w:t>
      </w:r>
      <w:r>
        <w:t xml:space="preserve">. Ces éléments confirment la persistance d'une vulnérabilité économique structurelle.</w:t>
      </w:r>
    </w:p>
    <w:p>
      <w:pPr>
        <w:pStyle w:val="Normal"/>
      </w:pPr>
      <w:r>
        <w:rPr>
          <w:vertAlign w:val="superscript"/>
        </w:rPr>
        <w:t xml:space="preserve">1</w:t>
      </w:r>
      <w:r>
        <w:t xml:space="preserve"> </w:t>
      </w:r>
      <w:r>
        <w:rPr>
          <w:i/>
          <w:iCs/>
        </w:rPr>
        <w:t xml:space="preserve">Une estimation antérieure de la Banque mondiale (WDI) situait l'indice de Gini de la RDC à 0,447 en 2020 ; cet écart reflète à la fois l'actualisation méthodologique de l'ECVM 2024 et l'évolution de la période de référence. La valeur INS-RDC 2024, transmise directement par l'institution (canevas de collecte 2026), est retenue ici comme référence prioritaire.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46" name="Picture"/>
            <a:graphic>
              <a:graphicData uri="http://schemas.openxmlformats.org/drawingml/2006/picture">
                <pic:pic>
                  <pic:nvPicPr>
                    <pic:cNvPr descr="C:/Users/M.Diouf/OneDrive/Bureau/RDC%20Bulletin%20V1/Bulletin_rdc_2026_agents/08_figures/exports/FIG_4_croissance_PIB_2000_2024.png" id="47" name="Picture"/>
                    <pic:cNvPicPr>
                      <a:picLocks noChangeArrowheads="1" noChangeAspect="1"/>
                    </pic:cNvPicPr>
                  </pic:nvPicPr>
                  <pic:blipFill>
                    <a:blip r:embed="rId45"/>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FMI (WEO) et consolidation des séries historiques du bulletin</w:t>
      </w:r>
      <w:r>
        <w:rPr>
          <w:rStyle w:val="FootnoteReference"/>
        </w:rPr>
        <w:footnoteReference w:id="48"/>
      </w:r>
      <w:r>
        <w:rPr>
          <w:i/>
          <w:iCs/>
        </w:rPr>
        <w:t xml:space="preserve">.</w:t>
      </w:r>
    </w:p>
    <w:bookmarkEnd w:id="49"/>
    <w:bookmarkStart w:id="60" w:name="X4a9dc27c2bcb00ce2a49728742e4b47b9e11392"/>
    <w:p>
      <w:pPr>
        <w:pStyle w:val="Heading3"/>
      </w:pPr>
      <w:r>
        <w:t xml:space="preserve">Un marché du travail dominé par l'informalité</w:t>
      </w:r>
    </w:p>
    <w:p>
      <w:pPr>
        <w:pStyle w:val="Normal"/>
      </w:pPr>
      <w:r>
        <w:t xml:space="preserve">La population active — c'est-à-dire les personnes de 15 ans et plus qui travaillent ou qui recherchent un emploi — représente environ 70,9 % de la population en âge de travailler en RDC</w:t>
      </w:r>
      <w:r>
        <w:t xml:space="preserve"> </w:t>
      </w:r>
      <w:r>
        <w:rPr>
          <w:i/>
          <w:iCs/>
        </w:rPr>
        <w:t xml:space="preserve">(OIT, ILOSTAT, estimations modélisées, 2023)</w:t>
      </w:r>
      <w:r>
        <w:t xml:space="preserve">. Ce taux d'activité masque cependant une forte disparité entre les sexes : il atteint 78,5 % chez les hommes, contre 63,5 % chez les femmes.</w:t>
      </w:r>
    </w:p>
    <w:p>
      <w:pPr>
        <w:pStyle w:val="Normal"/>
      </w:pPr>
      <w:r>
        <w:t xml:space="preserve">Au sein de cette population active, la structure du marché du travail est marquée par la prédominance de l'emploi informel et de l'agriculture de subsistance. Selon les estimations modélisées de l'OIT (ILOSTAT), environ 59 % de la population active</w:t>
      </w:r>
      <w:r>
        <w:rPr>
          <w:rStyle w:val="FootnoteReference"/>
        </w:rPr>
        <w:footnoteReference w:id="50"/>
      </w:r>
      <w:r>
        <w:t xml:space="preserve"> </w:t>
      </w:r>
      <w:r>
        <w:t xml:space="preserve">travaille dans l'agriculture en 2024, avec une part nettement plus élevée chez les femmes (68 %) que chez les hommes (50 %). Malgré un taux de chômage relativement faible — estimé à 4,4 %</w:t>
      </w:r>
      <w:r>
        <w:rPr>
          <w:rStyle w:val="FootnoteReference"/>
        </w:rPr>
        <w:footnoteReference w:id="51"/>
      </w:r>
      <w:r>
        <w:t xml:space="preserve"> </w:t>
      </w:r>
      <w:r>
        <w:t xml:space="preserve">en 2024</w:t>
      </w:r>
      <w:r>
        <w:t xml:space="preserve"> </w:t>
      </w:r>
      <w:r>
        <w:rPr>
          <w:i/>
          <w:iCs/>
        </w:rPr>
        <w:t xml:space="preserve">(OIT, définition BIT)</w:t>
      </w:r>
      <w:r>
        <w:t xml:space="preserve"> </w:t>
      </w:r>
      <w:r>
        <w:t xml:space="preserve">—, la grande majorité des actifs occupés exercent dans des conditions précaires : le taux d'emploi informel est estimé à environ 96 %</w:t>
      </w:r>
      <w:r>
        <w:rPr>
          <w:rStyle w:val="FootnoteReference"/>
        </w:rPr>
        <w:footnoteReference w:id="52"/>
      </w:r>
      <w:r>
        <w:t xml:space="preserve"> </w:t>
      </w:r>
      <w:r>
        <w:t xml:space="preserve">selon les estimations modélisées de l'OIT</w:t>
      </w:r>
      <w:r>
        <w:t xml:space="preserve"> </w:t>
      </w:r>
      <w:r>
        <w:rPr>
          <w:i/>
          <w:iCs/>
        </w:rPr>
        <w:t xml:space="preserve">(ILOSTAT, données 2020)</w:t>
      </w:r>
      <w:r>
        <w:t xml:space="preserve">, avec une légère prépondérance chez les femmes (97,8 %</w:t>
      </w:r>
      <w:r>
        <w:rPr>
          <w:rStyle w:val="FootnoteReference"/>
        </w:rPr>
        <w:footnoteReference w:id="53"/>
      </w:r>
      <w:r>
        <w:t xml:space="preserve">) par rapport aux hommes (95,7 %</w:t>
      </w:r>
      <w:r>
        <w:rPr>
          <w:rStyle w:val="FootnoteReference"/>
        </w:rPr>
        <w:footnoteReference w:id="54"/>
      </w:r>
      <w:r>
        <w:t xml:space="preserve">).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pPr>
        <w:pStyle w:val="GraphicTitle"/>
      </w:pPr>
      <w:r>
        <w:rPr>
          <w:b/>
          <w:bCs/>
        </w:rPr>
        <w:t xml:space="preserve">Figure 5</w:t>
      </w:r>
      <w:r>
        <w:t xml:space="preserve"> </w:t>
      </w:r>
      <w:r>
        <w:t xml:space="preserve">— Marché du travail en RDC : taux d'activité et emploi informel par sexe</w:t>
      </w:r>
    </w:p>
    <w:p>
      <w:pPr>
        <w:pStyle w:val="Normal"/>
      </w:pPr>
      <w:r>
        <w:drawing>
          <wp:inline>
            <wp:extent cx="5753100" cy="2473913"/>
            <wp:effectExtent b="0" l="0" r="0" t="0"/>
            <wp:docPr descr="Marché du travail en RDC : taux d'activité (15+) et emploi informel par sexe" title="" id="56" name="Picture"/>
            <a:graphic>
              <a:graphicData uri="http://schemas.openxmlformats.org/drawingml/2006/picture">
                <pic:pic>
                  <pic:nvPicPr>
                    <pic:cNvPr descr="C:/Users/M.Diouf/OneDrive/Bureau/RDC%20Bulletin%20V1/Bulletin_rdc_2026_agents/08_figures/exports/FIG_5_emploi_informel_par_sexe.png" id="57" name="Picture"/>
                    <pic:cNvPicPr>
                      <a:picLocks noChangeArrowheads="1" noChangeAspect="1"/>
                    </pic:cNvPicPr>
                  </pic:nvPicPr>
                  <pic:blipFill>
                    <a:blip r:embed="rId55"/>
                    <a:stretch>
                      <a:fillRect/>
                    </a:stretch>
                  </pic:blipFill>
                  <pic:spPr bwMode="auto">
                    <a:xfrm>
                      <a:off x="0" y="0"/>
                      <a:ext cx="5753100" cy="2473913"/>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(ILOEST). Taux d'activité (15+) : indicateur EAP_DWAP_SEX_AGE_RT_A, 2023.</w:t>
      </w:r>
      <w:r>
        <w:rPr>
          <w:rStyle w:val="FootnoteReference"/>
        </w:rPr>
        <w:footnoteReference w:id="58"/>
      </w:r>
      <w:r>
        <w:rPr>
          <w:i/>
          <w:iCs/>
        </w:rPr>
        <w:t xml:space="preserve"> </w:t>
      </w:r>
      <w:r>
        <w:rPr>
          <w:i/>
          <w:iCs/>
        </w:rPr>
        <w:t xml:space="preserve">Emploi informel : indicateur INF_2INF_NOC_RT_A, 2020.</w:t>
      </w:r>
      <w:r>
        <w:rPr>
          <w:rStyle w:val="FootnoteReference"/>
        </w:rPr>
        <w:footnoteReference w:id="59"/>
      </w:r>
    </w:p>
    <w:bookmarkEnd w:id="60"/>
    <w:bookmarkStart w:id="65"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2" name="Picture"/>
            <a:graphic>
              <a:graphicData uri="http://schemas.openxmlformats.org/drawingml/2006/picture">
                <pic:pic>
                  <pic:nvPicPr>
                    <pic:cNvPr descr="C:/Users/M.Diouf/OneDrive/Bureau/RDC%20Bulletin%20V1/Bulletin_rdc_2026_agents/08_figures/exports/FIG_6_structure_emploi_secteurs.png" id="63" name="Picture"/>
                    <pic:cNvPicPr>
                      <a:picLocks noChangeArrowheads="1" noChangeAspect="1"/>
                    </pic:cNvPicPr>
                  </pic:nvPicPr>
                  <pic:blipFill>
                    <a:blip r:embed="rId61"/>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OIT, ILOSTAT (estimations modélisées ILOEST, 2024). Industrie et services : parts résiduelles estimées.</w:t>
      </w:r>
      <w:r>
        <w:rPr>
          <w:rStyle w:val="FootnoteReference"/>
        </w:rPr>
        <w:footnoteReference w:id="64"/>
      </w:r>
    </w:p>
    <w:bookmarkEnd w:id="65"/>
    <w:bookmarkStart w:id="66"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Ces constats, croisés avec les données démographiques de la section précédente, éclairent les orientations stratégiques que la RDC s'est données pour répondre à ces défis, présentées dans la section suivante.</w:t>
      </w:r>
    </w:p>
    <w:bookmarkEnd w:id="66"/>
    <w:bookmarkEnd w:id="67"/>
    <w:bookmarkStart w:id="76" w:name="X9525585a82bf70263e12a782584206f6e266557"/>
    <w:p>
      <w:pPr>
        <w:pStyle w:val="Heading2"/>
      </w:pPr>
      <w:r>
        <w:t xml:space="preserve">1.3 Protection sociale, stratégie nationale et besoin de données statistiques</w:t>
      </w:r>
    </w:p>
    <w:bookmarkStart w:id="71"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68"/>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69"/>
      </w:r>
      <w:r>
        <w:t xml:space="preserve"> </w:t>
      </w:r>
      <w:r>
        <w:t xml:space="preserve">bénéficient d'au moins une prestation de protection sociale, et ce taux tombe à 19,1 % en Afrique</w:t>
      </w:r>
      <w:r>
        <w:rPr>
          <w:rStyle w:val="FootnoteReference"/>
        </w:rPr>
        <w:footnoteReference w:id="70"/>
      </w:r>
      <w:r>
        <w:t xml:space="preserve"> </w:t>
      </w:r>
      <w:r>
        <w:rPr>
          <w:i/>
          <w:iCs/>
        </w:rPr>
        <w:t xml:space="preserve">(BIT, 2024)</w:t>
      </w:r>
      <w:r>
        <w:t xml:space="preserve">, soulignant l'ampleur des défis communs à la RDC et à son environnement régional.</w:t>
      </w:r>
    </w:p>
    <w:bookmarkEnd w:id="71"/>
    <w:bookmarkStart w:id="73"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2"/>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3"/>
    <w:bookmarkStart w:id="74"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4"/>
    <w:bookmarkStart w:id="75"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2019–2025 et s'appuie sur les données transmises par les institutions nationales, les publications des organisations internationales et les registres administratifs disponibles. Le chapitre 2 présente le cadre conceptuel et les choix méthodologiques qui fondent cette démarche.</w:t>
      </w:r>
    </w:p>
    <w:bookmarkEnd w:id="75"/>
    <w:bookmarkEnd w:id="76"/>
    <w:bookmarkEnd w:id="77"/>
    <w:bookmarkStart w:id="93" w:name="X101ffbd1ca7686cb5d65df408d79fa3b64745ae"/>
    <w:p>
      <w:pPr>
        <w:pStyle w:val="Heading1"/>
      </w:pPr>
      <w:r>
        <w:t xml:space="preserve">Chapitre 2 — Cadre conceptuel et périmètre statistique</w:t>
      </w:r>
    </w:p>
    <w:bookmarkStart w:id="84" w:name="Xb5de44341d3431b4058dcfcfb2191280a9838ee"/>
    <w:p>
      <w:pPr>
        <w:pStyle w:val="Heading2"/>
      </w:pPr>
      <w:r>
        <w:t xml:space="preserve">2.1 Définitions et approches de la protection sociale</w:t>
      </w:r>
    </w:p>
    <w:bookmarkStart w:id="80"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78"/>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79"/>
      </w:r>
    </w:p>
    <w:bookmarkEnd w:id="80"/>
    <w:bookmarkStart w:id="83"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81"/>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2"/>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3"/>
    <w:bookmarkEnd w:id="84"/>
    <w:bookmarkStart w:id="90" w:name="X1ab6219a882291178bcfc20cbc2711226a7d9c6"/>
    <w:p>
      <w:pPr>
        <w:pStyle w:val="Heading2"/>
      </w:pPr>
      <w:r>
        <w:t xml:space="preserve">2.2 Approche retenue pour le bulletin : cadre BIT/OIT et indicateurs de couverture effective</w:t>
      </w:r>
    </w:p>
    <w:bookmarkStart w:id="88"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5"/>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86"/>
      </w:r>
      <w:r>
        <w:t xml:space="preserve"> </w:t>
      </w:r>
      <w:r>
        <w:t xml:space="preserve">et indicateur ODD 1.3.1, dont la méthodologie est harmonisée par le BIT</w:t>
      </w:r>
      <w:r>
        <w:rPr>
          <w:rStyle w:val="FootnoteReference"/>
        </w:rPr>
        <w:footnoteReference w:id="87"/>
      </w:r>
      <w:r>
        <w:t xml:space="preserve">.</w:t>
      </w:r>
    </w:p>
    <w:bookmarkEnd w:id="88"/>
    <w:bookmarkStart w:id="89"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89"/>
    <w:bookmarkEnd w:id="90"/>
    <w:bookmarkStart w:id="91"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91"/>
    <w:bookmarkStart w:id="92"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 n'est pas systématiquement disponible et est indiquée au cas par cas.</w:t>
      </w:r>
    </w:p>
    <w:p>
      <w:pPr>
        <w:pStyle w:val="Normal"/>
      </w:pPr>
      <w:r>
        <w:rPr>
          <w:i/>
          <w:iCs/>
        </w:rPr>
        <w:t xml:space="preserve">→ Les définitions opérationnelles complètes figurent dans le Glossaire.</w:t>
      </w:r>
    </w:p>
    <w:bookmarkEnd w:id="92"/>
    <w:bookmarkEnd w:id="93"/>
    <w:bookmarkStart w:id="144" w:name="X5f1b84ce5a1e87a4731e51491ddbc71a2f4a872"/>
    <w:p>
      <w:pPr>
        <w:pStyle w:val="Heading1"/>
      </w:pPr>
      <w:r>
        <w:t xml:space="preserve">Chapitre 3 — Cartographie institutionnelle de la protection sociale en RDC</w:t>
      </w:r>
    </w:p>
    <w:bookmarkStart w:id="143" w:name="X27535e0f9de3278860b155ee257df3da6e7665e"/>
    <w:p>
      <w:pPr>
        <w:pStyle w:val="Heading2"/>
      </w:pPr>
      <w:r>
        <w:t xml:space="preserve">3.1 Panorama des régimes et programmes de protection sociale en RDC</w:t>
      </w:r>
    </w:p>
    <w:bookmarkStart w:id="94"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cinq grandes catégories :</w:t>
      </w:r>
    </w:p>
    <w:p>
      <w:pPr>
        <w:pStyle w:val="Normal"/>
      </w:pPr>
      <w:r>
        <w:t xml:space="preserve">1) la sécurité sociale contributive obligatoire, hors santé, qui couvre les travailleurs du secteur privé formel via la CNSS et les agents publics affiliés à la CNSSAP (Tableau 2.1) ;</w:t>
      </w:r>
    </w:p>
    <w:p>
      <w:pPr>
        <w:pStyle w:val="Normal"/>
      </w:pPr>
      <w:r>
        <w:t xml:space="preserve">2) les dispositifs statutaires, hors santé, financés directement par le budget de l'État, qui regroupent les régimes spéciaux formellement constitués et la protection des agents publics qui ne sont pas encore transférés formellement à la CNSSAP (Tableau 2.2) ;</w:t>
      </w:r>
    </w:p>
    <w:p>
      <w:pPr>
        <w:pStyle w:val="Normal"/>
      </w:pPr>
      <w:r>
        <w:t xml:space="preserve">3) la protection de la santé, organisée par segment de population (Tableau 2.3) ;</w:t>
      </w:r>
    </w:p>
    <w:p>
      <w:pPr>
        <w:pStyle w:val="Normal"/>
      </w:pPr>
      <w:r>
        <w:t xml:space="preserve">4) les programmes d'assistance sociale et initiatives non contributives destinés aux populations non couvertes par les régimes formels (Tableau 2.4) ;</w:t>
      </w:r>
    </w:p>
    <w:p>
      <w:pPr>
        <w:pStyle w:val="Normal"/>
      </w:pPr>
      <w:r>
        <w:t xml:space="preserve">5)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bookmarkEnd w:id="94"/>
    <w:bookmarkStart w:id="107" w:name="X1ea68c0310a40f1004d9c8186b3446e6ec3ebe4"/>
    <w:p>
      <w:pPr>
        <w:pStyle w:val="Heading3"/>
      </w:pPr>
      <w:r>
        <w:t xml:space="preserve">1) Sécurité sociale contributive obligatoire hors santé</w:t>
      </w:r>
    </w:p>
    <w:p>
      <w:pPr>
        <w:pStyle w:val="Normal"/>
      </w:pPr>
      <w:r>
        <w:t xml:space="preserve">Les neuf branches de la Convention no 102 de l'OIT</w:t>
      </w:r>
      <w:r>
        <w:rPr>
          <w:rStyle w:val="FootnoteReference"/>
        </w:rPr>
        <w:footnoteReference w:id="95"/>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96"/>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97"/>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98"/>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99"/>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100"/>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101"/>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2"/>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3"/>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4"/>
      </w:r>
      <w:r>
        <w:t xml:space="preserve"> </w:t>
      </w:r>
      <w:r>
        <w:t xml:space="preserve">· CNSSAP (cnssap.cd, 2026)</w:t>
      </w:r>
      <w:r>
        <w:rPr>
          <w:rStyle w:val="FootnoteReference"/>
        </w:rPr>
        <w:footnoteReference w:id="105"/>
      </w:r>
      <w:r>
        <w:t xml:space="preserve"> </w:t>
      </w:r>
      <w:r>
        <w:t xml:space="preserve">· Premier bulletin RDC (2023)</w:t>
      </w:r>
      <w:r>
        <w:rPr>
          <w:rStyle w:val="FootnoteReference"/>
        </w:rPr>
        <w:footnoteReference w:id="106"/>
      </w:r>
    </w:p>
    <w:bookmarkEnd w:id="107"/>
    <w:bookmarkStart w:id="109" w:name="X64d90d98b3c06ea660749b6ec78b01bcb51019f"/>
    <w:p>
      <w:pPr>
        <w:pStyle w:val="Heading3"/>
      </w:pPr>
      <w:r>
        <w:t xml:space="preserve">2) Dispositifs statutaires financés directement par le budget de l'État</w:t>
      </w:r>
    </w:p>
    <w:p>
      <w:pPr>
        <w:pStyle w:val="Normal"/>
      </w:pPr>
      <w:r>
        <w:t xml:space="preserve">Au-delà de la sécurité sociale contributive gérée par la CNSS et la CNSSAP, le paysage institutionnel de la protection sociale en RDC comprend un ensemble de</w:t>
      </w:r>
      <w:r>
        <w:t xml:space="preserve"> </w:t>
      </w:r>
      <w:r>
        <w:rPr>
          <w:b/>
          <w:bCs/>
        </w:rPr>
        <w:t xml:space="preserve">dispositifs statutaires dont les prestations sont financées directement par le budget de l'État</w:t>
      </w:r>
      <w:r>
        <w:t xml:space="preserve">. Ces dispositifs se subdivisent en deux catégories distinctes, qu'il convient de ne pas confondre sur le plan institutionnel.</w:t>
      </w:r>
    </w:p>
    <w:p>
      <w:pPr>
        <w:pStyle w:val="Normal"/>
      </w:pPr>
      <w:r>
        <w:t xml:space="preserve">La première catégorie regroupe les</w:t>
      </w:r>
      <w:r>
        <w:t xml:space="preserve"> </w:t>
      </w:r>
      <w:r>
        <w:rPr>
          <w:b/>
          <w:bCs/>
        </w:rPr>
        <w:t xml:space="preserve">régimes spéciaux</w:t>
      </w:r>
      <w:r>
        <w:t xml:space="preserve"> </w:t>
      </w:r>
      <w:r>
        <w:t xml:space="preserve">au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pPr>
        <w:pStyle w:val="Normal"/>
      </w:pPr>
      <w:r>
        <w:t xml:space="preserve">La seconde catégorie recouvre les</w:t>
      </w:r>
      <w:r>
        <w:t xml:space="preserve"> </w:t>
      </w:r>
      <w:r>
        <w:rPr>
          <w:b/>
          <w:bCs/>
        </w:rPr>
        <w:t xml:space="preserve">agents publics hors CNSSAP dont la protection est encore effectivement assurée par un dispositif statutaire financé directement par le budget de l'État</w:t>
      </w:r>
      <w:r>
        <w:t xml:space="preserve">.</w:t>
      </w:r>
    </w:p>
    <w:p>
      <w:pPr>
        <w:pStyle w:val="Normal"/>
      </w:pPr>
      <w:r>
        <w:t xml:space="preserve">Historiquement, la protection sociale des agents de l'État était assurée par un système de régimes dit « octroyés » : un ensemble de prestations (sous condition d'éligibilité) était garanti aux agents de l'État et directement financé par le budget national, sans recourir à un mécanisme assuranciel. Un programme de transfèrement de ces effectifs sous la responsabilité de la CNSSAP est en cours depuis 2022. Ce mécanisme est désigné comme la réforme de transfèrement.</w:t>
      </w:r>
    </w:p>
    <w:p>
      <w:pPr>
        <w:pStyle w:val="Normal"/>
      </w:pPr>
      <w:r>
        <w:t xml:space="preserve">Cependant, la fourniture de protection sociale par un système non contributif et non assuranciel persiste sous deux formes : d'une part les régimes spéciaux (tel que les régimes des magistrats civils, régimes des parlementaires, etc.) et d'autre part par le personnel non encore effectivement transféré à la CNSSAP.</w:t>
      </w:r>
    </w:p>
    <w:p>
      <w:pPr>
        <w:pStyle w:val="Normal"/>
      </w:pPr>
      <w:r>
        <w:t xml:space="preserve">La mécanisation est entendue comme l'intégration administrative et salariale dans le système de paie de l'État. Elle facilite la retenue régulière des cotisations et le passage à une couverture contributive effective par la CNSSAP. Toutefois, l'absence de mécanisation totale des agent publics de l'état implique qu'une partie des travailleurs ne sont ni couvert par le système contributif de la CNSSAP, ni par un régime spécial ou octroyé.</w:t>
      </w:r>
    </w:p>
    <w:p>
      <w:pPr>
        <w:pStyle w:val="Normal"/>
      </w:pPr>
      <w:r>
        <w:t xml:space="preserve">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pPr>
        <w:pStyle w:val="TableTitle"/>
      </w:pPr>
      <w:r>
        <w:rPr>
          <w:b/>
          <w:bCs/>
        </w:rPr>
        <w:t xml:space="preserve">Tableau 2.2</w:t>
      </w:r>
      <w:r>
        <w:t xml:space="preserve"> </w:t>
      </w:r>
      <w:r>
        <w:t xml:space="preserve">— Dispositifs statutaires financés directement par le budget de l'État</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couvertes ou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(FARDC,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(FARDC), Police nationale congolaise (PNC)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professionnelles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hors CNSSAP dont la prise en charge budgétaire est effectivement documentée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 (Trésor public)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droits et branches à documenter</w:t>
            </w:r>
          </w:p>
        </w:tc>
      </w:tr>
    </w:tbl>
    <w:p>
      <w:pPr>
        <w:pStyle w:val="TableNoteSource"/>
      </w:pPr>
      <w:r>
        <w:t xml:space="preserve">Légende :</w:t>
      </w:r>
      <w:r>
        <w:t xml:space="preserve"> </w:t>
      </w:r>
      <w:r>
        <w:t xml:space="preserve">✓</w:t>
      </w:r>
      <w:r>
        <w:t xml:space="preserve"> </w:t>
      </w:r>
      <w:r>
        <w:t xml:space="preserve">= branche couverte de façon effective selon le premier bulletin (2023) ; [N/D] = données non disponibles à la date de rédaction.</w:t>
      </w:r>
      <w:r>
        <w:br/>
      </w:r>
      <w:r>
        <w:t xml:space="preserve">Note : les branches couvertes par les régimes spéciaux sont identifiées sur la base du premier bulletin (2023). La collecte des données effectives fera l'objet de démarches spécifiques dans le cadre du présent bulletin. La « Protection budgétaire hors régime spécial » n'est pas une institution : le code technique « TRESOR » employé dans la base désigne la part estimée des agents publics hors CNSSAP. Le bulletin formule l'hypothèse que cette population relève d'un dispositif non contributif financé par allocation budgétaire. Les effectifs correspondants sont des estimations de personnes potentiellement couvertes, et non des cotisants ni une mesure directe de la couverture effective.</w:t>
      </w:r>
      <w:r>
        <w:br/>
      </w:r>
      <w:r>
        <w:t xml:space="preserve">Source : Premier bulletin RDC (2023)</w:t>
      </w:r>
      <w:r>
        <w:rPr>
          <w:rStyle w:val="FootnoteReference"/>
        </w:rPr>
        <w:footnoteReference w:id="108"/>
      </w:r>
    </w:p>
    <w:bookmarkEnd w:id="109"/>
    <w:bookmarkStart w:id="119" w:name="protection-de-la-sante-non-valide"/>
    <w:p>
      <w:pPr>
        <w:pStyle w:val="Heading3"/>
      </w:pPr>
      <w:r>
        <w:t xml:space="preserve">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10"/>
            </w:r>
            <w:r>
              <w:t xml:space="preserve"> </w:t>
            </w:r>
            <w:r>
              <w:t xml:space="preserve">[1]</w:t>
            </w:r>
            <w:r>
              <w:rPr>
                <w:rStyle w:val="FootnoteReference"/>
              </w:rPr>
              <w:footnoteReference w:id="11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16"/>
      </w:r>
      <w:r>
        <w:t xml:space="preserve"> </w:t>
      </w:r>
      <w:r>
        <w:t xml:space="preserve">· Premier bulletin RDC (2023), tableau 9</w:t>
      </w:r>
      <w:r>
        <w:rPr>
          <w:rStyle w:val="FootnoteReference"/>
        </w:rPr>
        <w:footnoteReference w:id="117"/>
      </w:r>
      <w:r>
        <w:t xml:space="preserve"> </w:t>
      </w:r>
      <w:r>
        <w:t xml:space="preserve">· Loi n°18/035 (2018) / Décret n°22/13 (2022)</w:t>
      </w:r>
      <w:r>
        <w:rPr>
          <w:rStyle w:val="FootnoteReference"/>
        </w:rPr>
        <w:footnoteReference w:id="118"/>
      </w:r>
      <w:r>
        <w:br/>
      </w:r>
      <w:r>
        <w:t xml:space="preserve">Note : Les mutuelles volontaires ne sont pas incluses dans les indicateurs de couverture du présent bulletin, conformément aux critères définis en section 2.3.</w:t>
      </w:r>
    </w:p>
    <w:bookmarkEnd w:id="119"/>
    <w:bookmarkStart w:id="132" w:name="Xaba88f253074b18ed779c93f80f71a3cba53fb6"/>
    <w:p>
      <w:pPr>
        <w:pStyle w:val="Heading3"/>
      </w:pPr>
      <w:r>
        <w:t xml:space="preserve">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20"/>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21"/>
      </w:r>
    </w:p>
    <w:p>
      <w:pPr>
        <w:pStyle w:val="Normal"/>
      </w:pPr>
      <w:r>
        <w:t xml:space="preserve">Ces programmes se distinguent des régimes précédents par trois caractéristiques structurelles : ils sont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Décision a été cependant prise d’intégrer le programme des cantines scolaires du PAM dans la protection sociale des enfants.</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2"/>
            </w:r>
            <w:r>
              <w:br/>
            </w:r>
            <w:r>
              <w:rPr>
                <w:i/>
                <w:iCs/>
              </w:rPr>
              <w:t xml:space="preserve">Début : continu (2000s) — Actif au 31.12.2025</w:t>
            </w:r>
            <w:r>
              <w:t xml:space="preserve"> </w:t>
            </w:r>
            <w:r>
              <w:t xml:space="preserve">[1]</w:t>
            </w:r>
            <w:r>
              <w:rPr>
                <w:rStyle w:val="FootnoteReference"/>
              </w:rPr>
              <w:footnoteReference w:id="12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4"/>
            </w:r>
            <w:r>
              <w:br/>
            </w:r>
            <w:r>
              <w:rPr>
                <w:i/>
                <w:iCs/>
              </w:rPr>
              <w:t xml:space="preserve">Début : 2023 (pilote) — Statut 2025 : en cours (données non consolidées)</w:t>
            </w:r>
            <w:r>
              <w:t xml:space="preserve"> </w:t>
            </w:r>
            <w:r>
              <w:t xml:space="preserve">[1]</w:t>
            </w:r>
            <w:r>
              <w:rPr>
                <w:rStyle w:val="FootnoteReference"/>
              </w:rPr>
              <w:footnoteReference w:id="12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26"/>
            </w:r>
            <w:r>
              <w:br/>
            </w:r>
            <w:r>
              <w:rPr>
                <w:i/>
                <w:iCs/>
              </w:rPr>
              <w:t xml:space="preserve">Début : 2021 (données disponibles) — Actif (intermittent) au 31.12.2025</w:t>
            </w:r>
            <w:r>
              <w:t xml:space="preserve"> </w:t>
            </w:r>
            <w:r>
              <w:t xml:space="preserve">[2]</w:t>
            </w:r>
            <w:r>
              <w:rPr>
                <w:rStyle w:val="FootnoteReference"/>
              </w:rPr>
              <w:footnoteReference w:id="1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28"/>
      </w:r>
      <w:r>
        <w:t xml:space="preserve"> </w:t>
      </w:r>
      <w:r>
        <w:t xml:space="preserve">· PAM (wfp.org, 2026)</w:t>
      </w:r>
      <w:r>
        <w:rPr>
          <w:rStyle w:val="FootnoteReference"/>
        </w:rPr>
        <w:footnoteReference w:id="129"/>
      </w:r>
      <w:r>
        <w:t xml:space="preserve"> </w:t>
      </w:r>
      <w:r>
        <w:t xml:space="preserve">· UNICEF RDC (2021–2025)</w:t>
      </w:r>
      <w:r>
        <w:rPr>
          <w:rStyle w:val="FootnoteReference"/>
        </w:rPr>
        <w:footnoteReference w:id="130"/>
      </w:r>
      <w:r>
        <w:t xml:space="preserve"> </w:t>
      </w:r>
      <w:r>
        <w:t xml:space="preserve">· R202 (OIT, 2012)</w:t>
      </w:r>
      <w:r>
        <w:rPr>
          <w:rStyle w:val="FootnoteReference"/>
        </w:rPr>
        <w:footnoteReference w:id="131"/>
      </w:r>
      <w:r>
        <w:br/>
      </w:r>
      <w:r>
        <w:rPr>
          <w:i/>
          <w:iCs/>
        </w:rPr>
        <w:t xml:space="preserve">La liste est indicative et non exhaustive. Une cartographie complète des initiatives actives en 2025 dépasse le périmètre du présent chapitre.</w:t>
      </w:r>
    </w:p>
    <w:bookmarkEnd w:id="132"/>
    <w:bookmarkStart w:id="142" w:name="X54050956f8d7348d1ef7368b9706f9b1ebc5d30"/>
    <w:p>
      <w:pPr>
        <w:pStyle w:val="Heading3"/>
      </w:pPr>
      <w:r>
        <w:t xml:space="preserve">Politiques sectorielles à dimension protectrice</w:t>
      </w:r>
    </w:p>
    <w:p>
      <w:pPr>
        <w:pStyle w:val="Normal"/>
      </w:pPr>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w:t>
      </w:r>
      <w:r>
        <w:t xml:space="preserve"> </w:t>
      </w:r>
      <w:r>
        <w:rPr>
          <w:b/>
          <w:bCs/>
        </w:rPr>
        <w:t xml:space="preserve">politiques sectorielles à dimension protectrice</w:t>
      </w:r>
      <w:r>
        <w:t xml:space="preserve"> </w:t>
      </w:r>
      <w:r>
        <w:t xml:space="preserve">: politiques de gratuité d'accès à un service public, soins préventifs à portée universelle, et programmes d'activation par l'emploi.</w:t>
      </w:r>
    </w:p>
    <w:p>
      <w:pPr>
        <w:pStyle w:val="Normal"/>
      </w:pPr>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pPr>
        <w:pStyle w:val="TableTitle"/>
      </w:pPr>
      <w:r>
        <w:rPr>
          <w:b/>
          <w:bCs/>
        </w:rPr>
        <w:t xml:space="preserve">Tableau 2.5</w:t>
      </w:r>
      <w:r>
        <w:t xml:space="preserve"> </w:t>
      </w:r>
      <w:r>
        <w:t xml:space="preserve">— Politiques sectorielles à dimension protectrice — mention contextuelle (Niveau 3)</w:t>
      </w:r>
    </w:p>
    <w:tbl>
      <w:tblPr>
        <w:tblStyle w:val="ILO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Nature de l'effet protecteur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visée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33"/>
            </w:r>
            <w:r>
              <w:br/>
            </w:r>
            <w:r>
              <w:rPr>
                <w:i/>
                <w:iCs/>
              </w:rPr>
              <w:t xml:space="preserve">Depuis rentrée sept.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de scolarité — réduction de la vulnérabilité éducative des ménages pauvres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l'accouchement en formations sanitaires publiques</w:t>
            </w:r>
            <w:r>
              <w:rPr>
                <w:rStyle w:val="FootnoteReference"/>
              </w:rPr>
              <w:footnoteReference w:id="134"/>
            </w:r>
            <w:r>
              <w:br/>
            </w:r>
            <w:r>
              <w:rPr>
                <w:i/>
                <w:iCs/>
              </w:rPr>
              <w:t xml:space="preserve">Cadre légal antérieur à 2019 — dispositif distinct du FSS Kobota Ofele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d'accouchement — réduction de la mortalité maternelle et du risque financier lié à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enceintes (formations sanitaires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 (application variable)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Partiellement 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préventifs et vaccination (programmes MSPHPS)</w:t>
            </w:r>
            <w:r>
              <w:rPr>
                <w:rStyle w:val="FootnoteReference"/>
              </w:rPr>
              <w:footnoteReference w:id="135"/>
            </w:r>
            <w:r>
              <w:br/>
            </w:r>
            <w:r>
              <w:rPr>
                <w:i/>
                <w:iCs/>
              </w:rPr>
              <w:t xml:space="preserve">Vaccinations, moustiquaires, kits médicaux, dépistage VIH/TB — continu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Prévention des risques sanitaires — réduction de la vulnérabilité morbide des populations non couvertes par une assurance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de moins de 5 ans, PVVIH,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 + partenaires (OMS, UNICEF, GAVI)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(données non consolidées)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de travaux à Haute Intensité de Main d'Œuvre (HIMO / THIMO)</w:t>
            </w:r>
            <w:r>
              <w:rPr>
                <w:rStyle w:val="FootnoteReference"/>
              </w:rPr>
              <w:footnoteReference w:id="136"/>
            </w:r>
            <w:r>
              <w:br/>
            </w:r>
            <w:r>
              <w:rPr>
                <w:i/>
                <w:iCs/>
              </w:rPr>
              <w:t xml:space="preserve">Référence principale : composante THIMO du projet STEP — clôturé fév. 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Création temporaire d'emplois et de revenus — activation économique des ménages vulnérables en zone de conflit ou post-conflit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Communautés vulnérables accueillant des personnes déplacées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Social de la RDC + bailleurs (BM / IDA)</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(provinces de l'Est)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Clôturé (STEP fév. 2024) — successeurs non documentés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Centres de promotion sociale et d'apprentissage professionnel (MINAS)</w:t>
            </w:r>
            <w:r>
              <w:rPr>
                <w:rStyle w:val="FootnoteReference"/>
              </w:rPr>
              <w:footnoteReference w:id="137"/>
            </w:r>
            <w:r>
              <w:br/>
            </w:r>
            <w:r>
              <w:rPr>
                <w:i/>
                <w:iCs/>
              </w:rPr>
              <w:t xml:space="preserve">Continu — cadre légal : Décret n°05/176 du 24 nov. 2005 (PNPS)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Insertion sociale et professionnelle — réduction de la vulnérabilité des jeunes, personnes handicapées et groupes en situation précaire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Jeunes 9–24 ans ; personnes vivant avec un handicap ; groupes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MINAS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pPr>
        <w:pStyle w:val="TableNoteSource"/>
      </w:pPr>
      <w:r>
        <w:t xml:space="preserve">Sources : Premier bulletin RDC (2023), tableaux 10–12</w:t>
      </w:r>
      <w:r>
        <w:rPr>
          <w:rStyle w:val="FootnoteReference"/>
        </w:rPr>
        <w:footnoteReference w:id="138"/>
      </w:r>
      <w:r>
        <w:t xml:space="preserve"> </w:t>
      </w:r>
      <w:r>
        <w:t xml:space="preserve">· Programmes gouvernementaux RDC (compilation, juin 2026)</w:t>
      </w:r>
      <w:r>
        <w:rPr>
          <w:rStyle w:val="FootnoteReference"/>
        </w:rPr>
        <w:footnoteReference w:id="139"/>
      </w:r>
      <w:r>
        <w:t xml:space="preserve"> </w:t>
      </w:r>
      <w:r>
        <w:t xml:space="preserve">· SNPS (Gouvernement RDC, 2016)</w:t>
      </w:r>
      <w:r>
        <w:rPr>
          <w:rStyle w:val="FootnoteReference"/>
        </w:rPr>
        <w:footnoteReference w:id="140"/>
      </w:r>
      <w:r>
        <w:t xml:space="preserve"> </w:t>
      </w:r>
      <w:r>
        <w:t xml:space="preserve">· Annexe A.1 du présent bulletin (cadre méthodologique, Niveau 3)</w:t>
      </w:r>
      <w:r>
        <w:rPr>
          <w:rStyle w:val="FootnoteReference"/>
        </w:rPr>
        <w:footnoteReference w:id="141"/>
      </w:r>
    </w:p>
    <w:bookmarkEnd w:id="142"/>
    <w:bookmarkEnd w:id="143"/>
    <w:bookmarkEnd w:id="144"/>
    <w:bookmarkStart w:id="199" w:name="X994a9a602a833b2977f51bdcbbad21ea488e206"/>
    <w:p>
      <w:pPr>
        <w:pStyle w:val="Heading1"/>
      </w:pPr>
      <w:r>
        <w:t xml:space="preserve">Chapitre 4 — Couverture effective et prestations</w:t>
      </w:r>
    </w:p>
    <w:bookmarkStart w:id="150" w:name="Xab89a7b5115dfcc445fe4e333560ece931f48a3"/>
    <w:p>
      <w:pPr>
        <w:pStyle w:val="Heading2"/>
      </w:pPr>
      <w:r>
        <w:t xml:space="preserve">4.2 — Protection dans la vieillesse</w:t>
      </w:r>
    </w:p>
    <w:p>
      <w:pPr>
        <w:pStyle w:val="Normal"/>
      </w:pPr>
      <w:r>
        <w:t xml:space="preserve">Cette section documente la protection effective dans la vieillesse à partir des bénéficiaires de pensions observés entre 2019 et 2025. Les résultats sont présentés séparément par institution et par modalité de financement afin de ne pas confondre régimes contributifs, régimes spéciaux et pensions directement financées par le budget de l'État.</w:t>
      </w:r>
    </w:p>
    <w:bookmarkStart w:id="146" w:name="X5142d79ada3de8217c6c24f2e0277835d03e657"/>
    <w:p>
      <w:pPr>
        <w:pStyle w:val="Heading3"/>
      </w:pPr>
      <w:r>
        <w:t xml:space="preserve">Bénéficiaires de pensions de vieillesse</w:t>
      </w:r>
    </w:p>
    <w:p>
      <w:pPr>
        <w:pStyle w:val="Normal"/>
      </w:pPr>
      <w:r>
        <w:t xml:space="preserve">L'étendue de la protection contre le risque de vieillesse est estimée à partir du nombre de bénéficiaires de pensions de vieillesse. Les pensions de vieillesse sont délivrées par la CNSS, la CNSSAP, les régimes spéciaux et les régimes octroyés.</w:t>
      </w:r>
    </w:p>
    <w:p>
      <w:pPr>
        <w:pStyle w:val="Normal"/>
      </w:pPr>
      <w:r>
        <w:t xml:space="preserve">La protection des personnes âgées s'organise selon deux modalités institutionnelles distinctes, qui coexistent sans se confondre : les régimes contributifs statutaires et les régimes dits « octroyés » de l'État.</w:t>
      </w:r>
    </w:p>
    <w:p>
      <w:pPr>
        <w:pStyle w:val="Normal"/>
      </w:pPr>
      <w:r>
        <w:t xml:space="preserve">La première modalité repose sur la constitution de droits à pension par le versement de cotisations pendant la vie active. Elle est assurée, d'une part, par la</w:t>
      </w:r>
      <w:r>
        <w:t xml:space="preserve"> </w:t>
      </w:r>
      <w:r>
        <w:rPr>
          <w:b/>
          <w:bCs/>
        </w:rPr>
        <w:t xml:space="preserve">CNSS</w:t>
      </w:r>
      <w:r>
        <w:t xml:space="preserve"> </w:t>
      </w:r>
      <w:r>
        <w:t xml:space="preserve">pour les travailleurs du secteur privé formel et leurs ayants droit, et, d'autre part, par la</w:t>
      </w:r>
      <w:r>
        <w:t xml:space="preserve"> </w:t>
      </w:r>
      <w:r>
        <w:rPr>
          <w:b/>
          <w:bCs/>
        </w:rPr>
        <w:t xml:space="preserve">CNSSAP</w:t>
      </w:r>
      <w:r>
        <w:t xml:space="preserve"> </w:t>
      </w:r>
      <w:r>
        <w:t xml:space="preserve">pour les agents publics formels de l'État. Deux grandes politiques devraient à terme substantiellement augmenter le nombre de bénéficiaires de pension de vieillesse du volet contributif : la réforme de transfèrement (intégration des agents des régimes octroyés du secteur public vers le régime contributif de la CNSSAP) et la mécanisation (formalisation des travailleurs informels de l'État).</w:t>
      </w:r>
    </w:p>
    <w:p>
      <w:pPr>
        <w:pStyle w:val="Normal"/>
      </w:pPr>
      <w:r>
        <w:t xml:space="preserve">La seconde modalité recouvre la</w:t>
      </w:r>
      <w:r>
        <w:t xml:space="preserve"> </w:t>
      </w:r>
      <w:r>
        <w:rPr>
          <w:b/>
          <w:bCs/>
        </w:rPr>
        <w:t xml:space="preserve">protection vieillesse financée directement par le budget de l'État</w:t>
      </w:r>
      <w:r>
        <w:t xml:space="preserve">, qui se décline en deux sous-catégories : les régimes spéciaux formellement constitués (FARDC, PNC, magistrats civils, parlementaires) dont les pensions sont assurées par allocation budgétaire, et la part du secteur public hors CNSSAP pour laquelle le bulletin retient, à titre d'hypothèse de travail, une prise en charge par un dispositif budgétaire non contributif. Le code « TRESOR » utilisé dans la base désigne ce mécanisme de financement et non une institution. Les effectifs qui lui sont associés sont des estimations de personnes potentiellement couvertes, et non des cotisants ni des bénéficiaires de pension observés.</w:t>
      </w:r>
    </w:p>
    <w:p>
      <w:pPr>
        <w:pStyle w:val="Normal"/>
      </w:pPr>
      <w:r>
        <w:t xml:space="preserve">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pPr>
        <w:pStyle w:val="TableTitle"/>
      </w:pPr>
      <w:r>
        <w:rPr>
          <w:b/>
          <w:bCs/>
        </w:rPr>
        <w:t xml:space="preserve">Tableau 4.1</w:t>
      </w:r>
      <w:r>
        <w:t xml:space="preserve"> </w:t>
      </w:r>
      <w:r>
        <w:t xml:space="preserve">— Bénéficiaires de pensions de vieillesse, par modalité de protection (2019–2025) [src]</w:t>
      </w:r>
      <w:r>
        <w:rPr>
          <w:rStyle w:val="FootnoteReference"/>
        </w:rPr>
        <w:footnoteReference w:id="145"/>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43 601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44 937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10 760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 — anciens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1 241</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 (FARDC, PNC,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directement financées par le budget de l'État (hors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CNSSAP (2020–2024) et SESOPA (2019–2025). Les valeurs SESOPA, identiques sur toute la période, restent à confirmer conformément à DM-020. Autres régimes spéciaux (FARDC, PNC, magistrats)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 ; les valeurs 2023-2024 additionnent le régime de base et la réforme de transfèrement (2023 : 6 238 + 4 522 ; 2024 : 10 485 + 2 510). Ce tableau présente exclusivement des bénéficiaires effectifs (personnes percevant une pension à la date de référence) ; les actifs ne sont pas inclus.</w:t>
      </w:r>
    </w:p>
    <w:p>
      <w:pPr>
        <w:pStyle w:val="Normal"/>
      </w:pPr>
      <w:r>
        <w:t xml:space="preserve">Les données disponibles montrent une progression graduelle du nombre de pensionnés de vieillesse de la CNSS et une augmentation plus marquée à la CNSSAP à partir de 2022. Cette dernière évolution doit être interprétée au regard de l'élargissement du périmètre couvert et de l'addition, en 2023 et 2024, du régime de base et du dispositif de transfèrement. La série SESOPA est présentée séparément et avec réserve, car la répétition des mêmes effectifs sur toute la période ne permet pas d'établir qu'il s'agit d'observations annuelles distinctes.</w:t>
      </w:r>
    </w:p>
    <w:bookmarkEnd w:id="146"/>
    <w:bookmarkStart w:id="149"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 [src]</w:t>
      </w:r>
      <w:r>
        <w:rPr>
          <w:rStyle w:val="FootnoteReference"/>
        </w:rPr>
        <w:footnoteReference w:id="14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SMIG — salaire minimum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183 950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SMIG : Décret fixant le SMIG en RDC ; Ministère de l'Emploi et du Travail ; transmis par l'INS/RDC (canevas de collecte 2026) — fixé à 7 075 CDF/jour depuis 2018, soit 183 950 CDF/mois sur une base conventionnelle de 26 jours ouvrés (montant inchangé jusqu'en 2024). Seuil de pauvreté : INS/RDC, Enquête 1-2-3 (2019-2023) et ECVM 2024</w:t>
      </w:r>
      <w:r>
        <w:rPr>
          <w:rStyle w:val="FootnoteReference"/>
        </w:rPr>
        <w:footnoteReference w:id="148"/>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et note sur la lecture des montants nominaux en contexte d'inflation détaillées en Annexe A.3.</w:t>
      </w:r>
    </w:p>
    <w:p>
      <w:pPr>
        <w:pStyle w:val="Normal"/>
      </w:pPr>
      <w:r>
        <w:t xml:space="preserve">²</w:t>
      </w:r>
      <w:r>
        <w:t xml:space="preserve"> </w:t>
      </w:r>
      <w:r>
        <w:rPr>
          <w:i/>
          <w:iCs/>
        </w:rPr>
        <w:t xml:space="preserve">Le montant unitaire déclaré par la CNSS diminue nominalement entre 2022 (320 000 CDF) et 2023 (230 000 CDF), à rebours de la tendance haussière observée depuis 2019. Cette baisse n'est pas expliquée dans les données disponibles et reste à confirmer auprès de la CNSS avant validation finale du bulletin.</w:t>
      </w:r>
    </w:p>
    <w:bookmarkEnd w:id="149"/>
    <w:bookmarkEnd w:id="150"/>
    <w:bookmarkStart w:id="161" w:name="X0ce4a42c0eb9f4e2ccf6bf2efca2ab92e836687"/>
    <w:p>
      <w:pPr>
        <w:pStyle w:val="Heading2"/>
      </w:pPr>
      <w:r>
        <w:t xml:space="preserve">4.3 — Protection des personnes en âge actif</w:t>
      </w:r>
    </w:p>
    <w:bookmarkStart w:id="154" w:name="X64ee106e6f427560ed191dab3fea82572d5b999"/>
    <w:p>
      <w:pPr>
        <w:pStyle w:val="Heading3"/>
      </w:pPr>
      <w:r>
        <w:t xml:space="preserve">Actifs affiliés à un dispositif statutaire de retraite</w:t>
      </w:r>
    </w:p>
    <w:p>
      <w:pPr>
        <w:pStyle w:val="Normal"/>
      </w:pPr>
      <w:r>
        <w:t xml:space="preserve">La protection sociale des personnes en âge actif est examinée à partir de plusieurs niveaux d'observation : les affiliés enregistrés, les cotisants actifs et les bénéficiaires de prestations de maternité ou d'accidents du travail et maladies professionnelles. Ces catégories ne sont pas interchangeables. Les données disponibles permettent principalement de documenter les cotisants actifs de la CNSS et de la CNSSAP ainsi que les bénéficiaires de certaines prestations servies par la CNSS ; les effectifs d'affiliés enregistrés restent indisponibles dans les ESS mobilisées.</w:t>
      </w:r>
    </w:p>
    <w:p>
      <w:pPr>
        <w:pStyle w:val="Normal"/>
      </w:pPr>
      <w:r>
        <w:t xml:space="preserve">Les régimes contributifs permettant de constituer un droit à la pension de retraite sont la CNSS pour le secteur formel privé et la CNSSAP pour les agents publics relevant de son périmètre.</w:t>
      </w:r>
    </w:p>
    <w:p>
      <w:pPr>
        <w:pStyle w:val="Normal"/>
      </w:pPr>
      <w:r>
        <w:t xml:space="preserve">Pour les corps particuliers relevant de régimes spéciaux ou des régimes octroyés, la protection repose sur un dispositif statutaire budgétaire défini par des lois, décrets ou statuts particuliers. Ces personnes ne sont pas affiliées à la CNSSAP ni à la CNSS ; leur couverture est distincte et financée directement par le budget de l'État.</w:t>
      </w:r>
    </w:p>
    <w:p>
      <w:pPr>
        <w:pStyle w:val="Normal"/>
      </w:pPr>
      <w:r>
        <w:t xml:space="preserve">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Pour la période 2019–2025, la série ILOSTAT retenue ne fournit qu'une observation : 1 622 972 salariés du secteur public en 2020</w:t>
      </w:r>
      <w:r>
        <w:rPr>
          <w:rStyle w:val="FootnoteReference"/>
        </w:rPr>
        <w:footnoteReference w:id="151"/>
      </w:r>
      <w:r>
        <w:t xml:space="preserve">. Cette estimation est présentée comme une population de référence contextuelle et ne doit pas être assimilée aux effectifs administratifs des régimes.</w:t>
      </w:r>
    </w:p>
    <w:p>
      <w:pPr>
        <w:pStyle w:val="TableTitle"/>
      </w:pPr>
      <w:r>
        <w:rPr>
          <w:b/>
          <w:bCs/>
        </w:rPr>
        <w:t xml:space="preserve">Tableau 4.3</w:t>
      </w:r>
      <w:r>
        <w:t xml:space="preserve"> </w:t>
      </w:r>
      <w:r>
        <w:t xml:space="preserve">— Employeurs enregistrés, affiliés enregistrés et cotisants actifs, CNSS et CNSSAP ; personnes couvertes par un dispositif statutaire budgétaire (2019–2025) [src]</w:t>
      </w:r>
      <w:r>
        <w:rPr>
          <w:rStyle w:val="FootnoteReference"/>
        </w:rPr>
        <w:footnoteReference w:id="152"/>
      </w:r>
    </w:p>
    <w:tbl>
      <w:tblPr>
        <w:tblStyle w:val="ILOTable"/>
        <w:tblW w:type="pct" w:w="5000"/>
        <w:tblLook w:firstRow="1" w:lastRow="0" w:firstColumn="0" w:lastColumn="0" w:noHBand="0" w:noVBand="0" w:val="0020"/>
        <w:tblLayout w:type="autofit"/>
      </w:tblPr>
      <w:tblGrid>
        <w:gridCol w:w="792"/>
        <w:gridCol w:w="792"/>
        <w:gridCol w:w="792"/>
        <w:gridCol w:w="792"/>
        <w:gridCol w:w="792"/>
        <w:gridCol w:w="792"/>
        <w:gridCol w:w="792"/>
        <w:gridCol w:w="792"/>
        <w:gridCol w:w="792"/>
        <w:gridCol w:w="792"/>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 / 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ILOSTAT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de référence contextuelle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Salariés du secteur public —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1 622 972</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578 272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800 486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couvertes par 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effectivement couverts, hors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OIT, ILOSTAT (emploi salarié du secteur public, observation 2020) ; ESS OIT — CNSS (2019–2024) et CNSSAP (2020–2024).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 L'écart entre l'emploi public estimé et les affiliés ou cotisants CNSSAP ne constitue pas, à lui seul, une mesure de la couverture budgétaire effective.</w:t>
      </w:r>
    </w:p>
    <w:p>
      <w:pPr>
        <w:pStyle w:val="Normal"/>
      </w:pPr>
      <w:r>
        <w:t xml:space="preserve">²</w:t>
      </w:r>
      <w:r>
        <w:t xml:space="preserve"> </w:t>
      </w:r>
      <w:r>
        <w:rPr>
          <w:i/>
          <w:iCs/>
        </w:rPr>
        <w:t xml:space="preserve">La base institutionnelle enregistre un effectif de 1 004 106 (2023) et 1 013 104 (2024) pour la CNSSAP, en forte hausse par rapport aux 198 399 cotisants de 2022. Cette valeur n'est pas retenue ici : elle pourrait correspondre à des affiliés/éligibles (N3) plutôt qu'à des cotisants actifs (N4) au sens strict, possiblement en lien avec la réforme de transfèrement des agents publics vers la CNSSAP. Point à confirmer auprès de la CNSSAP — voir DM-019,</w:t>
      </w:r>
      <w:r>
        <w:rPr>
          <w:i/>
          <w:iCs/>
        </w:rPr>
        <w:t xml:space="preserve"> </w:t>
      </w:r>
      <w:r>
        <w:rPr>
          <w:rStyle w:val="VerbatimChar"/>
          <w:i/>
          <w:iCs/>
        </w:rPr>
        <w:t xml:space="preserve">00_pilotage/decisions_methodologiques.md</w:t>
      </w:r>
      <w:r>
        <w:rPr>
          <w:i/>
          <w:iCs/>
        </w:rPr>
        <w:t xml:space="preserve">.</w:t>
      </w:r>
    </w:p>
    <w:bookmarkEnd w:id="154"/>
    <w:bookmarkStart w:id="156" w:name="X7022b95090e709005f8bbec696e5735aeccc87d"/>
    <w:p>
      <w:pPr>
        <w:pStyle w:val="Heading3"/>
      </w:pPr>
      <w:r>
        <w:t xml:space="preserve">Bénéficiaires de prestations de maternité en espèce</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 [src]</w:t>
      </w:r>
      <w:r>
        <w:rPr>
          <w:rStyle w:val="FootnoteReference"/>
        </w:rPr>
        <w:footnoteReference w:id="155"/>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déclarés sont faibles au regard de la population féminine cotisante observée dans les ESS. Les données disponibles ne permettent pas d'en établir la cause. Elles peuvent notamment refléter un recours limité aux prestations, une déclaration incomplète ou un décalage dans l'enregistrement des demandes. Ces hypothèses doivent être vérifiées auprès de la CNSS.</w:t>
      </w:r>
    </w:p>
    <w:bookmarkEnd w:id="156"/>
    <w:bookmarkStart w:id="157" w:name="X4d79c95af37aa9d2afe68c020a6d6e782ea2ae7"/>
    <w:p>
      <w:pPr>
        <w:pStyle w:val="Heading3"/>
      </w:pPr>
      <w:r>
        <w:t xml:space="preserve">Adéquation des indemnités journalières de maternité</w:t>
      </w:r>
    </w:p>
    <w:p>
      <w:pPr>
        <w:pStyle w:val="Normal"/>
      </w:pPr>
      <w:r>
        <w:t xml:space="preserve">Contrairement aux pensions de vieillesse, d'invalidité et de survie, les tableaux ESS OIT mobilisés pour ce bulletin ne renseignent aucun montant unitaire pour les trois prestations de maternité de la CNSS (indemnité journalière, allocation de maternité et allocations prénatales) sur la période 2019–2024. L'adéquation de ces prestations — leur rapport au seuil de pauvreté national ou au salaire minimum, selon la méthode exposée en Annexe A.3 — ne peut donc pas être appréciée à ce stade.</w:t>
      </w:r>
    </w:p>
    <w:bookmarkEnd w:id="157"/>
    <w:bookmarkStart w:id="159" w:name="X7a5059fe5cae748659c457d106097868d44f1d7"/>
    <w:p>
      <w:pPr>
        <w:pStyle w:val="Heading3"/>
      </w:pPr>
      <w:r>
        <w:t xml:space="preserve">Protection contre les 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 [src]</w:t>
      </w:r>
      <w:r>
        <w:rPr>
          <w:rStyle w:val="FootnoteReference"/>
        </w:rPr>
        <w:footnoteReference w:id="15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t xml:space="preserve">³</w:t>
      </w:r>
      <w:r>
        <w:t xml:space="preserve"> </w:t>
      </w:r>
      <w:r>
        <w:rPr>
          <w:i/>
          <w:iCs/>
        </w:rPr>
        <w:t xml:space="preserve">Les données ESS CNSS 2024 pour la branche Risques professionnels (AT/MP) présentent une anomalie : les 11 types de prestations affichent tous exactement la même valeur de bénéficiaires (2 853), ce qui est statistiquement très improbable et suggère une erreur de saisie ou d'extraction. Cette valeur n'est donc pas utilisée ici ; voir DM-021,</w:t>
      </w:r>
      <w:r>
        <w:rPr>
          <w:i/>
          <w:iCs/>
        </w:rPr>
        <w:t xml:space="preserve"> </w:t>
      </w:r>
      <w:r>
        <w:rPr>
          <w:rStyle w:val="VerbatimChar"/>
          <w:i/>
          <w:iCs/>
        </w:rPr>
        <w:t xml:space="preserve">00_pilotage/decisions_methodologiques.md</w:t>
      </w:r>
      <w:r>
        <w:rPr>
          <w:i/>
          <w:iCs/>
        </w:rPr>
        <w:t xml:space="preserve">. Le montant unitaire 2023 (180 000 CDF, identique à 2019) romprait par ailleurs la correspondance habituelle avec le montant de la pension de vieillesse CNSS de la même année (230 000 CDF, Tableau 4.2) : cette valeur n'est pas retenue non plus, dans l'attente d'une vérification auprès de la CNSS.</w:t>
      </w:r>
    </w:p>
    <w:bookmarkEnd w:id="159"/>
    <w:bookmarkStart w:id="160" w:name="X8cde24ca811480a36f94567efc8ac64b6700d91"/>
    <w:p>
      <w:pPr>
        <w:pStyle w:val="Heading3"/>
      </w:pPr>
      <w:r>
        <w:t xml:space="preserve">Adéquation des indemnités — Rentes/allocations incapacité AT/MP</w:t>
      </w:r>
    </w:p>
    <w:p>
      <w:pPr>
        <w:pStyle w:val="Normal"/>
      </w:pPr>
      <w:r>
        <w:t xml:space="preserve">Le montant unitaire mensuel de la rente ou allocation d'incapacité pour accident du travail ou maladie professionnelle, présenté dans le tableau ci-dessus, est fixé par arrêté à un niveau identique à celui des pensions de vieillesse et d'invalidité de la CNSS pour une même année : 180 000 CDF en 2019, 220 000 CDF en 2020, puis 320 000 CDF en 2021 et 2022. Rapporté au seuil de pauvreté national — dont la méthode de conversion en équivalent mensuel est détaillée en Annexe A.3 — ce montant lui reste supérieur sur l'ensemble de la période observée, dans les mêmes proportions que pour les autres prestations minimales de la CNSS analysées dans ce chapitre. Aucune donnée de montant n'est disponible pour les régimes spéciaux sur cette prestation.</w:t>
      </w:r>
    </w:p>
    <w:bookmarkEnd w:id="160"/>
    <w:bookmarkEnd w:id="161"/>
    <w:bookmarkStart w:id="169" w:name="Xf86aa574e413c13a983826bfc223d8060d7dd61"/>
    <w:p>
      <w:pPr>
        <w:pStyle w:val="Heading2"/>
      </w:pPr>
      <w:r>
        <w:t xml:space="preserve">4.4 — Protection des enfants et des familles</w:t>
      </w:r>
    </w:p>
    <w:p>
      <w:pPr>
        <w:pStyle w:val="Normal"/>
      </w:pPr>
      <w:r>
        <w:t xml:space="preserve">La protection sociale des enfants et des familles est documentée à partir des prestations en espèces ou en nature destinées aux enfants et aux ménages. Selon les sources, l'unité déclarée peut être un enfant, un ménage ou un récipiendaire principal ; toute conversion en nombre d'enfants doit donc être explicitée.</w:t>
      </w:r>
    </w:p>
    <w:bookmarkStart w:id="163" w:name="X7da1873152c1c5eecc3a3af369b66d828b9da00"/>
    <w:p>
      <w:pPr>
        <w:pStyle w:val="Heading3"/>
      </w:pPr>
      <w:r>
        <w:t xml:space="preserve">Allocations familiales — régimes contributifs</w:t>
      </w:r>
    </w:p>
    <w:p>
      <w:pPr>
        <w:pStyle w:val="Normal"/>
      </w:pPr>
      <w:r>
        <w:t xml:space="preserve">Les allocations familiales constituent, en termes de volume déclaré, la principale prestation de la branche famille de la CNSS. Les ESS expriment le nombre d'enfants estimés à partir des foyers bénéficiaires. Conformément à DM-010, le facteur historique de 3,17 enfants par foyer est conservé pour 2019–2022 ; les paramètres appliqués aux exercices ultérieurs doivent encore être confirmés.</w:t>
      </w:r>
    </w:p>
    <w:p>
      <w:pPr>
        <w:pStyle w:val="TableTitle"/>
      </w:pPr>
      <w:r>
        <w:rPr>
          <w:b/>
          <w:bCs/>
        </w:rPr>
        <w:t xml:space="preserve">Tableau 4.6</w:t>
      </w:r>
      <w:r>
        <w:t xml:space="preserve"> </w:t>
      </w:r>
      <w:r>
        <w:t xml:space="preserve">— Enfants couverts par les allocations familiales, CNSS et CNSSAP (2019–2025) [src]</w:t>
      </w:r>
      <w:r>
        <w:rPr>
          <w:rStyle w:val="FootnoteReference"/>
        </w:rPr>
        <w:footnoteReference w:id="162"/>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847 801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933 077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1 256 585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1 129 861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1 256 585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911 125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Les valeurs CNSS correspondent aux estimations d'enfants enregistrées dans la base ESS après conversion des foyers bénéficiaires. Le facteur de 3,17 enfants par foyer est documenté pour 2019–2022 ; les paramètres de conversion de 2023 et 2024 restent à confirmer conformément à DM-010. La valeur nulle de la CNSSAP en 2022 indique qu'aucun bénéficiaire n'est déclaré dans l'ESS pour cet exercice ; elle ne préjuge pas des droits prévus par les textes. Régimes spéciaux : données non disponibles — à instruire.</w:t>
      </w:r>
    </w:p>
    <w:bookmarkEnd w:id="163"/>
    <w:bookmarkStart w:id="166"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 [src]</w:t>
      </w:r>
      <w:r>
        <w:rPr>
          <w:rStyle w:val="FootnoteReference"/>
        </w:rPr>
        <w:footnoteReference w:id="164"/>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65"/>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bookmarkEnd w:id="166"/>
    <w:bookmarkStart w:id="168" w:name="X1d45c515c93b76ae94f77504d6134594126abca"/>
    <w:p>
      <w:pPr>
        <w:pStyle w:val="Heading3"/>
      </w:pPr>
      <w:r>
        <w:t xml:space="preserve">Enfants bénéficiaires de prestations non contributives</w:t>
      </w:r>
    </w:p>
    <w:p>
      <w:pPr>
        <w:pStyle w:val="Normal"/>
      </w:pPr>
      <w:r>
        <w:t xml:space="preserve">Le tableau vise à recenser les programmes non contributifs ciblant les enfants et les familles. Les informations disponibles ne permettent pas encore de renseigner de manière comparable les bénéficiaires, les montants et les périodes de mise en œuvre ; l'absence de valeur ne doit donc pas être interprétée comme une absence de programme.</w:t>
      </w:r>
    </w:p>
    <w:p>
      <w:pPr>
        <w:pStyle w:val="TableTitle"/>
      </w:pPr>
      <w:r>
        <w:rPr>
          <w:b/>
          <w:bCs/>
        </w:rPr>
        <w:t xml:space="preserve">Tableau 4.8</w:t>
      </w:r>
      <w:r>
        <w:t xml:space="preserve"> </w:t>
      </w:r>
      <w:r>
        <w:t xml:space="preserve">— Programmes non contributifs ciblant les enfants et les familles [src]</w:t>
      </w:r>
      <w:r>
        <w:rPr>
          <w:rStyle w:val="FootnoteReference"/>
        </w:rPr>
        <w:footnoteReference w:id="167"/>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Données comparables non disponibles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À instruire auprès des institutions compétentes</w:t>
            </w:r>
          </w:p>
        </w:tc>
      </w:tr>
    </w:tbl>
    <w:bookmarkEnd w:id="168"/>
    <w:bookmarkEnd w:id="169"/>
    <w:bookmarkStart w:id="177" w:name="Xd94aeefddf9079d02dc0cd4611d38e08d1810d1"/>
    <w:p>
      <w:pPr>
        <w:pStyle w:val="Heading2"/>
      </w:pPr>
      <w:r>
        <w:t xml:space="preserve">4.5 — Protection en cas d'invalidité</w:t>
      </w:r>
    </w:p>
    <w:p>
      <w:pPr>
        <w:pStyle w:val="Normal"/>
      </w:pPr>
      <w:r>
        <w:t xml:space="preserve">Cette section porte principalement sur l'invalidité générale, entendue comme une incapacité permanente de travail ouvrant droit à une pension. Elle se distingue de l'incapacité liée aux accidents du travail et maladies professionnelles, traitée en section 4.3, ainsi que du handicap au sens large. Dans le périmètre statistique disponible, les données observées concernent surtout les pensions d'invalidité de la CNSS ; les régimes spéciaux et les programmes non contributifs restent insuffisamment documentés.</w:t>
      </w:r>
    </w:p>
    <w:bookmarkStart w:id="171" w:name="X8e5ca8fa4aaec7b792e63bcbacefd891818f21c"/>
    <w:p>
      <w:pPr>
        <w:pStyle w:val="Heading3"/>
      </w:pPr>
      <w:r>
        <w:t xml:space="preserve">Bénéficiaires de 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 [src]</w:t>
      </w:r>
      <w:r>
        <w:rPr>
          <w:rStyle w:val="FootnoteReference"/>
        </w:rPr>
        <w:footnoteReference w:id="170"/>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(2020–2022). Régimes spéciaux : données non disponibles — à instruire.</w:t>
      </w:r>
    </w:p>
    <w:p>
      <w:pPr>
        <w:pStyle w:val="Normal"/>
      </w:pPr>
      <w:r>
        <w:t xml:space="preserve">La série CNSS varie au cours de la période, avec une baisse en 2023 suivie d'une relative stabilité en 2024. Les données disponibles ne permettent pas de déterminer si cette évolution résulte des entrées et sorties du stock de pensionnés, d'une révision administrative ou d'un changement de déclaration ; elle doit être interprétée avec prudence.</w:t>
      </w:r>
    </w:p>
    <w:bookmarkEnd w:id="171"/>
    <w:bookmarkStart w:id="174" w:name="Xa0b9a428c2c42df3bcf5a5cf16c93b0ebd6bd27"/>
    <w:p>
      <w:pPr>
        <w:pStyle w:val="Heading3"/>
      </w:pPr>
      <w:r>
        <w:t xml:space="preserve">Adéquation de la pension d'invalidité</w:t>
      </w:r>
    </w:p>
    <w:p>
      <w:pPr>
        <w:pStyle w:val="Normal"/>
      </w:pPr>
      <w:r>
        <w:t xml:space="preserve">Dans les régimes de la CNSS, la pension minimale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minimale de CNSS et de la CNSSAP et seuil de pauvreté (2019–2025) [src]</w:t>
      </w:r>
      <w:r>
        <w:rPr>
          <w:rStyle w:val="FootnoteReference"/>
        </w:rPr>
        <w:footnoteReference w:id="17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73"/>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74"/>
    <w:bookmarkStart w:id="176" w:name="Xf48aba4721515d6b74b297b872fe954837e2546"/>
    <w:p>
      <w:pPr>
        <w:pStyle w:val="Heading3"/>
      </w:pPr>
      <w:r>
        <w:t xml:space="preserve">Bénéficiaires des programmes non contributifs pour les personnes handicapées</w:t>
      </w:r>
    </w:p>
    <w:p>
      <w:pPr>
        <w:pStyle w:val="Normal"/>
      </w:pPr>
      <w:r>
        <w:t xml:space="preserve">Le tableau vise à recenser les programmes non contributifs destinés aux personnes handicapées. À ce stade, les informations disponibles ne permettent pas de documenter de manière comparable les bénéficiaires et les prestations servies sur la période considérée ; cette lacune statistique ne signifie pas qu'aucune intervention n'existe.</w:t>
      </w:r>
    </w:p>
    <w:p>
      <w:pPr>
        <w:pStyle w:val="TableTitle"/>
      </w:pPr>
      <w:r>
        <w:rPr>
          <w:b/>
          <w:bCs/>
        </w:rPr>
        <w:t xml:space="preserve">Tableau 4.11</w:t>
      </w:r>
      <w:r>
        <w:t xml:space="preserve"> </w:t>
      </w:r>
      <w:r>
        <w:t xml:space="preserve">— Programmes non contributifs pour les personnes handicapées [src]</w:t>
      </w:r>
      <w:r>
        <w:rPr>
          <w:rStyle w:val="FootnoteReference"/>
        </w:rPr>
        <w:footnoteReference w:id="175"/>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Données comparables non disponibles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À instruire auprès des institutions compétentes</w:t>
            </w:r>
          </w:p>
        </w:tc>
      </w:tr>
    </w:tbl>
    <w:bookmarkEnd w:id="176"/>
    <w:bookmarkEnd w:id="177"/>
    <w:bookmarkStart w:id="183" w:name="X057254504ffc1e6e9f25b48c36187f1010dd555"/>
    <w:p>
      <w:pPr>
        <w:pStyle w:val="Heading2"/>
      </w:pPr>
      <w:r>
        <w:t xml:space="preserve">4.6 — Protection en cas de décès et prestations de survie</w:t>
      </w:r>
    </w:p>
    <w:bookmarkStart w:id="179" w:name="Xf7089cbd948c8654e1f1d544055b23deeb791aa"/>
    <w:p>
      <w:pPr>
        <w:pStyle w:val="Heading3"/>
      </w:pPr>
      <w:r>
        <w:t xml:space="preserve">Bénéficiaires de 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 [src]</w:t>
      </w:r>
      <w:r>
        <w:rPr>
          <w:rStyle w:val="FootnoteReference"/>
        </w:rPr>
        <w:footnoteReference w:id="178"/>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30 778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33 506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19 320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12 984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 — anciens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réversion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CNSSAP (2020–2024) et SESOPA (2019–2025). CNSSAP : régime de base et réforme du transfert additionnés (2023 : 1 476 + 17 844 ; 2024 : 4 756 + 8 228). Les valeurs SESOPA, strictement identiques sur toute la période, peuvent correspondre à la reconduction d'une valeur de référence plutôt qu'à des observations annuelles distinctes ; elles restent à confirmer conformément à DM-020. Pour la CNSS, l'allocation de frais funéraires n'est pas renseignée en 2023 et les données AT/MP de 2024 ne sont pas retenues en raison de l'anomalie décrite ci-dessous. Autres régimes spéciaux : données non disponibles — à instruire.</w:t>
      </w:r>
    </w:p>
    <w:p>
      <w:pPr>
        <w:pStyle w:val="Normal"/>
      </w:pPr>
      <w:r>
        <w:t xml:space="preserve">La hausse des pensions de survie déclarées par la CNSSAP à partir de 2022 constitue une rupture importante dans la série. Elle doit être lue au regard de l'élargissement du périmètre institutionnel et, pour 2023–2024, de l'addition du régime de base et du dispositif de transfèrement. Les données disponibles ne permettent toutefois pas d'isoler l'effet propre de chaque changement ; les comparaisons interannuelles appellent donc à la prudence.</w:t>
      </w:r>
    </w:p>
    <w:p>
      <w:pPr>
        <w:pStyle w:val="Normal"/>
      </w:pPr>
      <w:r>
        <w:t xml:space="preserve">²</w:t>
      </w:r>
      <w:r>
        <w:t xml:space="preserve"> </w:t>
      </w:r>
      <w:r>
        <w:rPr>
          <w:i/>
          <w:iCs/>
        </w:rPr>
        <w:t xml:space="preserve">Les données ESS CNSS 2024 pour la branche Risques professionnels (AT/MP) présentent une anomalie (valeur uniforme suspecte sur les 11 types de prestations) ; non retenues ici — voir DM-021,</w:t>
      </w:r>
      <w:r>
        <w:rPr>
          <w:i/>
          <w:iCs/>
        </w:rPr>
        <w:t xml:space="preserve"> </w:t>
      </w:r>
      <w:r>
        <w:rPr>
          <w:rStyle w:val="VerbatimChar"/>
          <w:i/>
          <w:iCs/>
        </w:rPr>
        <w:t xml:space="preserve">00_pilotage/decisions_methodologiques.md</w:t>
      </w:r>
      <w:r>
        <w:rPr>
          <w:i/>
          <w:iCs/>
        </w:rPr>
        <w:t xml:space="preserve">.</w:t>
      </w:r>
    </w:p>
    <w:bookmarkEnd w:id="179"/>
    <w:bookmarkStart w:id="182"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 [src]</w:t>
      </w:r>
      <w:r>
        <w:rPr>
          <w:rStyle w:val="FootnoteReference"/>
        </w:rPr>
        <w:footnoteReference w:id="18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converti)¹</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170 400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Seuil de pauvreté : INS/RDC, Enquête 1-2-3 (2019-2023) et ECVM 2024</w:t>
      </w:r>
      <w:r>
        <w:rPr>
          <w:rStyle w:val="FootnoteReference"/>
        </w:rPr>
        <w:footnoteReference w:id="181"/>
      </w:r>
      <w:r>
        <w:rPr>
          <w:i/>
          <w:iCs/>
        </w:rPr>
        <w:t xml:space="preserve">.</w:t>
      </w:r>
    </w:p>
    <w:p>
      <w:pPr>
        <w:pStyle w:val="Normal"/>
      </w:pPr>
      <w:r>
        <w:t xml:space="preserve">¹</w:t>
      </w:r>
      <w:r>
        <w:t xml:space="preserve"> </w:t>
      </w:r>
      <w:r>
        <w:rPr>
          <w:i/>
          <w:iCs/>
        </w:rPr>
        <w:t xml:space="preserve">Seuil converti en équivalent mensuel à partir des données transmises par l'INS/RDC ; méthode de conversion détaillée en Annexe A.3.</w:t>
      </w:r>
    </w:p>
    <w:p>
      <w:pPr>
        <w:pStyle w:val="Normal"/>
      </w:pPr>
      <w:r>
        <w:t xml:space="preserve">²</w:t>
      </w:r>
      <w:r>
        <w:t xml:space="preserve"> </w:t>
      </w:r>
      <w:r>
        <w:rPr>
          <w:i/>
          <w:iCs/>
        </w:rPr>
        <w:t xml:space="preserve">Le montant unitaire déclaré par la CNSS diminue nominalement entre 2022 (320 000 CDF) et 2023 (230 000 CDF) ; voir la note correspondante au Tableau 4.2 (section 4.2, vieillesse). Ce point reste à confirmer auprès de la CNSS.</w:t>
      </w:r>
    </w:p>
    <w:bookmarkEnd w:id="182"/>
    <w:bookmarkEnd w:id="183"/>
    <w:bookmarkStart w:id="188"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d'agréger les personnes couvertes ni d'identifier les éventuels chevauchements à l'échelle nationale.</w:t>
      </w:r>
    </w:p>
    <w:bookmarkStart w:id="185" w:name="X636ead9e4aed5e17250b98d7969169487a6639d"/>
    <w:p>
      <w:pPr>
        <w:pStyle w:val="Heading3"/>
      </w:pPr>
      <w:r>
        <w:t xml:space="preserve">Protection statutaire en matière de santé : 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84"/>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renseignée dans les champs quantitatifs de l'ESS FSS 2022 intégrée à la base, ou non disponible pour les exercices ultérieurs. Source : ESS OIT — FSS 2022 ; FSS, fss.cd, juin 2026.</w:t>
      </w:r>
    </w:p>
    <w:bookmarkEnd w:id="185"/>
    <w:bookmarkStart w:id="186" w:name="Xe5cbd08e0a91ac5ad55a6bb9283190b619bd11b"/>
    <w:p>
      <w:pPr>
        <w:pStyle w:val="Heading3"/>
      </w:pPr>
      <w:r>
        <w:t xml:space="preserve">Protection statutaire en matière de santé : La MESP — Mutuelle des Enseignants de l'EPST</w:t>
      </w:r>
    </w:p>
    <w:p>
      <w:pPr>
        <w:pStyle w:val="Normal"/>
      </w:pPr>
      <w:r>
        <w:t xml:space="preserve">La Mutuelle des Enseignants de l'Enseignement Primaire, Secondaire et Technique (MESP) est une mutuelle de santé statutaire et obligatoire. Elle est antérieure au FSS et couvre les enseignants relevant du ministère de l'EPST selon un mécanisme contributif. Les ESS disponibles couvrent les exercices 2019 à 2025.</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87 019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96 538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112 608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prise en charge des soins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164 877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176 471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196 574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217 171</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2019–2025. Les cotisants actifs correspondent aux enseignants pour lesquels une cotisation est enregistrée. Les bénéficiaires correspondent aux personnes déclarées comme ayant bénéficié de la prise en charge des soins ; ils ne doivent pas être assimilés au nombre de prestations servies.</w:t>
      </w:r>
    </w:p>
    <w:p>
      <w:pPr>
        <w:pStyle w:val="Normal"/>
      </w:pPr>
      <w:r>
        <w:t xml:space="preserve">La série disponible montre une progression continue des cotisants actifs et des bénéficiaires déclarés entre 2019 et 2025. Cette évolution documente l'extension du périmètre observé par la MESP, sans permettre à elle seule de mesurer le taux national de couverture sanitaire ou d'exclure des doubles comptes avec d'autres dispositifs.</w:t>
      </w:r>
    </w:p>
    <w:bookmarkEnd w:id="186"/>
    <w:bookmarkStart w:id="187" w:name="X8dafc1bdb4861ec1076e89740689a009434cc32"/>
    <w:p>
      <w:pPr>
        <w:pStyle w:val="Heading3"/>
      </w:pPr>
      <w:r>
        <w:t xml:space="preserve">Protection volontaire en matière de santé : Les mutuelles de santé volontaires</w:t>
      </w:r>
    </w:p>
    <w:p>
      <w:pPr>
        <w:pStyle w:val="Normal"/>
      </w:pPr>
      <w:r>
        <w:t xml:space="preserve">Les mutuelles de santé à adhésion volontaire constituent un troisième niveau de protection. Elles incluent notamment les structures d'assurance médicale du secteur privé ainsi que les mutuelles communautaires et associatives sous l'égide du SESOPA.</w:t>
      </w:r>
    </w:p>
    <w:bookmarkEnd w:id="187"/>
    <w:bookmarkEnd w:id="188"/>
    <w:bookmarkStart w:id="198" w:name="Xf5578adc30b0b8356f177d90dfd1eb58484e22d"/>
    <w:p>
      <w:pPr>
        <w:pStyle w:val="Heading2"/>
      </w:pPr>
      <w:r>
        <w:t xml:space="preserve">4.8 — Dépenses et financement du système</w:t>
      </w:r>
    </w:p>
    <w:bookmarkStart w:id="190"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des travailleurs et des employeurs, y compris l'État lorsqu'il agit comme employeur. Les régimes et programmes non contributifs reposent principalement sur le budget de l'État et, selon les dispositifs, sur les contributions des partenaires au développement. Les données disponibles ne permettent pas encore d'établir un compte consolidé de l'ensemble de ces financements.</w:t>
      </w:r>
    </w:p>
    <w:p>
      <w:pPr>
        <w:pStyle w:val="TableTitle"/>
      </w:pPr>
      <w:r>
        <w:rPr>
          <w:b/>
          <w:bCs/>
        </w:rPr>
        <w:t xml:space="preserve">Tableau 4.16</w:t>
      </w:r>
      <w:r>
        <w:t xml:space="preserve"> </w:t>
      </w:r>
      <w:r>
        <w:t xml:space="preserve">— Recettes des régimes contributifs (2019–2025) [src]</w:t>
      </w:r>
      <w:r>
        <w:rPr>
          <w:rStyle w:val="FootnoteReference"/>
        </w:rPr>
        <w:footnoteReference w:id="189"/>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1754,6 Mds CDF</w:t>
            </w:r>
            <w:r>
              <w:rPr>
                <w:vertAlign w:val="superscript"/>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1886,7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Régimes spéciaux et programmes non contributifs : données non disponibles — à instruire. Pour la CNSSAP, les valeurs 2020–2022 correspondent au régime de base ; les agrégats 2023–2024 intègrent les composantes déclarées dans les ESS de ces exercices.</w:t>
      </w:r>
    </w:p>
    <w:p>
      <w:pPr>
        <w:pStyle w:val="Normal"/>
      </w:pPr>
      <w:r>
        <w:t xml:space="preserve">²</w:t>
      </w:r>
      <w:r>
        <w:t xml:space="preserve"> </w:t>
      </w:r>
      <w:r>
        <w:rPr>
          <w:i/>
          <w:iCs/>
        </w:rPr>
        <w:t xml:space="preserve">À partir de 2023, l'ESS CNSS ventile les recettes par branche (Prestations aux familles, Risques professionnels, Pensions) avec des montants différenciés, alors que 2019-2022 rapportaient un seul montant institutionnel répliqué sur les trois branches. La valeur 2023-2024 correspond à la somme des trois branches (2023 : 633,6 + 146,2 + 974,8 Mds ; 2024 : 681,3 + 157,2 + 1 048,2 Mds), ce qui introduit une rupture de méthode par rapport aux années antérieures ; à confirmer auprès de la CNSS.</w:t>
      </w:r>
    </w:p>
    <w:bookmarkEnd w:id="190"/>
    <w:bookmarkStart w:id="192"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Les valeurs sont exprimées en milliards de francs congolais courants.</w:t>
      </w:r>
    </w:p>
    <w:p>
      <w:pPr>
        <w:pStyle w:val="TableTitle"/>
      </w:pPr>
      <w:r>
        <w:rPr>
          <w:b/>
          <w:bCs/>
        </w:rPr>
        <w:t xml:space="preserve">Tableau 4.17</w:t>
      </w:r>
      <w:r>
        <w:t xml:space="preserve"> </w:t>
      </w:r>
      <w:r>
        <w:t xml:space="preserve">— Dépenses de prestations par institution (2019–2025) [src]</w:t>
      </w:r>
      <w:r>
        <w:rPr>
          <w:rStyle w:val="FootnoteReference"/>
        </w:rPr>
        <w:footnoteReference w:id="191"/>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24,3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(2019–2024) et CNSSAP (2020–2024). Régimes spéciaux : données non disponibles — à instruire. CNSS : dépenses de prestations non renseignées dans les ESS 2023–2024. Pour la CNSSAP, les valeurs 2020–2022 correspondent au régime de base ; les agrégats 2023–2024 intègrent les composantes déclarées dans les ESS de ces exercices.</w:t>
      </w:r>
    </w:p>
    <w:p>
      <w:pPr>
        <w:pStyle w:val="Normal"/>
      </w:pPr>
      <w:r>
        <w:t xml:space="preserve">Les dépenses de prestations de la CNSS augmentent entre 2019 et 2022, mais l'absence de données pour 2023 et 2024 empêche de prolonger cette lecture. La série CNSSAP présente un niveau plus élevé en 2022, puis un repli en 2023 et une reprise en 2024. La modification du périmètre déclaré à partir de 2023 limite toutefois la comparabilité directe avec les années antérieures.</w:t>
      </w:r>
    </w:p>
    <w:bookmarkEnd w:id="192"/>
    <w:bookmarkStart w:id="194"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 [src]</w:t>
      </w:r>
      <w:r>
        <w:rPr>
          <w:rStyle w:val="FootnoteReference"/>
        </w:rPr>
        <w:footnoteReference w:id="193"/>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73,4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CNSSAP (2020–2024). Le ratio est calculé comme suit : dépenses administratives / (dépenses de prestations + dépenses administratives). Les dépenses administratives de la CNSS et des régimes spéciaux ne sont pas renseignées dans les ESS disponibles.</w:t>
      </w:r>
    </w:p>
    <w:p>
      <w:pPr>
        <w:pStyle w:val="Normal"/>
      </w:pPr>
      <w:r>
        <w:t xml:space="preserve">À la CNSSAP, le ratio diminue en 2022 puis augmente fortement en 2023 et 2024. Cette rupture intervient au moment où le périmètre des agrégats déclarés évolue. En l'absence d'informations comptables plus détaillées, elle ne doit pas être interprétée isolément comme une dégradation de l'efficience administrative.</w:t>
      </w:r>
    </w:p>
    <w:bookmarkEnd w:id="194"/>
    <w:bookmarkStart w:id="195" w:name="Xca624811ef6f725c97014a9861d2ed87a4a7cd3"/>
    <w:p>
      <w:pPr>
        <w:pStyle w:val="Heading3"/>
      </w:pPr>
      <w:r>
        <w:t xml:space="preserve">Responsabilité de l'employeur et régime d'entreprise</w:t>
      </w:r>
    </w:p>
    <w:p>
      <w:pPr>
        <w:pStyle w:val="Normal"/>
      </w:pPr>
      <w:r>
        <w:t xml:space="preserve">Certaines obligations de protection peuvent être prises en charge directement par l'employeur, sans transit par un organisme de sécurité sociale. Les données actuellement intégrées ne permettent pas d'identifier séparément les bénéficiaires, les prestations et les dépenses relevant de cette responsabilité directe. Cette composante n'est donc pas agrégée aux dépenses institutionnelles présentées ci-dessus.</w:t>
      </w:r>
    </w:p>
    <w:bookmarkEnd w:id="195"/>
    <w:bookmarkStart w:id="197"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 [src]</w:t>
      </w:r>
      <w:r>
        <w:rPr>
          <w:rStyle w:val="FootnoteReference"/>
        </w:rPr>
        <w:footnoteReference w:id="19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97"/>
    <w:bookmarkEnd w:id="198"/>
    <w:bookmarkEnd w:id="199"/>
    <w:bookmarkStart w:id="210" w:name="Xc7cb1a02a7858ae19d58c1c9bd0e60c654533af"/>
    <w:p>
      <w:pPr>
        <w:pStyle w:val="Heading1"/>
      </w:pPr>
      <w:r>
        <w:t xml:space="preserve">Chapitre 5 — Positionnement de la RDC au regard des indicateurs ODD</w:t>
      </w:r>
    </w:p>
    <w:bookmarkStart w:id="204" w:name="X8eaf0c5b9fe1bb6ba3e1003181a2719cc2dec11"/>
    <w:p>
      <w:pPr>
        <w:pStyle w:val="Heading2"/>
      </w:pPr>
      <w:r>
        <w:t xml:space="preserve">5.1 — ODD 1.3.1 : couverture par les régimes de protection sociale</w:t>
      </w:r>
    </w:p>
    <w:bookmarkStart w:id="200"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 le droit formel à une prestation — de la couverture effective — le bénéfice réel d'une prestation ou la cotisation active, selon le sous-indicateur. Seule la couverture effective est retenue dans le présent bulletin.</w:t>
      </w:r>
    </w:p>
    <w:p>
      <w:pPr>
        <w:pStyle w:val="Normal"/>
      </w:pPr>
      <w:r>
        <w:rPr>
          <w:b/>
          <w:bCs/>
        </w:rPr>
        <w:t xml:space="preserve">Note méthodologique sur la composition de l'indicateur agrégé</w:t>
      </w:r>
    </w:p>
    <w:p>
      <w:pPr>
        <w:pStyle w:val="Normal"/>
      </w:pPr>
      <w:r>
        <w:t xml:space="preserve">Pour le sous-indicateur relatif aux actifs, le calcul national combine deux composantes : la couverture contributive observée (cotisants actifs CNSS/CNSSAP) et la couverture statutaire non contributive effectivement documentée (personnes protégées par un dispositif financé directement par le budget de l'État, sous réserve de cinq critères d'inclusion). Ces deux composantes sont présentées séparément dans le tableau de résultats ci-dessous, puis consolidées après dédoublonnage ; la note qui suit ce tableau en détaille la lecture.</w:t>
      </w:r>
      <w:r>
        <w:t xml:space="preserve"> </w:t>
      </w:r>
      <w:r>
        <w:rPr>
          <w:i/>
          <w:iCs/>
        </w:rPr>
        <w:t xml:space="preserve">Le détail des cinq critères d'inclusion de la composante budgétaire est documenté en Annexe A.4.</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pour lesquels une cotisation est effectivement enregistrée auprès de la CNSS ou de la CNSSAP</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un dispositif statutaire budgétaire répondant aux cinq critères d'inclusion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l'une des deux modalités précédentes, après dédoublonnage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Accidents du travail et maladies professionnelles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 de la force de travail (15+) couverte contre les risques professionnels</w:t>
            </w:r>
          </w:p>
        </w:tc>
      </w:tr>
    </w:tbl>
    <w:bookmarkEnd w:id="200"/>
    <w:bookmarkStart w:id="201" w:name="resultats-pour-la-rdc-non-valide"/>
    <w:p>
      <w:pPr>
        <w:pStyle w:val="Heading3"/>
      </w:pPr>
      <w:r>
        <w:t xml:space="preserve">Résultats pour la RDC</w:t>
      </w:r>
    </w:p>
    <w:p>
      <w:pPr>
        <w:pStyle w:val="Normal"/>
      </w:pPr>
      <w:r>
        <w:rPr>
          <w:b/>
          <w:bCs/>
        </w:rPr>
        <w:t xml:space="preserve">Note méthodologique :</w:t>
      </w:r>
      <w:r>
        <w:t xml:space="preserve"> </w:t>
      </w:r>
      <w:r>
        <w:t xml:space="preserve">Conformément à DM-014, le sous-indicateur AT/MP (accidents du travail et maladies professionnelles) rapporte le numérateur (cotisants actifs AT/MP) à la</w:t>
      </w:r>
      <w:r>
        <w:t xml:space="preserve"> </w:t>
      </w:r>
      <w:r>
        <w:rPr>
          <w:b/>
          <w:bCs/>
        </w:rPr>
        <w:t xml:space="preserve">force de travail 15+</w:t>
      </w:r>
      <w:r>
        <w:t xml:space="preserve"> </w:t>
      </w:r>
      <w:r>
        <w:t xml:space="preserve">(labour force = personnes en emploi + chômeurs), et non à la population totale ni à la seule population en emploi. Cette définition correspond au libellé officiel ILOSTAT de l'indicateur SDG_0131_SEX_SOC_RT_A : «</w:t>
      </w:r>
      <w:r>
        <w:t xml:space="preserve"> </w:t>
      </w:r>
      <w:r>
        <w:rPr>
          <w:i/>
          <w:iCs/>
        </w:rPr>
        <w:t xml:space="preserve">Labour force covered in the event of work injury</w:t>
      </w:r>
      <w:r>
        <w:t xml:space="preserve"> </w:t>
      </w:r>
      <w:r>
        <w:t xml:space="preserve">». La force de travail est estimée en appliquant le taux de participation à la force de travail (63,44 %, ILOSTAT/MICS 2020) à la population de 15 ans et plus.</w:t>
      </w:r>
    </w:p>
    <w:p>
      <w:pPr>
        <w:pStyle w:val="TableTitle"/>
      </w:pPr>
      <w:r>
        <w:rPr>
          <w:b/>
          <w:bCs/>
        </w:rPr>
        <w:t xml:space="preserve">Tableau 5.2</w:t>
      </w:r>
      <w:r>
        <w:t xml:space="preserve"> </w:t>
      </w:r>
      <w:r>
        <w:t xml:space="preserve">— Valeurs de l'ODD 1.3.1 pour la RDC par groupe de population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 de travail — AT/MP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w:t>
            </w:r>
          </w:p>
        </w:tc>
      </w:tr>
    </w:tbl>
    <w:p>
      <w:pPr>
        <w:pStyle w:val="Normal"/>
      </w:pPr>
      <w:r>
        <w:rPr>
          <w:b/>
          <w:bCs/>
        </w:rPr>
        <w:t xml:space="preserve">Note méthodologique — année 2025 : couverture institutionnelle partielle</w:t>
      </w:r>
      <w:r>
        <w:t xml:space="preserve"> </w:t>
      </w:r>
      <w:r>
        <w:t xml:space="preserve">: Pour l'année 2025, la CNSS et la CNSSAP — qui portent l'essentiel des effectifs comptabilisés dans les lignes « Population totale », « Enfants 0–14 ans », « Personnes handicapées — invalidité » et « Force de travail — AT/MP » — n'avaient pas encore transmis leurs données ESS à la date de préparation du bulletin. Seules quelques institutions de taille réduite disposent de données pour cette année. Les valeurs affichées pour 2025 sur ces quatre lignes reflètent donc uniquement les institutions ayant transmis leurs données à ce stade et ne doivent pas être interprétées comme une chute réelle de la couverture sociale.</w:t>
      </w:r>
    </w:p>
    <w:p>
      <w:pPr>
        <w:pStyle w:val="Normal"/>
      </w:pPr>
      <w:r>
        <w:rPr>
          <w:b/>
          <w:bCs/>
        </w:rPr>
        <w:t xml:space="preserve">Note méthodologique — sous-indicateur « Actifs »</w:t>
      </w:r>
      <w:r>
        <w:t xml:space="preserve"> </w:t>
      </w:r>
      <w:r>
        <w:t xml:space="preserve">: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(détaillés en Annexe A.4). La troisième consolide les deux composantes après dédoublonnage. Les personnes relevant de la deuxième composante ne sont pas désignées comme « contributeurs » : leur couverture repose sur des droits légaux financés par le budget de l'État, et non sur des cotisations. Tant que leur effectif n'est pas officiellement documenté, la composante budgétaire et le total consolidé restent indiqués [N/D].</w:t>
      </w:r>
    </w:p>
    <w:p>
      <w:pPr>
        <w:pStyle w:val="Source-GraphicPicture"/>
      </w:pPr>
      <w:r>
        <w:rPr>
          <w:i/>
          <w:iCs/>
        </w:rPr>
        <w:t xml:space="preserve">Source : calculs du tableau de bord à partir de la base ESS OIT/BIT, des décisions d'inclusion enregistrées et des dénominateurs démographiques prioritaires de la base de référence.</w:t>
      </w:r>
    </w:p>
    <w:p>
      <w:pPr>
        <w:pStyle w:val="Normal"/>
      </w:pPr>
      <w:r>
        <w:t xml:space="preserve">Les résultats montrent une couverture effective encore limitée pour l'ensemble des groupes de population observés. Les valeurs affichées à 0,0 % peuvent résulter de l'arrondi à une décimale de taux positifs très faibles ; elles ne signifient donc pas nécessairement qu'aucune prestation n'a été servie. Les lacunes de données, notamment pour la composante budgétaire et pour 2025, réduisent la portée des comparaisons entre années.</w:t>
      </w:r>
    </w:p>
    <w:bookmarkEnd w:id="201"/>
    <w:bookmarkStart w:id="202"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Base ESS OIT/BIT et dénominateurs démographiques de référence — calcul du tableau de bord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 — valeur à intégrer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 — valeur à intégrer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 — valeur à intégrer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 — valeur à intégrer</w:t>
            </w:r>
          </w:p>
        </w:tc>
      </w:tr>
    </w:tbl>
    <w:p>
      <w:pPr>
        <w:pStyle w:val="Source-GraphicPicture"/>
      </w:pPr>
      <w:r>
        <w:rPr>
          <w:i/>
          <w:iCs/>
        </w:rPr>
        <w:t xml:space="preserve">Source : pour la RDC, calcul du tableau de bord à partir de la base ESS OIT/BIT et des dénominateurs démographiques de référence. Les comparaisons externes ne sont pas renseignées tant que les valeurs et années du World Social Protection Report 2024–2026 n'ont pas été intégrées et vérifiées.</w:t>
      </w:r>
    </w:p>
    <w:bookmarkEnd w:id="202"/>
    <w:bookmarkStart w:id="203"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valeur de référence 2022 issue du calcul du tableau de bord. La cible nationale intermédiaire n'est pas renseignée faute de valeur PNPS vérifiée ; l'ODD fixe une orientation d'universalisation à l'horizon 2030 plutôt qu'une valeur numérique unique applicable à tous les pays.</w:t>
      </w:r>
    </w:p>
    <w:bookmarkEnd w:id="203"/>
    <w:bookmarkEnd w:id="204"/>
    <w:bookmarkStart w:id="209" w:name="X9c806c3db245e708af4f2088f4beda0e23eeb36"/>
    <w:p>
      <w:pPr>
        <w:pStyle w:val="Heading2"/>
      </w:pPr>
      <w:r>
        <w:t xml:space="preserve">5.2 — ODD 3.8.1 : couverture sanitaire universelle</w:t>
      </w:r>
    </w:p>
    <w:bookmarkStart w:id="205"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05"/>
    <w:bookmarkStart w:id="206"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p>
      <w:pPr>
        <w:pStyle w:val="Normal"/>
      </w:pPr>
      <w:r>
        <w:t xml:space="preserve">Les ESS utilisées dans le présent bulletin ne permettent pas de calculer cet indice, qui repose sur des services traceurs sanitaires et non sur les seuls effectifs d'assurés ou de bénéficiaires des régimes. Les valeurs restent donc indiquées [N/D] jusqu'à l'intégration d'une série officielle de l'OMS.</w:t>
      </w:r>
    </w:p>
    <w:bookmarkEnd w:id="206"/>
    <w:bookmarkStart w:id="207"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207"/>
    <w:bookmarkStart w:id="208"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TableNoteSource"/>
      </w:pPr>
      <w:r>
        <w:rPr>
          <w:i/>
          <w:iCs/>
        </w:rPr>
        <w:t xml:space="preserve">Note : la valeur nationale de référence et une éventuelle cible nationale chiffrée pour 2030 seront renseignées après vérification dans les sources officielles de l'OMS et les documents nationaux de planification. L'ODD 3.8 vise l'accès universel aux services de santé essentiels ; le présent bulletin ne retient pas de cible numérique non sourcée.</w:t>
      </w:r>
    </w:p>
    <w:bookmarkEnd w:id="208"/>
    <w:bookmarkEnd w:id="209"/>
    <w:bookmarkEnd w:id="210"/>
    <w:bookmarkStart w:id="211" w:name="Xd81cddf1c039cc4c9483a04a2819bdc0081b78d"/>
    <w:p>
      <w:pPr>
        <w:pStyle w:val="Heading1"/>
      </w:pPr>
      <w:r>
        <w:t xml:space="preserve">Chapitre 6 — Qualité, disponibilité et perspectives</w:t>
      </w:r>
    </w:p>
    <w:bookmarkEnd w:id="211"/>
    <w:bookmarkStart w:id="231" w:name="annexe-a-notes-methodologiques"/>
    <w:p>
      <w:pPr>
        <w:pStyle w:val="Heading1"/>
      </w:pPr>
      <w:r>
        <w:t xml:space="preserve">Annexe A — Notes méthodologiques</w:t>
      </w:r>
    </w:p>
    <w:bookmarkStart w:id="217" w:name="X42b617378bec5354531358bfc3d9cbf12c182b0"/>
    <w:p>
      <w:pPr>
        <w:pStyle w:val="Heading2"/>
      </w:pPr>
      <w:r>
        <w:t xml:space="preserve">A.1 — Champ de la protection sociale et critères d'inclusion statistique</w:t>
      </w:r>
    </w:p>
    <w:bookmarkStart w:id="213"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12"/>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13"/>
    <w:bookmarkStart w:id="215"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14"/>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15"/>
    <w:bookmarkStart w:id="216"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16"/>
    <w:bookmarkEnd w:id="217"/>
    <w:bookmarkStart w:id="225" w:name="X442c38441c59a4af2c1b7f694baafea97c21e0c"/>
    <w:p>
      <w:pPr>
        <w:pStyle w:val="Heading2"/>
      </w:pPr>
      <w:r>
        <w:t xml:space="preserve">A.2 — Classification des régimes, programmes et prestations</w:t>
      </w:r>
    </w:p>
    <w:bookmarkStart w:id="218"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18"/>
    <w:bookmarkStart w:id="223"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19"/>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20"/>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21"/>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22"/>
      </w:r>
    </w:p>
    <w:bookmarkEnd w:id="223"/>
    <w:bookmarkStart w:id="224"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24"/>
    <w:bookmarkEnd w:id="225"/>
    <w:bookmarkStart w:id="229" w:name="X866c566ac5dde58fca316b9d9f8b60b7cc6db95"/>
    <w:p>
      <w:pPr>
        <w:pStyle w:val="Heading2"/>
      </w:pPr>
      <w:r>
        <w:t xml:space="preserve">A.3 — Seuil de pauvreté : méthode de conversion et lecture des montants en termes réels</w:t>
      </w:r>
    </w:p>
    <w:bookmarkStart w:id="227" w:name="X8d2583e54feb36d189e5a7cc06f291f1c83fc74"/>
    <w:p>
      <w:pPr>
        <w:pStyle w:val="Heading3"/>
      </w:pPr>
      <w:r>
        <w:t xml:space="preserve">Conversion du seuil de pauvreté national en équivalent mensuel</w:t>
      </w:r>
    </w:p>
    <w:p>
      <w:pPr>
        <w:pStyle w:val="Normal"/>
      </w:pPr>
      <w:r>
        <w:t xml:space="preserve">Plusieurs tableaux du chapitre 4 comparent le montant de prestations en espèces (pensions, allocations, rentes) au seuil de pauvreté national, afin d'en apprécier l'adéquation. Cette section documente, une seule fois pour l'ensemble du bulletin, la méthode de conversion retenue.</w:t>
      </w:r>
    </w:p>
    <w:p>
      <w:pPr>
        <w:pStyle w:val="Normal"/>
      </w:pPr>
      <w:r>
        <w:t xml:space="preserve">La réponse transmise par l'Institut national de la statistique (INS/RDC) indique un seuil de pauvreté de 2 414 CDF (2019-2023) puis 5 680 CDF (2024), sous l'intitulé « CDF/personne/mois » ; le commentaire méthodologique associé précise toutefois qu'il s'agit d'un montant</w:t>
      </w:r>
      <w:r>
        <w:t xml:space="preserve"> </w:t>
      </w:r>
      <w:r>
        <w:rPr>
          <w:b/>
          <w:bCs/>
        </w:rPr>
        <w:t xml:space="preserve">par jour</w:t>
      </w:r>
      <w:r>
        <w:t xml:space="preserve">. Ces deux formulations sont incompatibles avec un seuil mensuel usuel (le montant indiqué correspondrait alors à moins d'un dollar américain par mois). Les valeurs présentées dans le bulletin sont donc exprimées en équivalent mensuel, obtenues par une conversion conventionnelle × 30 jours (2 414 × 30 ≈ 72 420 CDF ; 5 680 × 30 ≈ 170 400 CDF), afin de permettre la comparaison directe avec les montants des prestations. Cette conversion est indicative et devra être confirmée auprès de l'INS avant la validation finale du bulletin.</w:t>
      </w:r>
    </w:p>
    <w:p>
      <w:pPr>
        <w:pStyle w:val="Source-GraphicPicture"/>
      </w:pPr>
      <w:r>
        <w:rPr>
          <w:i/>
          <w:iCs/>
        </w:rPr>
        <w:t xml:space="preserve">Source : INS/RDC, Enquête 1-2-3 (2019-2023) et ECVM 2024</w:t>
      </w:r>
      <w:r>
        <w:rPr>
          <w:rStyle w:val="FootnoteReference"/>
        </w:rPr>
        <w:footnoteReference w:id="226"/>
      </w:r>
      <w:r>
        <w:rPr>
          <w:i/>
          <w:iCs/>
        </w:rPr>
        <w:t xml:space="preserve">.</w:t>
      </w:r>
    </w:p>
    <w:bookmarkEnd w:id="227"/>
    <w:bookmarkStart w:id="228" w:name="Xf0b5a3ef1d0e9032581a1710fdb055a834add56"/>
    <w:p>
      <w:pPr>
        <w:pStyle w:val="Heading3"/>
      </w:pPr>
      <w:r>
        <w:t xml:space="preserve">Lecture des montants nominaux en contexte d'inflation</w:t>
      </w:r>
    </w:p>
    <w:p>
      <w:pPr>
        <w:pStyle w:val="Normal"/>
      </w:pPr>
      <w:r>
        <w:t xml:space="preserve">Les montants de prestations présentés dans le bulletin sont exprimés en francs congolais courants (valeur nominale de l'année). Selon l'indice national des prix à la consommation (INS), l'inflation annuelle en RDC s'est établie à 15,8 % (2020), 5,3 % (2021), 13,1 % (2022), 23,8 % (2023) et 11,7 % (2024) (donnée 2019 non transmise). Cette inflation cumulée réduit sensiblement la valeur réelle d'une prestation dont le montant nominal reste inchangé d'une année sur l'autre — situation observée pour plusieurs prestations de la CNSS entre 2022 et les années suivantes, faute de données 2023-2025. Ce constat doit être gardé à l'esprit chaque fois que des montants nominaux sont comparés dans le temps au fil du chapitre 4.</w:t>
      </w:r>
    </w:p>
    <w:bookmarkEnd w:id="228"/>
    <w:bookmarkEnd w:id="229"/>
    <w:bookmarkStart w:id="230" w:name="X6bde3f36b9d699cf51098be30e386cebacf1fbb"/>
    <w:p>
      <w:pPr>
        <w:pStyle w:val="Heading2"/>
      </w:pPr>
      <w:r>
        <w:t xml:space="preserve">A.4 — Critères d'inclusion de la composante budgétaire de l'indicateur ODD 1.3.1</w:t>
      </w:r>
    </w:p>
    <w:p>
      <w:pPr>
        <w:pStyle w:val="Normal"/>
      </w:pPr>
      <w:r>
        <w:t xml:space="preserve">Pour le sous-indicateur relatif aux actifs de l'ODD 1.3.1 (section 5.1), le calcul national présenté dans ce bulletin rapproche deux types de couverture documentée, dès lors que les données satisfont aux critères d'inclusion définis ci-dessous :</w:t>
      </w:r>
    </w:p>
    <w:p>
      <w:pPr>
        <w:pStyle w:val="Normal"/>
        <w:numPr>
          <w:ilvl w:val="0"/>
          <w:numId w:val="1002"/>
        </w:numPr>
      </w:pPr>
      <w:r>
        <w:rPr>
          <w:b/>
          <w:bCs/>
        </w:rPr>
        <w:t xml:space="preserve">La couverture contributive observée</w:t>
      </w:r>
      <w:r>
        <w:t xml:space="preserve"> </w:t>
      </w:r>
      <w:r>
        <w:t xml:space="preserve">: cotisants actifs auprès de la CNSS et de la CNSSAP, pour lesquels une cotisation est effectivement enregistrée sur la période de référence, selon les tableaux ESS OIT. Ces personnes sont affiliées à un régime contributif et cotisent activement.</w:t>
      </w:r>
    </w:p>
    <w:p>
      <w:pPr>
        <w:pStyle w:val="Normal"/>
        <w:numPr>
          <w:ilvl w:val="0"/>
          <w:numId w:val="1002"/>
        </w:numPr>
      </w:pPr>
      <w:r>
        <w:rPr>
          <w:b/>
          <w:bCs/>
        </w:rPr>
        <w:t xml:space="preserve">La couverture statutaire non contributive effectivement documentée</w:t>
      </w:r>
      <w:r>
        <w:t xml:space="preserve"> </w:t>
      </w:r>
      <w:r>
        <w:t xml:space="preserve">: personnes dont la protection repose sur un cadre légal ou réglementaire définissant des droits et des prestations financés directement par le budget de l'État. Ces personnes ne versent pas de cotisations à un régime contributif ; elles ne sont pas désignées comme « contributeurs » dans le présent bulletin. Leur inclusion dans l'indicateur est conditionnée au respect des cinq critères ci-dessous.</w:t>
      </w:r>
    </w:p>
    <w:p>
      <w:pPr>
        <w:pStyle w:val="Normal"/>
      </w:pPr>
      <w:r>
        <w:rPr>
          <w:b/>
          <w:bCs/>
        </w:rPr>
        <w:t xml:space="preserve">Critères d'inclusion de la composante statutaire budgétaire</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Critère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Description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C1 — Base statutaire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L'accès à la prestation est fondé sur un texte légal, réglementaire ou statutaire en vigueur, définissant les droits et conditions d'éligibilité.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C2 — Population identifiable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 population couverte est délimitée et dénombrable à partir de sources documentées (registres, listes officielles, données administratives).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C3 — Droits et prestations identifiables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Les droits ou prestations auxquels ces personnes peuvent accéder sont explicitement définis et individualisables.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C4 — Financement budgétaire documenté et exécuté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 financement par le budget de l'État est documenté et effectivement exécuté, non seulement prévu ou inscrit en loi de finances.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C5 — Absence de double comptage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Une même personne n'est comptée qu'une seule fois dans le numérateur considéré, notamment lorsqu'elle passe d'une prise en charge budgétaire directe à la CNSSAP.</w:t>
            </w:r>
          </w:p>
        </w:tc>
      </w:tr>
    </w:tbl>
    <w:p>
      <w:pPr>
        <w:pStyle w:val="Normal"/>
      </w:pPr>
      <w:r>
        <w:t xml:space="preserve">Cette approche repose sur la</w:t>
      </w:r>
      <w:r>
        <w:t xml:space="preserve"> </w:t>
      </w:r>
      <w:r>
        <w:rPr>
          <w:b/>
          <w:bCs/>
        </w:rPr>
        <w:t xml:space="preserve">responsabilité permanente de l'État</w:t>
      </w:r>
      <w:r>
        <w:t xml:space="preserve"> </w:t>
      </w:r>
      <w:r>
        <w:t xml:space="preserve">et le</w:t>
      </w:r>
      <w:r>
        <w:t xml:space="preserve"> </w:t>
      </w:r>
      <w:r>
        <w:rPr>
          <w:b/>
          <w:bCs/>
        </w:rPr>
        <w:t xml:space="preserve">caractère durable</w:t>
      </w:r>
      <w:r>
        <w:t xml:space="preserve"> </w:t>
      </w:r>
      <w:r>
        <w:t xml:space="preserve">des dispositifs statutaires. Elle distingue explicitement le numérateur contributif correspondant aux cotisants actifs et la composante statutaire budgétaire ajoutée dans le calcul national. Elle ne présume pas que tous les agents publics hors CNSSAP sont effectivement couverts. Lorsque les données permettant de vérifier l'ensemble de ces critères sont absentes ou non officiellement validées, la composante concernée est renseignée [N/D] ; aucune estimation n'est avancée en substitution.</w:t>
      </w:r>
    </w:p>
    <w:bookmarkEnd w:id="230"/>
    <w:bookmarkEnd w:id="231"/>
    <w:bookmarkStart w:id="233" w:name="Xd9552ae2030b60331a35179a9b1c8ef8a02f308"/>
    <w:p>
      <w:pPr>
        <w:pStyle w:val="Heading1"/>
      </w:pPr>
      <w:r>
        <w:t xml:space="preserve">Annexe B — Fiches institutionnelles détaillées</w:t>
      </w:r>
    </w:p>
    <w:bookmarkStart w:id="232" w:name="Xe66c9e81cce049fd61aafea925856f9b3b06df6"/>
    <w:p>
      <w:pPr>
        <w:pStyle w:val="Heading2"/>
      </w:pPr>
      <w:r>
        <w:t xml:space="preserve">Vue synthétique du tableau de bord (onglet « Par institution »)</w:t>
      </w:r>
    </w:p>
    <w:p>
      <w:pPr>
        <w:pStyle w:val="Normal"/>
      </w:pPr>
      <w:r>
        <w:t xml:space="preserve">Chaque fiche institutionnelle présente, pour l'ensemble des régimes documentés, des graphiques d'évolution des cotisants, des bénéficiaires et des agrégats financiers, ainsi qu'un tableau descriptif des régimes gérés et une répartition par sexe lorsque cette information est disponible.</w:t>
      </w:r>
    </w:p>
    <w:p>
      <w:pPr>
        <w:pStyle w:val="Normal"/>
      </w:pPr>
      <w:r>
        <w:t xml:space="preserve">Dans le tableau « Données détaillées », les institutions et régimes sont désignés par leur nom court ou leur sigle (voir la Liste des sigles et acronymes) ; les années consécutives sans aucune donnée ESS sont regroupées en une seule ligne « AAAA–AAAA » plutôt que répétées une par une, afin de rester lisible sans perdre l'information d'absence de donnée.</w:t>
      </w:r>
    </w:p>
    <w:bookmarkEnd w:id="232"/>
    <w:bookmarkEnd w:id="233"/>
    <w:bookmarkStart w:id="264" w:name="X18093ea093160aba48812e82b724d5cfad27884"/>
    <w:p>
      <w:pPr>
        <w:pStyle w:val="Heading1"/>
      </w:pPr>
      <w:r>
        <w:t xml:space="preserve">B.1 Caisse Nationale de Sécurité Sociale (CNSS)</w:t>
      </w:r>
    </w:p>
    <w:bookmarkStart w:id="234"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p>
      <w:pPr>
        <w:pStyle w:val="TableTitle"/>
      </w:pPr>
      <w:r>
        <w:rPr>
          <w:b/>
          <w:bCs/>
        </w:rPr>
        <w:t xml:space="preserve">Tableau B.1.1</w:t>
      </w:r>
      <w:r>
        <w:t xml:space="preserve"> </w:t>
      </w:r>
      <w:r>
        <w:t xml:space="preserve">— Branches de sécurité sociale couvertes,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bl>
    <w:p>
      <w:pPr>
        <w:pStyle w:val="Normal"/>
      </w:pPr>
      <w:r>
        <w:rPr>
          <w:i/>
          <w:iCs/>
        </w:rPr>
        <w:t xml:space="preserve">Branches non couvertes par la CNSS : soins de santé (non gérée directement par l'institution) et chômage.</w:t>
      </w:r>
    </w:p>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34"/>
    <w:bookmarkStart w:id="235" w:name="cadre-juridique-et-institutionnel"/>
    <w:p>
      <w:pPr>
        <w:pStyle w:val="Heading2"/>
      </w:pPr>
      <w:r>
        <w:t xml:space="preserve">Cadre juridique et institutionnel</w:t>
      </w:r>
    </w:p>
    <w:p>
      <w:pPr>
        <w:pStyle w:val="TableTitle"/>
      </w:pPr>
      <w:r>
        <w:rPr>
          <w:b/>
          <w:bCs/>
        </w:rPr>
        <w:t xml:space="preserve">Tableau B.1.2</w:t>
      </w:r>
      <w:r>
        <w:t xml:space="preserve"> </w:t>
      </w:r>
      <w:r>
        <w:t xml:space="preserve">— Cadre juridique et institutionnel, CNSS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235"/>
    <w:bookmarkStart w:id="262" w:name="donnees-de-couverture"/>
    <w:p>
      <w:pPr>
        <w:pStyle w:val="Heading2"/>
      </w:pPr>
      <w:r>
        <w:t xml:space="preserve">Données de couverture</w:t>
      </w:r>
    </w:p>
    <w:p>
      <w:pPr>
        <w:pStyle w:val="TableTitle"/>
      </w:pPr>
      <w:r>
        <w:rPr>
          <w:b/>
          <w:bCs/>
        </w:rPr>
        <w:t xml:space="preserve">Tableau B.1.3</w:t>
      </w:r>
      <w:r>
        <w:t xml:space="preserve"> </w:t>
      </w:r>
      <w:r>
        <w:t xml:space="preserve">— Données de couverture, CNSS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w:t>
      </w:r>
    </w:p>
    <w:bookmarkStart w:id="236" w:name="regimes-geres"/>
    <w:p>
      <w:pPr>
        <w:pStyle w:val="Heading3"/>
      </w:pPr>
      <w:r>
        <w:t xml:space="preserve">Régimes gérés</w:t>
      </w:r>
    </w:p>
    <w:p>
      <w:pPr>
        <w:pStyle w:val="TableTitle"/>
      </w:pPr>
      <w:r>
        <w:rPr>
          <w:b/>
          <w:bCs/>
        </w:rPr>
        <w:t xml:space="preserve">Tableau B.1.4</w:t>
      </w:r>
      <w:r>
        <w:t xml:space="preserve"> </w:t>
      </w:r>
      <w:r>
        <w:t xml:space="preserve">— Régimes gérés, CNSS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Enfants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 Handicap;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 soutien et assistance n.c.a.</w:t>
            </w:r>
          </w:p>
        </w:tc>
      </w:tr>
    </w:tbl>
    <w:bookmarkEnd w:id="236"/>
    <w:bookmarkStart w:id="255" w:name="X847c51d818c8fcf40695592aa010ee721263070"/>
    <w:p>
      <w:pPr>
        <w:pStyle w:val="Heading3"/>
      </w:pPr>
      <w:r>
        <w:t xml:space="preserve">Aperçu graphique (tous régimes, toutes années)</w:t>
      </w:r>
    </w:p>
    <w:p>
      <w:pPr>
        <w:pStyle w:val="GraphicTitle"/>
      </w:pPr>
      <w:r>
        <w:rPr>
          <w:b/>
          <w:bCs/>
        </w:rPr>
        <w:t xml:space="preserve">Figure B.1.1</w:t>
      </w:r>
      <w:r>
        <w:t xml:space="preserve"> </w:t>
      </w:r>
      <w:r>
        <w:t xml:space="preserve">— Évolution des cotisants, bénéficiaires, dépenses et recettes (tous régimes), CNSS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38" name="Picture"/>
                  <a:graphic>
                    <a:graphicData uri="http://schemas.openxmlformats.org/drawingml/2006/picture">
                      <pic:pic>
                        <pic:nvPicPr>
                          <pic:cNvPr descr="C:/Users/M.Diouf/OneDrive/Bureau/RDC%20Bulletin%20V1/Bulletin_rdc_2026_agents/04_annexes/illustrations/annexe_B_CNSS_cotisants.png" id="239" name="Picture"/>
                          <pic:cNvPicPr>
                            <a:picLocks noChangeArrowheads="1" noChangeAspect="1"/>
                          </pic:cNvPicPr>
                        </pic:nvPicPr>
                        <pic:blipFill>
                          <a:blip r:embed="rId237"/>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41" name="Picture"/>
                  <a:graphic>
                    <a:graphicData uri="http://schemas.openxmlformats.org/drawingml/2006/picture">
                      <pic:pic>
                        <pic:nvPicPr>
                          <pic:cNvPr descr="C:/Users/M.Diouf/OneDrive/Bureau/RDC%20Bulletin%20V1/Bulletin_rdc_2026_agents/04_annexes/illustrations/annexe_B_CNSS_beneficiaires.png" id="242" name="Picture"/>
                          <pic:cNvPicPr>
                            <a:picLocks noChangeArrowheads="1" noChangeAspect="1"/>
                          </pic:cNvPicPr>
                        </pic:nvPicPr>
                        <pic:blipFill>
                          <a:blip r:embed="rId240"/>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44" name="Picture"/>
                  <a:graphic>
                    <a:graphicData uri="http://schemas.openxmlformats.org/drawingml/2006/picture">
                      <pic:pic>
                        <pic:nvPicPr>
                          <pic:cNvPr descr="C:/Users/M.Diouf/OneDrive/Bureau/RDC%20Bulletin%20V1/Bulletin_rdc_2026_agents/04_annexes/illustrations/annexe_B_CNSS_depenses.png" id="245" name="Picture"/>
                          <pic:cNvPicPr>
                            <a:picLocks noChangeArrowheads="1" noChangeAspect="1"/>
                          </pic:cNvPicPr>
                        </pic:nvPicPr>
                        <pic:blipFill>
                          <a:blip r:embed="rId243"/>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47" name="Picture"/>
                  <a:graphic>
                    <a:graphicData uri="http://schemas.openxmlformats.org/drawingml/2006/picture">
                      <pic:pic>
                        <pic:nvPicPr>
                          <pic:cNvPr descr="C:/Users/M.Diouf/OneDrive/Bureau/RDC%20Bulletin%20V1/Bulletin_rdc_2026_agents/04_annexes/illustrations/annexe_B_CNSS_depense_par_beneficiaire.png" id="248" name="Picture"/>
                          <pic:cNvPicPr>
                            <a:picLocks noChangeArrowheads="1" noChangeAspect="1"/>
                          </pic:cNvPicPr>
                        </pic:nvPicPr>
                        <pic:blipFill>
                          <a:blip r:embed="rId246"/>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0" name="Picture"/>
                  <a:graphic>
                    <a:graphicData uri="http://schemas.openxmlformats.org/drawingml/2006/picture">
                      <pic:pic>
                        <pic:nvPicPr>
                          <pic:cNvPr descr="C:/Users/M.Diouf/OneDrive/Bureau/RDC%20Bulletin%20V1/Bulletin_rdc_2026_agents/04_annexes/illustrations/annexe_B_CNSS_recettes.png" id="251" name="Picture"/>
                          <pic:cNvPicPr>
                            <a:picLocks noChangeArrowheads="1" noChangeAspect="1"/>
                          </pic:cNvPicPr>
                        </pic:nvPicPr>
                        <pic:blipFill>
                          <a:blip r:embed="rId249"/>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53" name="Picture"/>
                  <a:graphic>
                    <a:graphicData uri="http://schemas.openxmlformats.org/drawingml/2006/picture">
                      <pic:pic>
                        <pic:nvPicPr>
                          <pic:cNvPr descr="C:/Users/M.Diouf/OneDrive/Bureau/RDC%20Bulletin%20V1/Bulletin_rdc_2026_agents/04_annexes/illustrations/annexe_B_CNSS_contribution.png" id="254" name="Picture"/>
                          <pic:cNvPicPr>
                            <a:picLocks noChangeArrowheads="1" noChangeAspect="1"/>
                          </pic:cNvPicPr>
                        </pic:nvPicPr>
                        <pic:blipFill>
                          <a:blip r:embed="rId252"/>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255"/>
    <w:bookmarkStart w:id="259" w:name="X4fc68db528213a785e80e78ff9cb66684ba23ec"/>
    <w:p>
      <w:pPr>
        <w:pStyle w:val="Heading3"/>
      </w:pPr>
      <w:r>
        <w:t xml:space="preserve">Répartition par sexe (cotisants et bénéficiaires cumulés)</w:t>
      </w:r>
    </w:p>
    <w:p>
      <w:pPr>
        <w:pStyle w:val="GraphicTitle"/>
      </w:pPr>
      <w:r>
        <w:rPr>
          <w:b/>
          <w:bCs/>
        </w:rPr>
        <w:t xml:space="preserve">Figure B.1.2</w:t>
      </w:r>
      <w:r>
        <w:t xml:space="preserve"> </w:t>
      </w:r>
      <w:r>
        <w:t xml:space="preserve">— Répartition par sexe des cotisants et bénéficiaires cumulés, CNSS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257" name="Picture"/>
            <a:graphic>
              <a:graphicData uri="http://schemas.openxmlformats.org/drawingml/2006/picture">
                <pic:pic>
                  <pic:nvPicPr>
                    <pic:cNvPr descr="C:/Users/M.Diouf/OneDrive/Bureau/RDC%20Bulletin%20V1/Bulletin_rdc_2026_agents/04_annexes/illustrations/annexe_B_CNSS_sexe.png" id="258" name="Picture"/>
                    <pic:cNvPicPr>
                      <a:picLocks noChangeArrowheads="1" noChangeAspect="1"/>
                    </pic:cNvPicPr>
                  </pic:nvPicPr>
                  <pic:blipFill>
                    <a:blip r:embed="rId256"/>
                    <a:stretch>
                      <a:fillRect/>
                    </a:stretch>
                  </pic:blipFill>
                  <pic:spPr bwMode="auto">
                    <a:xfrm>
                      <a:off x="0" y="0"/>
                      <a:ext cx="5753100" cy="3580386"/>
                    </a:xfrm>
                    <a:prstGeom prst="rect">
                      <a:avLst/>
                    </a:prstGeom>
                    <a:noFill/>
                    <a:ln w="9525">
                      <a:noFill/>
                      <a:headEnd/>
                      <a:tailEnd/>
                    </a:ln>
                  </pic:spPr>
                </pic:pic>
              </a:graphicData>
            </a:graphic>
          </wp:inline>
        </w:drawing>
      </w:r>
    </w:p>
    <w:bookmarkEnd w:id="259"/>
    <w:bookmarkStart w:id="261" w:name="donnees-detaillees-par-regime-et-annee"/>
    <w:p>
      <w:pPr>
        <w:pStyle w:val="Heading3"/>
      </w:pPr>
      <w:r>
        <w:t xml:space="preserve">Données détaillées (par régime et année)</w:t>
      </w:r>
    </w:p>
    <w:p>
      <w:pPr>
        <w:pStyle w:val="TableTitle"/>
      </w:pPr>
      <w:r>
        <w:rPr>
          <w:b/>
          <w:bCs/>
        </w:rPr>
        <w:t xml:space="preserve">Tableau B.1.5</w:t>
      </w:r>
      <w:r>
        <w:t xml:space="preserve"> </w:t>
      </w:r>
      <w:r>
        <w:t xml:space="preserve">— Données détaillées par régime et année, CNSS (2019–2025)</w:t>
      </w:r>
      <w:r>
        <w:rPr>
          <w:rStyle w:val="FootnoteReference"/>
        </w:rPr>
        <w:footnoteReference w:id="26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933,349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1,256,938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1,130,824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1,257,285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633.61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911,951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681.31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851</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Prestations aux familles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146.22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157.22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64,249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68,459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71,558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77,581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75,507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974.79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1,686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79,822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6,642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19.95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23,492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Action sociale et sanitaire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914,608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1,004,436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725.69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1,330,577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1,567</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1,211,239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consolidée des ESS OIT/BIT.</w:t>
      </w:r>
    </w:p>
    <w:bookmarkEnd w:id="261"/>
    <w:bookmarkEnd w:id="262"/>
    <w:bookmarkStart w:id="263"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63"/>
    <w:bookmarkEnd w:id="264"/>
    <w:bookmarkStart w:id="294" w:name="X3f03b1681aa93e593fecf9568ba9c9c3c6dbef6"/>
    <w:p>
      <w:pPr>
        <w:pStyle w:val="Heading1"/>
      </w:pPr>
      <w:r>
        <w:t xml:space="preserve">B.2 Caisse Nationale de Sécurité Sociale des Agents Publics de l'État (CNSSAP)</w:t>
      </w:r>
    </w:p>
    <w:bookmarkStart w:id="265"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p>
      <w:pPr>
        <w:pStyle w:val="TableTitle"/>
      </w:pPr>
      <w:r>
        <w:rPr>
          <w:b/>
          <w:bCs/>
        </w:rPr>
        <w:t xml:space="preserve">Tableau B.2.1</w:t>
      </w:r>
      <w:r>
        <w:t xml:space="preserve"> </w:t>
      </w:r>
      <w:r>
        <w:t xml:space="preserve">— Branches de sécurité sociale couvertes,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 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professionnels,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prénatales et de maternité ; branche prévue par les textes fondateurs, non encore individualisée dans les déclarations ESS</w:t>
            </w:r>
          </w:p>
        </w:tc>
      </w:tr>
    </w:tbl>
    <w:p>
      <w:pPr>
        <w:pStyle w:val="Normal"/>
      </w:pPr>
      <w:r>
        <w:rPr>
          <w:i/>
          <w:iCs/>
        </w:rPr>
        <w:t xml:space="preserve">Branches non couvertes par la CNSSAP : soins de santé (couverte partiellement par l'action sociale et sanitaire, non documentée comme branche formelle) et chômage.</w:t>
      </w:r>
    </w:p>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65"/>
    <w:bookmarkStart w:id="266" w:name="cadre-juridique-et-institutionnel_1"/>
    <w:p>
      <w:pPr>
        <w:pStyle w:val="Heading2"/>
      </w:pPr>
      <w:r>
        <w:t xml:space="preserve">Cadre juridique et institutionnel</w:t>
      </w:r>
    </w:p>
    <w:p>
      <w:pPr>
        <w:pStyle w:val="TableTitle"/>
      </w:pPr>
      <w:r>
        <w:rPr>
          <w:b/>
          <w:bCs/>
        </w:rPr>
        <w:t xml:space="preserve">Tableau B.2.2</w:t>
      </w:r>
      <w:r>
        <w:t xml:space="preserve"> </w:t>
      </w:r>
      <w:r>
        <w:t xml:space="preserve">— Cadre juridique et institutionnel, CNSSAP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266"/>
    <w:bookmarkStart w:id="292" w:name="donnees-de-couverture_1"/>
    <w:p>
      <w:pPr>
        <w:pStyle w:val="Heading2"/>
      </w:pPr>
      <w:r>
        <w:t xml:space="preserve">Données de couverture</w:t>
      </w:r>
    </w:p>
    <w:p>
      <w:pPr>
        <w:pStyle w:val="TableTitle"/>
      </w:pPr>
      <w:r>
        <w:rPr>
          <w:b/>
          <w:bCs/>
        </w:rPr>
        <w:t xml:space="preserve">Tableau B.2.3</w:t>
      </w:r>
      <w:r>
        <w:t xml:space="preserve"> </w:t>
      </w:r>
      <w:r>
        <w:t xml:space="preserve">— Données de couverture,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premier Bulletin statistique RDC (2023) pour 20192022. Données 2023 à transmettre par la CNSSAP.</w:t>
      </w:r>
    </w:p>
    <w:bookmarkStart w:id="267" w:name="regimes-geres_1"/>
    <w:p>
      <w:pPr>
        <w:pStyle w:val="Heading3"/>
      </w:pPr>
      <w:r>
        <w:t xml:space="preserve">Régimes gérés</w:t>
      </w:r>
    </w:p>
    <w:p>
      <w:pPr>
        <w:pStyle w:val="TableTitle"/>
      </w:pPr>
      <w:r>
        <w:rPr>
          <w:b/>
          <w:bCs/>
        </w:rPr>
        <w:t xml:space="preserve">Tableau B.2.4</w:t>
      </w:r>
      <w:r>
        <w:t xml:space="preserve"> </w:t>
      </w:r>
      <w:r>
        <w:t xml:space="preserve">— Régimes gérés, CNSSAP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Maladie (en espèces); Accident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67"/>
    <w:bookmarkStart w:id="286" w:name="Xcab7a6ae40b950855ce980b69af3fd62a811063"/>
    <w:p>
      <w:pPr>
        <w:pStyle w:val="Heading3"/>
      </w:pPr>
      <w:r>
        <w:t xml:space="preserve">Aperçu graphique (tous régimes, toutes années)</w:t>
      </w:r>
    </w:p>
    <w:p>
      <w:pPr>
        <w:pStyle w:val="GraphicTitle"/>
      </w:pPr>
      <w:r>
        <w:rPr>
          <w:b/>
          <w:bCs/>
        </w:rPr>
        <w:t xml:space="preserve">Figure B.2.1</w:t>
      </w:r>
      <w:r>
        <w:t xml:space="preserve"> </w:t>
      </w:r>
      <w:r>
        <w:t xml:space="preserve">— Évolution des cotisants, bénéficiaires, dépenses et recettes (tous régimes), CNSSAP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69" name="Picture"/>
                  <a:graphic>
                    <a:graphicData uri="http://schemas.openxmlformats.org/drawingml/2006/picture">
                      <pic:pic>
                        <pic:nvPicPr>
                          <pic:cNvPr descr="C:/Users/M.Diouf/OneDrive/Bureau/RDC%20Bulletin%20V1/Bulletin_rdc_2026_agents/04_annexes/illustrations/annexe_B_CNSSAP_cotisants.png" id="270" name="Picture"/>
                          <pic:cNvPicPr>
                            <a:picLocks noChangeArrowheads="1" noChangeAspect="1"/>
                          </pic:cNvPicPr>
                        </pic:nvPicPr>
                        <pic:blipFill>
                          <a:blip r:embed="rId268"/>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72" name="Picture"/>
                  <a:graphic>
                    <a:graphicData uri="http://schemas.openxmlformats.org/drawingml/2006/picture">
                      <pic:pic>
                        <pic:nvPicPr>
                          <pic:cNvPr descr="C:/Users/M.Diouf/OneDrive/Bureau/RDC%20Bulletin%20V1/Bulletin_rdc_2026_agents/04_annexes/illustrations/annexe_B_CNSSAP_beneficiaires.png" id="273" name="Picture"/>
                          <pic:cNvPicPr>
                            <a:picLocks noChangeArrowheads="1" noChangeAspect="1"/>
                          </pic:cNvPicPr>
                        </pic:nvPicPr>
                        <pic:blipFill>
                          <a:blip r:embed="rId271"/>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75" name="Picture"/>
                  <a:graphic>
                    <a:graphicData uri="http://schemas.openxmlformats.org/drawingml/2006/picture">
                      <pic:pic>
                        <pic:nvPicPr>
                          <pic:cNvPr descr="C:/Users/M.Diouf/OneDrive/Bureau/RDC%20Bulletin%20V1/Bulletin_rdc_2026_agents/04_annexes/illustrations/annexe_B_CNSSAP_depenses.png" id="276" name="Picture"/>
                          <pic:cNvPicPr>
                            <a:picLocks noChangeArrowheads="1" noChangeAspect="1"/>
                          </pic:cNvPicPr>
                        </pic:nvPicPr>
                        <pic:blipFill>
                          <a:blip r:embed="rId274"/>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78" name="Picture"/>
                  <a:graphic>
                    <a:graphicData uri="http://schemas.openxmlformats.org/drawingml/2006/picture">
                      <pic:pic>
                        <pic:nvPicPr>
                          <pic:cNvPr descr="C:/Users/M.Diouf/OneDrive/Bureau/RDC%20Bulletin%20V1/Bulletin_rdc_2026_agents/04_annexes/illustrations/annexe_B_CNSSAP_depense_par_beneficiaire.png" id="279" name="Picture"/>
                          <pic:cNvPicPr>
                            <a:picLocks noChangeArrowheads="1" noChangeAspect="1"/>
                          </pic:cNvPicPr>
                        </pic:nvPicPr>
                        <pic:blipFill>
                          <a:blip r:embed="rId277"/>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1" name="Picture"/>
                  <a:graphic>
                    <a:graphicData uri="http://schemas.openxmlformats.org/drawingml/2006/picture">
                      <pic:pic>
                        <pic:nvPicPr>
                          <pic:cNvPr descr="C:/Users/M.Diouf/OneDrive/Bureau/RDC%20Bulletin%20V1/Bulletin_rdc_2026_agents/04_annexes/illustrations/annexe_B_CNSSAP_recettes.png" id="282" name="Picture"/>
                          <pic:cNvPicPr>
                            <a:picLocks noChangeArrowheads="1" noChangeAspect="1"/>
                          </pic:cNvPicPr>
                        </pic:nvPicPr>
                        <pic:blipFill>
                          <a:blip r:embed="rId280"/>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284" name="Picture"/>
                  <a:graphic>
                    <a:graphicData uri="http://schemas.openxmlformats.org/drawingml/2006/picture">
                      <pic:pic>
                        <pic:nvPicPr>
                          <pic:cNvPr descr="C:/Users/M.Diouf/OneDrive/Bureau/RDC%20Bulletin%20V1/Bulletin_rdc_2026_agents/04_annexes/illustrations/annexe_B_CNSSAP_contribution.png" id="285" name="Picture"/>
                          <pic:cNvPicPr>
                            <a:picLocks noChangeArrowheads="1" noChangeAspect="1"/>
                          </pic:cNvPicPr>
                        </pic:nvPicPr>
                        <pic:blipFill>
                          <a:blip r:embed="rId283"/>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286"/>
    <w:bookmarkStart w:id="290" w:name="Xd9bad4bd0f301a6967e070b01ae18e24c6b6218"/>
    <w:p>
      <w:pPr>
        <w:pStyle w:val="Heading3"/>
      </w:pPr>
      <w:r>
        <w:t xml:space="preserve">Répartition par sexe (cotisants et bénéficiaires cumulés)</w:t>
      </w:r>
    </w:p>
    <w:p>
      <w:pPr>
        <w:pStyle w:val="GraphicTitle"/>
      </w:pPr>
      <w:r>
        <w:rPr>
          <w:b/>
          <w:bCs/>
        </w:rPr>
        <w:t xml:space="preserve">Figure B.2.2</w:t>
      </w:r>
      <w:r>
        <w:t xml:space="preserve"> </w:t>
      </w:r>
      <w:r>
        <w:t xml:space="preserve">— Répartition par sexe des cotisants et bénéficiaires cumulés, CNSSAP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288" name="Picture"/>
            <a:graphic>
              <a:graphicData uri="http://schemas.openxmlformats.org/drawingml/2006/picture">
                <pic:pic>
                  <pic:nvPicPr>
                    <pic:cNvPr descr="C:/Users/M.Diouf/OneDrive/Bureau/RDC%20Bulletin%20V1/Bulletin_rdc_2026_agents/04_annexes/illustrations/annexe_B_CNSSAP_sexe.png" id="289" name="Picture"/>
                    <pic:cNvPicPr>
                      <a:picLocks noChangeArrowheads="1" noChangeAspect="1"/>
                    </pic:cNvPicPr>
                  </pic:nvPicPr>
                  <pic:blipFill>
                    <a:blip r:embed="rId287"/>
                    <a:stretch>
                      <a:fillRect/>
                    </a:stretch>
                  </pic:blipFill>
                  <pic:spPr bwMode="auto">
                    <a:xfrm>
                      <a:off x="0" y="0"/>
                      <a:ext cx="5753100" cy="3580386"/>
                    </a:xfrm>
                    <a:prstGeom prst="rect">
                      <a:avLst/>
                    </a:prstGeom>
                    <a:noFill/>
                    <a:ln w="9525">
                      <a:noFill/>
                      <a:headEnd/>
                      <a:tailEnd/>
                    </a:ln>
                  </pic:spPr>
                </pic:pic>
              </a:graphicData>
            </a:graphic>
          </wp:inline>
        </w:drawing>
      </w:r>
    </w:p>
    <w:bookmarkEnd w:id="290"/>
    <w:bookmarkStart w:id="291" w:name="donnees-detaillees-par-regime-et-annee_1"/>
    <w:p>
      <w:pPr>
        <w:pStyle w:val="Heading3"/>
      </w:pPr>
      <w:r>
        <w:t xml:space="preserve">Données détaillées (par régime et année)</w:t>
      </w:r>
    </w:p>
    <w:p>
      <w:pPr>
        <w:pStyle w:val="TableTitle"/>
      </w:pPr>
      <w:r>
        <w:rPr>
          <w:b/>
          <w:bCs/>
        </w:rPr>
        <w:t xml:space="preserve">Tableau B.2.5</w:t>
      </w:r>
      <w:r>
        <w:t xml:space="preserve"> </w:t>
      </w:r>
      <w:r>
        <w:t xml:space="preserve">— Données détaillées par régime et année, CNSSAP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10,897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281.56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454</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base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1,892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Reforme du transfert des assurés du sytème octroyé à la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33.90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981,796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Risques professionnels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55.35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6,905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ENSEMBLE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consolidée des ESS OIT/BIT.</w:t>
      </w:r>
    </w:p>
    <w:bookmarkEnd w:id="291"/>
    <w:bookmarkEnd w:id="292"/>
    <w:bookmarkStart w:id="293"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93"/>
    <w:bookmarkEnd w:id="294"/>
    <w:bookmarkStart w:id="299" w:name="X9ed90e874d7ea7d4d610365174f9098c0c41dd2"/>
    <w:p>
      <w:pPr>
        <w:pStyle w:val="Heading1"/>
      </w:pPr>
      <w:r>
        <w:t xml:space="preserve">B.3 Fonds National de Promotion et de Service Social (FNPSS)</w:t>
      </w:r>
    </w:p>
    <w:p>
      <w:pPr>
        <w:pStyle w:val="Normal"/>
      </w:pPr>
      <w:r>
        <w:rPr>
          <w:i/>
          <w:iCs/>
        </w:rPr>
        <w:t xml:space="preserve">Capture non disponible à ce stade : l'institution FNPSS n'apparaît pas encore comme entrée dédiée dans l'onglet « Par institution » du tableau de bord.</w:t>
      </w:r>
    </w:p>
    <w:bookmarkStart w:id="295" w:name="mission-et-branches-couvertes_2"/>
    <w:p>
      <w:pPr>
        <w:pStyle w:val="Heading2"/>
      </w:pPr>
      <w:r>
        <w:t xml:space="preserve">Mission et branches couvertes</w:t>
      </w:r>
    </w:p>
    <w:p>
      <w:pPr>
        <w:pStyle w:val="Normal"/>
      </w:pPr>
      <w:r>
        <w:rPr>
          <w:i/>
          <w:iCs/>
        </w:rPr>
        <w:t xml:space="preserve">[À rédiger à réception des informations du FNPSS.]</w:t>
      </w:r>
    </w:p>
    <w:p>
      <w:pPr>
        <w:pStyle w:val="TableTitle"/>
      </w:pPr>
      <w:r>
        <w:rPr>
          <w:b/>
          <w:bCs/>
        </w:rPr>
        <w:t xml:space="preserve">Tableau B.3.1</w:t>
      </w:r>
      <w:r>
        <w:t xml:space="preserve"> </w:t>
      </w:r>
      <w:r>
        <w:t xml:space="preserve">— Branches de sécurité sociale couvertes,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r>
    </w:tbl>
    <w:p>
      <w:pPr>
        <w:pStyle w:val="Normal"/>
      </w:pPr>
      <w:r>
        <w:rPr>
          <w:b/>
          <w:bCs/>
        </w:rPr>
        <w:t xml:space="preserve">Population assujettie :</w:t>
      </w:r>
      <w:r>
        <w:t xml:space="preserve"> </w:t>
      </w:r>
      <w:r>
        <w:rPr>
          <w:i/>
          <w:iCs/>
        </w:rPr>
        <w:t xml:space="preserve">À préciser.</w:t>
      </w:r>
    </w:p>
    <w:bookmarkEnd w:id="295"/>
    <w:bookmarkStart w:id="296" w:name="cadre-juridique-et-institutionnel_2"/>
    <w:p>
      <w:pPr>
        <w:pStyle w:val="Heading2"/>
      </w:pPr>
      <w:r>
        <w:t xml:space="preserve">Cadre juridique et institutionnel</w:t>
      </w:r>
    </w:p>
    <w:p>
      <w:pPr>
        <w:pStyle w:val="TableTitle"/>
      </w:pPr>
      <w:r>
        <w:rPr>
          <w:b/>
          <w:bCs/>
        </w:rPr>
        <w:t xml:space="preserve">Tableau B.3.2</w:t>
      </w:r>
      <w:r>
        <w:t xml:space="preserve"> </w:t>
      </w:r>
      <w:r>
        <w:t xml:space="preserve">— Cadre juridique et institutionnel, FNPSS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296"/>
    <w:bookmarkStart w:id="297" w:name="donnees-de-couverture_2"/>
    <w:p>
      <w:pPr>
        <w:pStyle w:val="Heading2"/>
      </w:pPr>
      <w:r>
        <w:t xml:space="preserve">Données de couverture</w:t>
      </w:r>
    </w:p>
    <w:p>
      <w:pPr>
        <w:pStyle w:val="TableTitle"/>
      </w:pPr>
      <w:r>
        <w:rPr>
          <w:b/>
          <w:bCs/>
        </w:rPr>
        <w:t xml:space="preserve">Tableau B.3.3</w:t>
      </w:r>
      <w:r>
        <w:t xml:space="preserve"> </w:t>
      </w:r>
      <w:r>
        <w:t xml:space="preserve">— Données de couverture, FNPSS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297"/>
    <w:bookmarkStart w:id="298"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98"/>
    <w:bookmarkEnd w:id="299"/>
    <w:bookmarkStart w:id="329" w:name="Xa01847978b6c2488585ea0a18a7398d7cc09228"/>
    <w:p>
      <w:pPr>
        <w:pStyle w:val="Heading1"/>
      </w:pPr>
      <w:r>
        <w:t xml:space="preserve">B.4 Mutuelle de Santé des Enseignants de l'Enseignement Primaire, Secondaire et Professionnel (MESP)</w:t>
      </w:r>
    </w:p>
    <w:bookmarkStart w:id="300"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p>
      <w:pPr>
        <w:pStyle w:val="TableTitle"/>
      </w:pPr>
      <w:r>
        <w:rPr>
          <w:b/>
          <w:bCs/>
        </w:rPr>
        <w:t xml:space="preserve">Tableau B.4.1</w:t>
      </w:r>
      <w:r>
        <w:t xml:space="preserve"> </w:t>
      </w:r>
      <w:r>
        <w:t xml:space="preserve">— Branches de sécurité sociale couvertes,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bl>
    <w:p>
      <w:pPr>
        <w:pStyle w:val="Normal"/>
      </w:pPr>
      <w:r>
        <w:rPr>
          <w:i/>
          <w:iCs/>
        </w:rPr>
        <w:t xml:space="preserve">Branches non couvertes par la MESP : vieillesse / pensions, AT/MP, prestations familiales.</w:t>
      </w:r>
    </w:p>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300"/>
    <w:bookmarkStart w:id="301" w:name="cadre-juridique-et-institutionnel_3"/>
    <w:p>
      <w:pPr>
        <w:pStyle w:val="Heading2"/>
      </w:pPr>
      <w:r>
        <w:t xml:space="preserve">Cadre juridique et institutionnel</w:t>
      </w:r>
    </w:p>
    <w:p>
      <w:pPr>
        <w:pStyle w:val="TableTitle"/>
      </w:pPr>
      <w:r>
        <w:rPr>
          <w:b/>
          <w:bCs/>
        </w:rPr>
        <w:t xml:space="preserve">Tableau B.4.2</w:t>
      </w:r>
      <w:r>
        <w:t xml:space="preserve"> </w:t>
      </w:r>
      <w:r>
        <w:t xml:space="preserve">— Cadre juridique et institutionnel, MESP</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301"/>
    <w:bookmarkStart w:id="327" w:name="donnees-de-couverture_3"/>
    <w:p>
      <w:pPr>
        <w:pStyle w:val="Heading2"/>
      </w:pPr>
      <w:r>
        <w:t xml:space="preserve">Données de couverture</w:t>
      </w:r>
    </w:p>
    <w:p>
      <w:pPr>
        <w:pStyle w:val="TableTitle"/>
      </w:pPr>
      <w:r>
        <w:rPr>
          <w:b/>
          <w:bCs/>
        </w:rPr>
        <w:t xml:space="preserve">Tableau B.4.3</w:t>
      </w:r>
      <w:r>
        <w:t xml:space="preserve"> </w:t>
      </w:r>
      <w:r>
        <w:t xml:space="preserve">— Données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bl>
    <w:p>
      <w:pPr>
        <w:pStyle w:val="Source-GraphicPicture"/>
      </w:pPr>
      <w:r>
        <w:rPr>
          <w:i/>
          <w:iCs/>
        </w:rPr>
        <w:t xml:space="preserve">Source : données transmises par le MEPST (2023), reprises dans le premier Bulletin statistique RDC N°1/2023.</w:t>
      </w:r>
    </w:p>
    <w:bookmarkStart w:id="302" w:name="regimes-geres_2"/>
    <w:p>
      <w:pPr>
        <w:pStyle w:val="Heading3"/>
      </w:pPr>
      <w:r>
        <w:t xml:space="preserve">Régimes gérés</w:t>
      </w:r>
    </w:p>
    <w:p>
      <w:pPr>
        <w:pStyle w:val="TableTitle"/>
      </w:pPr>
      <w:r>
        <w:rPr>
          <w:b/>
          <w:bCs/>
        </w:rPr>
        <w:t xml:space="preserve">Tableau B.4.4</w:t>
      </w:r>
      <w:r>
        <w:t xml:space="preserve"> </w:t>
      </w:r>
      <w:r>
        <w:t xml:space="preserve">— Régimes gérés, MESP</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Privée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302"/>
    <w:bookmarkStart w:id="321" w:name="X90ea25a3f00674ffcb1ba7b2f5e84399bbab55b"/>
    <w:p>
      <w:pPr>
        <w:pStyle w:val="Heading3"/>
      </w:pPr>
      <w:r>
        <w:t xml:space="preserve">Aperçu graphique (tous régimes, toutes années)</w:t>
      </w:r>
    </w:p>
    <w:p>
      <w:pPr>
        <w:pStyle w:val="GraphicTitle"/>
      </w:pPr>
      <w:r>
        <w:rPr>
          <w:b/>
          <w:bCs/>
        </w:rPr>
        <w:t xml:space="preserve">Figure B.4.1</w:t>
      </w:r>
      <w:r>
        <w:t xml:space="preserve"> </w:t>
      </w:r>
      <w:r>
        <w:t xml:space="preserve">— Évolution des cotisants, bénéficiaires, dépenses et recettes (tous régimes), MESP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04" name="Picture"/>
                  <a:graphic>
                    <a:graphicData uri="http://schemas.openxmlformats.org/drawingml/2006/picture">
                      <pic:pic>
                        <pic:nvPicPr>
                          <pic:cNvPr descr="C:/Users/M.Diouf/OneDrive/Bureau/RDC%20Bulletin%20V1/Bulletin_rdc_2026_agents/04_annexes/illustrations/annexe_B_MESP_cotisants.png" id="305" name="Picture"/>
                          <pic:cNvPicPr>
                            <a:picLocks noChangeArrowheads="1" noChangeAspect="1"/>
                          </pic:cNvPicPr>
                        </pic:nvPicPr>
                        <pic:blipFill>
                          <a:blip r:embed="rId303"/>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07" name="Picture"/>
                  <a:graphic>
                    <a:graphicData uri="http://schemas.openxmlformats.org/drawingml/2006/picture">
                      <pic:pic>
                        <pic:nvPicPr>
                          <pic:cNvPr descr="C:/Users/M.Diouf/OneDrive/Bureau/RDC%20Bulletin%20V1/Bulletin_rdc_2026_agents/04_annexes/illustrations/annexe_B_MESP_beneficiaires.png" id="308" name="Picture"/>
                          <pic:cNvPicPr>
                            <a:picLocks noChangeArrowheads="1" noChangeAspect="1"/>
                          </pic:cNvPicPr>
                        </pic:nvPicPr>
                        <pic:blipFill>
                          <a:blip r:embed="rId306"/>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0" name="Picture"/>
                  <a:graphic>
                    <a:graphicData uri="http://schemas.openxmlformats.org/drawingml/2006/picture">
                      <pic:pic>
                        <pic:nvPicPr>
                          <pic:cNvPr descr="C:/Users/M.Diouf/OneDrive/Bureau/RDC%20Bulletin%20V1/Bulletin_rdc_2026_agents/04_annexes/illustrations/annexe_B_MESP_depenses.png" id="311" name="Picture"/>
                          <pic:cNvPicPr>
                            <a:picLocks noChangeArrowheads="1" noChangeAspect="1"/>
                          </pic:cNvPicPr>
                        </pic:nvPicPr>
                        <pic:blipFill>
                          <a:blip r:embed="rId309"/>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3" name="Picture"/>
                  <a:graphic>
                    <a:graphicData uri="http://schemas.openxmlformats.org/drawingml/2006/picture">
                      <pic:pic>
                        <pic:nvPicPr>
                          <pic:cNvPr descr="C:/Users/M.Diouf/OneDrive/Bureau/RDC%20Bulletin%20V1/Bulletin_rdc_2026_agents/04_annexes/illustrations/annexe_B_MESP_depense_par_beneficiaire.png" id="314" name="Picture"/>
                          <pic:cNvPicPr>
                            <a:picLocks noChangeArrowheads="1" noChangeAspect="1"/>
                          </pic:cNvPicPr>
                        </pic:nvPicPr>
                        <pic:blipFill>
                          <a:blip r:embed="rId312"/>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6" name="Picture"/>
                  <a:graphic>
                    <a:graphicData uri="http://schemas.openxmlformats.org/drawingml/2006/picture">
                      <pic:pic>
                        <pic:nvPicPr>
                          <pic:cNvPr descr="C:/Users/M.Diouf/OneDrive/Bureau/RDC%20Bulletin%20V1/Bulletin_rdc_2026_agents/04_annexes/illustrations/annexe_B_MESP_recettes.png" id="317" name="Picture"/>
                          <pic:cNvPicPr>
                            <a:picLocks noChangeArrowheads="1" noChangeAspect="1"/>
                          </pic:cNvPicPr>
                        </pic:nvPicPr>
                        <pic:blipFill>
                          <a:blip r:embed="rId315"/>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19" name="Picture"/>
                  <a:graphic>
                    <a:graphicData uri="http://schemas.openxmlformats.org/drawingml/2006/picture">
                      <pic:pic>
                        <pic:nvPicPr>
                          <pic:cNvPr descr="C:/Users/M.Diouf/OneDrive/Bureau/RDC%20Bulletin%20V1/Bulletin_rdc_2026_agents/04_annexes/illustrations/annexe_B_MESP_contribution.png" id="320" name="Picture"/>
                          <pic:cNvPicPr>
                            <a:picLocks noChangeArrowheads="1" noChangeAspect="1"/>
                          </pic:cNvPicPr>
                        </pic:nvPicPr>
                        <pic:blipFill>
                          <a:blip r:embed="rId318"/>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21"/>
    <w:bookmarkStart w:id="325" w:name="Xfc56ae980ff95ce55db7e13fc0e632666596d46"/>
    <w:p>
      <w:pPr>
        <w:pStyle w:val="Heading3"/>
      </w:pPr>
      <w:r>
        <w:t xml:space="preserve">Répartition par sexe (cotisants et bénéficiaires cumulés)</w:t>
      </w:r>
    </w:p>
    <w:p>
      <w:pPr>
        <w:pStyle w:val="GraphicTitle"/>
      </w:pPr>
      <w:r>
        <w:rPr>
          <w:b/>
          <w:bCs/>
        </w:rPr>
        <w:t xml:space="preserve">Figure B.4.2</w:t>
      </w:r>
      <w:r>
        <w:t xml:space="preserve"> </w:t>
      </w:r>
      <w:r>
        <w:t xml:space="preserve">— Répartition par sexe des cotisants et bénéficiaires cumulés, MESP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23" name="Picture"/>
            <a:graphic>
              <a:graphicData uri="http://schemas.openxmlformats.org/drawingml/2006/picture">
                <pic:pic>
                  <pic:nvPicPr>
                    <pic:cNvPr descr="C:/Users/M.Diouf/OneDrive/Bureau/RDC%20Bulletin%20V1/Bulletin_rdc_2026_agents/04_annexes/illustrations/annexe_B_MESP_sexe.png" id="324" name="Picture"/>
                    <pic:cNvPicPr>
                      <a:picLocks noChangeArrowheads="1" noChangeAspect="1"/>
                    </pic:cNvPicPr>
                  </pic:nvPicPr>
                  <pic:blipFill>
                    <a:blip r:embed="rId322"/>
                    <a:stretch>
                      <a:fillRect/>
                    </a:stretch>
                  </pic:blipFill>
                  <pic:spPr bwMode="auto">
                    <a:xfrm>
                      <a:off x="0" y="0"/>
                      <a:ext cx="5753100" cy="3580386"/>
                    </a:xfrm>
                    <a:prstGeom prst="rect">
                      <a:avLst/>
                    </a:prstGeom>
                    <a:noFill/>
                    <a:ln w="9525">
                      <a:noFill/>
                      <a:headEnd/>
                      <a:tailEnd/>
                    </a:ln>
                  </pic:spPr>
                </pic:pic>
              </a:graphicData>
            </a:graphic>
          </wp:inline>
        </w:drawing>
      </w:r>
    </w:p>
    <w:bookmarkEnd w:id="325"/>
    <w:bookmarkStart w:id="326" w:name="donnees-detaillees-par-regime-et-annee_2"/>
    <w:p>
      <w:pPr>
        <w:pStyle w:val="Heading3"/>
      </w:pPr>
      <w:r>
        <w:t xml:space="preserve">Données détaillées (par régime et année)</w:t>
      </w:r>
    </w:p>
    <w:p>
      <w:pPr>
        <w:pStyle w:val="TableTitle"/>
      </w:pPr>
      <w:r>
        <w:rPr>
          <w:b/>
          <w:bCs/>
        </w:rPr>
        <w:t xml:space="preserve">Tableau B.4.5</w:t>
      </w:r>
      <w:r>
        <w:t xml:space="preserve"> </w:t>
      </w:r>
      <w:r>
        <w:t xml:space="preserve">— Données détaillées par régime et année,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122,547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130,961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141,826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80,041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164,877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87,019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176,471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96,538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196,574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des Enseignants de l'Enseignement Primaire, Secondaire et Technique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112,608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217,171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consolidée des ESS OIT/BIT.</w:t>
      </w:r>
    </w:p>
    <w:bookmarkEnd w:id="326"/>
    <w:bookmarkEnd w:id="327"/>
    <w:bookmarkStart w:id="328" w:name="evolutions-et-reformes-en-cours_3"/>
    <w:p>
      <w:pPr>
        <w:pStyle w:val="Heading2"/>
      </w:pPr>
      <w:r>
        <w:t xml:space="preserve">Évolutions et réformes en cours</w:t>
      </w:r>
    </w:p>
    <w:p>
      <w:pPr>
        <w:pStyle w:val="Normal"/>
      </w:pPr>
      <w:r>
        <w:t xml:space="preserve">Entre 2019 et 2024, le nombre de contributeurs à la MESP a progressé de</w:t>
      </w:r>
      <w:r>
        <w:t xml:space="preserve"> </w:t>
      </w:r>
      <w:r>
        <w:rPr>
          <w:b/>
          <w:bCs/>
        </w:rPr>
        <w:t xml:space="preserve">92 %</w:t>
      </w:r>
      <w:r>
        <w:t xml:space="preserve">, passant de 50 256 à 96 538. Le nombre de bénéficiaires (contributeurs et personnes à charge) a suivi une progression comparable, passant de 122 547 à 196 574 sur la même période.</w:t>
      </w:r>
      <w:r>
        <w:rPr>
          <w:vertAlign w:val="superscript"/>
        </w:rPr>
        <w:t xml:space="preserve">1</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 Cette évaluation de la couverture provinciale n'a pas été actualisée depuis ; sa situation pour 2023-2025 reste à confirmer auprès de la MESP.</w:t>
      </w:r>
    </w:p>
    <w:p>
      <w:pPr>
        <w:pStyle w:val="Normal"/>
      </w:pPr>
      <w:r>
        <w:rPr>
          <w:vertAlign w:val="superscript"/>
        </w:rPr>
        <w:t xml:space="preserve">1</w:t>
      </w:r>
      <w:r>
        <w:t xml:space="preserve"> </w:t>
      </w:r>
      <w:r>
        <w:rPr>
          <w:i/>
          <w:iCs/>
        </w:rPr>
        <w:t xml:space="preserve">Les effectifs 2025 transmis par la MESP reprennent à l'identique ceux de 2024 (96 538 cotisants, 196 574 bénéficiaires) : cette stabilité n'est pas confirmée comme une observation distincte et reste à vérifier auprès de l'institution.</w:t>
      </w:r>
    </w:p>
    <w:p>
      <w:pPr>
        <w:pStyle w:val="Normal"/>
      </w:pPr>
      <w:r>
        <w:t xml:space="preserve">L'extension géographique progressive constitue le principal enjeu stratégique de la MESP pour les années à venir.</w:t>
      </w:r>
    </w:p>
    <w:bookmarkEnd w:id="328"/>
    <w:bookmarkEnd w:id="329"/>
    <w:bookmarkStart w:id="359" w:name="b5-fonds-de-solidarite-de-sante-fss"/>
    <w:p>
      <w:pPr>
        <w:pStyle w:val="Heading1"/>
      </w:pPr>
      <w:r>
        <w:t xml:space="preserve">B.5 Fonds de Solidarité de Santé (FSS)</w:t>
      </w:r>
    </w:p>
    <w:bookmarkStart w:id="330"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p>
      <w:pPr>
        <w:pStyle w:val="TableTitle"/>
      </w:pPr>
      <w:r>
        <w:rPr>
          <w:b/>
          <w:bCs/>
        </w:rPr>
        <w:t xml:space="preserve">Tableau B.5.1</w:t>
      </w:r>
      <w:r>
        <w:t xml:space="preserve"> </w:t>
      </w:r>
      <w:r>
        <w:t xml:space="preserve">— Régimes prévus au sein du FSS et état d'opérationnalisation</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330"/>
    <w:bookmarkStart w:id="331" w:name="cadre-juridique-et-institutionnel_4"/>
    <w:p>
      <w:pPr>
        <w:pStyle w:val="Heading2"/>
      </w:pPr>
      <w:r>
        <w:t xml:space="preserve">Cadre juridique et institutionnel</w:t>
      </w:r>
    </w:p>
    <w:p>
      <w:pPr>
        <w:pStyle w:val="TableTitle"/>
      </w:pPr>
      <w:r>
        <w:rPr>
          <w:b/>
          <w:bCs/>
        </w:rPr>
        <w:t xml:space="preserve">Tableau B.5.2</w:t>
      </w:r>
      <w:r>
        <w:t xml:space="preserve"> </w:t>
      </w:r>
      <w:r>
        <w:t xml:space="preserve">— Cadre juridique et institutionnel, FSS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331"/>
    <w:bookmarkStart w:id="357" w:name="donnees-de-couverture_4"/>
    <w:p>
      <w:pPr>
        <w:pStyle w:val="Heading2"/>
      </w:pPr>
      <w:r>
        <w:t xml:space="preserve">Données de couverture</w:t>
      </w:r>
    </w:p>
    <w:p>
      <w:pPr>
        <w:pStyle w:val="TableTitle"/>
      </w:pPr>
      <w:r>
        <w:rPr>
          <w:b/>
          <w:bCs/>
        </w:rPr>
        <w:t xml:space="preserve">Tableau B.5.3</w:t>
      </w:r>
      <w:r>
        <w:t xml:space="preserve"> </w:t>
      </w:r>
      <w:r>
        <w:t xml:space="preserve">— Données de couverture, FSS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Start w:id="332" w:name="regimes-geres_3"/>
    <w:p>
      <w:pPr>
        <w:pStyle w:val="Heading3"/>
      </w:pPr>
      <w:r>
        <w:t xml:space="preserve">Régimes gérés</w:t>
      </w:r>
    </w:p>
    <w:p>
      <w:pPr>
        <w:pStyle w:val="TableTitle"/>
      </w:pPr>
      <w:r>
        <w:rPr>
          <w:b/>
          <w:bCs/>
        </w:rPr>
        <w:t xml:space="preserve">Tableau B.5.4</w:t>
      </w:r>
      <w:r>
        <w:t xml:space="preserve"> </w:t>
      </w:r>
      <w:r>
        <w:t xml:space="preserve">— Régimes gérés, FSS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bl>
    <w:bookmarkEnd w:id="332"/>
    <w:bookmarkStart w:id="351" w:name="Xa2e748c61c23f2da3953107639d923c1fd714ee"/>
    <w:p>
      <w:pPr>
        <w:pStyle w:val="Heading3"/>
      </w:pPr>
      <w:r>
        <w:t xml:space="preserve">Aperçu graphique (tous régimes, toutes années)</w:t>
      </w:r>
    </w:p>
    <w:p>
      <w:pPr>
        <w:pStyle w:val="GraphicTitle"/>
      </w:pPr>
      <w:r>
        <w:rPr>
          <w:b/>
          <w:bCs/>
        </w:rPr>
        <w:t xml:space="preserve">Figure B.5.1</w:t>
      </w:r>
      <w:r>
        <w:t xml:space="preserve"> </w:t>
      </w:r>
      <w:r>
        <w:t xml:space="preserve">— Évolution des cotisants, bénéficiaires, dépenses et recettes (tous régimes), FSS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34" name="Picture"/>
                  <a:graphic>
                    <a:graphicData uri="http://schemas.openxmlformats.org/drawingml/2006/picture">
                      <pic:pic>
                        <pic:nvPicPr>
                          <pic:cNvPr descr="C:/Users/M.Diouf/OneDrive/Bureau/RDC%20Bulletin%20V1/Bulletin_rdc_2026_agents/04_annexes/illustrations/annexe_B_FSS_cotisants.png" id="335" name="Picture"/>
                          <pic:cNvPicPr>
                            <a:picLocks noChangeArrowheads="1" noChangeAspect="1"/>
                          </pic:cNvPicPr>
                        </pic:nvPicPr>
                        <pic:blipFill>
                          <a:blip r:embed="rId333"/>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37" name="Picture"/>
                  <a:graphic>
                    <a:graphicData uri="http://schemas.openxmlformats.org/drawingml/2006/picture">
                      <pic:pic>
                        <pic:nvPicPr>
                          <pic:cNvPr descr="C:/Users/M.Diouf/OneDrive/Bureau/RDC%20Bulletin%20V1/Bulletin_rdc_2026_agents/04_annexes/illustrations/annexe_B_FSS_beneficiaires.png" id="338" name="Picture"/>
                          <pic:cNvPicPr>
                            <a:picLocks noChangeArrowheads="1" noChangeAspect="1"/>
                          </pic:cNvPicPr>
                        </pic:nvPicPr>
                        <pic:blipFill>
                          <a:blip r:embed="rId336"/>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0" name="Picture"/>
                  <a:graphic>
                    <a:graphicData uri="http://schemas.openxmlformats.org/drawingml/2006/picture">
                      <pic:pic>
                        <pic:nvPicPr>
                          <pic:cNvPr descr="C:/Users/M.Diouf/OneDrive/Bureau/RDC%20Bulletin%20V1/Bulletin_rdc_2026_agents/04_annexes/illustrations/annexe_B_FSS_depenses.png" id="341" name="Picture"/>
                          <pic:cNvPicPr>
                            <a:picLocks noChangeArrowheads="1" noChangeAspect="1"/>
                          </pic:cNvPicPr>
                        </pic:nvPicPr>
                        <pic:blipFill>
                          <a:blip r:embed="rId339"/>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3" name="Picture"/>
                  <a:graphic>
                    <a:graphicData uri="http://schemas.openxmlformats.org/drawingml/2006/picture">
                      <pic:pic>
                        <pic:nvPicPr>
                          <pic:cNvPr descr="C:/Users/M.Diouf/OneDrive/Bureau/RDC%20Bulletin%20V1/Bulletin_rdc_2026_agents/04_annexes/illustrations/annexe_B_FSS_depense_par_beneficiaire.png" id="344" name="Picture"/>
                          <pic:cNvPicPr>
                            <a:picLocks noChangeArrowheads="1" noChangeAspect="1"/>
                          </pic:cNvPicPr>
                        </pic:nvPicPr>
                        <pic:blipFill>
                          <a:blip r:embed="rId342"/>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6" name="Picture"/>
                  <a:graphic>
                    <a:graphicData uri="http://schemas.openxmlformats.org/drawingml/2006/picture">
                      <pic:pic>
                        <pic:nvPicPr>
                          <pic:cNvPr descr="C:/Users/M.Diouf/OneDrive/Bureau/RDC%20Bulletin%20V1/Bulletin_rdc_2026_agents/04_annexes/illustrations/annexe_B_FSS_recettes.png" id="347" name="Picture"/>
                          <pic:cNvPicPr>
                            <a:picLocks noChangeArrowheads="1" noChangeAspect="1"/>
                          </pic:cNvPicPr>
                        </pic:nvPicPr>
                        <pic:blipFill>
                          <a:blip r:embed="rId345"/>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49" name="Picture"/>
                  <a:graphic>
                    <a:graphicData uri="http://schemas.openxmlformats.org/drawingml/2006/picture">
                      <pic:pic>
                        <pic:nvPicPr>
                          <pic:cNvPr descr="C:/Users/M.Diouf/OneDrive/Bureau/RDC%20Bulletin%20V1/Bulletin_rdc_2026_agents/04_annexes/illustrations/annexe_B_FSS_contribution.png" id="350" name="Picture"/>
                          <pic:cNvPicPr>
                            <a:picLocks noChangeArrowheads="1" noChangeAspect="1"/>
                          </pic:cNvPicPr>
                        </pic:nvPicPr>
                        <pic:blipFill>
                          <a:blip r:embed="rId348"/>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51"/>
    <w:bookmarkStart w:id="355" w:name="X02aaacb719a5f91206e34514e06705c01750158"/>
    <w:p>
      <w:pPr>
        <w:pStyle w:val="Heading3"/>
      </w:pPr>
      <w:r>
        <w:t xml:space="preserve">Répartition par sexe (cotisants et bénéficiaires cumulés)</w:t>
      </w:r>
    </w:p>
    <w:p>
      <w:pPr>
        <w:pStyle w:val="GraphicTitle"/>
      </w:pPr>
      <w:r>
        <w:rPr>
          <w:b/>
          <w:bCs/>
        </w:rPr>
        <w:t xml:space="preserve">Figure B.5.2</w:t>
      </w:r>
      <w:r>
        <w:t xml:space="preserve"> </w:t>
      </w:r>
      <w:r>
        <w:t xml:space="preserve">— Répartition par sexe des cotisants et bénéficiaires cumulés, FSS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53" name="Picture"/>
            <a:graphic>
              <a:graphicData uri="http://schemas.openxmlformats.org/drawingml/2006/picture">
                <pic:pic>
                  <pic:nvPicPr>
                    <pic:cNvPr descr="C:/Users/M.Diouf/OneDrive/Bureau/RDC%20Bulletin%20V1/Bulletin_rdc_2026_agents/04_annexes/illustrations/annexe_B_FSS_sexe.png" id="354" name="Picture"/>
                    <pic:cNvPicPr>
                      <a:picLocks noChangeArrowheads="1" noChangeAspect="1"/>
                    </pic:cNvPicPr>
                  </pic:nvPicPr>
                  <pic:blipFill>
                    <a:blip r:embed="rId352"/>
                    <a:stretch>
                      <a:fillRect/>
                    </a:stretch>
                  </pic:blipFill>
                  <pic:spPr bwMode="auto">
                    <a:xfrm>
                      <a:off x="0" y="0"/>
                      <a:ext cx="5753100" cy="3580386"/>
                    </a:xfrm>
                    <a:prstGeom prst="rect">
                      <a:avLst/>
                    </a:prstGeom>
                    <a:noFill/>
                    <a:ln w="9525">
                      <a:noFill/>
                      <a:headEnd/>
                      <a:tailEnd/>
                    </a:ln>
                  </pic:spPr>
                </pic:pic>
              </a:graphicData>
            </a:graphic>
          </wp:inline>
        </w:drawing>
      </w:r>
    </w:p>
    <w:bookmarkEnd w:id="355"/>
    <w:bookmarkStart w:id="356" w:name="donnees-detaillees-par-regime-et-annee_3"/>
    <w:p>
      <w:pPr>
        <w:pStyle w:val="Heading3"/>
      </w:pPr>
      <w:r>
        <w:t xml:space="preserve">Données détaillées (par régime et année)</w:t>
      </w:r>
    </w:p>
    <w:p>
      <w:pPr>
        <w:pStyle w:val="TableTitle"/>
      </w:pPr>
      <w:r>
        <w:rPr>
          <w:b/>
          <w:bCs/>
        </w:rPr>
        <w:t xml:space="preserve">Tableau B.5.5</w:t>
      </w:r>
      <w:r>
        <w:t xml:space="preserve"> </w:t>
      </w:r>
      <w:r>
        <w:t xml:space="preserve">— Données détaillées par régime et année,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les agents de carrière des Services publics de l'Etat,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des travailleurs régis par le Code du travail, retraités et actifs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maladie obligatoire pour élèves et étudiants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FSS-Assurance médicale de l’Etat aux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base consolidée des ESS OIT/BIT.</w:t>
      </w:r>
    </w:p>
    <w:bookmarkEnd w:id="356"/>
    <w:bookmarkEnd w:id="357"/>
    <w:bookmarkStart w:id="358"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358"/>
    <w:bookmarkEnd w:id="359"/>
    <w:bookmarkStart w:id="389" w:name="X0df4f575c611300884d9c95b20fce284826dc94"/>
    <w:p>
      <w:pPr>
        <w:pStyle w:val="Heading1"/>
      </w:pPr>
      <w:r>
        <w:t xml:space="preserve">B.6 Service de Sécurité Sociale des Parlementaires (SESOPA)</w:t>
      </w:r>
    </w:p>
    <w:bookmarkStart w:id="360" w:name="mission-et-branches-couvertes_5"/>
    <w:p>
      <w:pPr>
        <w:pStyle w:val="Heading2"/>
      </w:pPr>
      <w:r>
        <w:t xml:space="preserve">Mission et branches couvertes</w:t>
      </w:r>
    </w:p>
    <w:p>
      <w:pPr>
        <w:pStyle w:val="Normal"/>
      </w:pPr>
      <w:r>
        <w:t xml:space="preserve">La SESOPA gère le régime de protection sociale des parlementaires nationaux.</w:t>
      </w:r>
    </w:p>
    <w:p>
      <w:pPr>
        <w:pStyle w:val="TableTitle"/>
      </w:pPr>
      <w:r>
        <w:rPr>
          <w:b/>
          <w:bCs/>
        </w:rPr>
        <w:t xml:space="preserve">Tableau B.6.1</w:t>
      </w:r>
      <w:r>
        <w:t xml:space="preserve"> </w:t>
      </w:r>
      <w:r>
        <w:t xml:space="preserve">— Branches de sécurité sociale couvertes,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(branche des pensions de retraite et de réversion) ; couverte légalement et effectivement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 / survivants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 (branche des pensions ; assurance décès-rente spéciale de survie) ; couverte légalement et effectivement pour la branche des pensions, sans donnée effective déclarée pour la rente spéciale de survie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(cotisants, bénéficiaires, dépenses)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(branche des risques liés à l'exercice du mandat parlementaire,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maladie des parlementaires ; volet santé de la branche des risques liés au mandat, données ESS) ; aucune donnée effective déclarée à ce jour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Couverte légalement (assurance maternité des parlementaires, données ESS) ; aucune donnée effective déclarée à ce jour</w:t>
            </w:r>
          </w:p>
        </w:tc>
      </w:tr>
    </w:tbl>
    <w:p>
      <w:pPr>
        <w:pStyle w:val="Normal"/>
      </w:pPr>
      <w:r>
        <w:rPr>
          <w:i/>
          <w:iCs/>
        </w:rPr>
        <w:t xml:space="preserve">Le détail par régime figure au Tableau B.6.5 « Régimes gérés ». Les branches sans donnée effective déclarée sont néanmoins retenues comme couvertes légalement, ces régimes figurant explicitement dans les déclarations ESS de la SESOPA.</w:t>
      </w:r>
    </w:p>
    <w:p>
      <w:pPr>
        <w:pStyle w:val="Normal"/>
      </w:pPr>
      <w:r>
        <w:rPr>
          <w:b/>
          <w:bCs/>
        </w:rPr>
        <w:t xml:space="preserve">Population assujettie :</w:t>
      </w:r>
      <w:r>
        <w:t xml:space="preserve"> </w:t>
      </w:r>
      <w:r>
        <w:t xml:space="preserve">parlementaires nationaux (Assemblée Nationale) et leurs ayants droit.</w:t>
      </w:r>
    </w:p>
    <w:bookmarkEnd w:id="360"/>
    <w:bookmarkStart w:id="361" w:name="cadre-juridique-et-institutionnel_5"/>
    <w:p>
      <w:pPr>
        <w:pStyle w:val="Heading2"/>
      </w:pPr>
      <w:r>
        <w:t xml:space="preserve">Cadre juridique et institutionnel</w:t>
      </w:r>
    </w:p>
    <w:p>
      <w:pPr>
        <w:pStyle w:val="TableTitle"/>
      </w:pPr>
      <w:r>
        <w:rPr>
          <w:b/>
          <w:bCs/>
        </w:rPr>
        <w:t xml:space="preserve">Tableau B.6.2</w:t>
      </w:r>
      <w:r>
        <w:t xml:space="preserve"> </w:t>
      </w:r>
      <w:r>
        <w:t xml:space="preserve">— Cadre juridique et institutionnel, SESOPA</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361"/>
    <w:bookmarkStart w:id="387" w:name="donnees-de-couverture_5"/>
    <w:p>
      <w:pPr>
        <w:pStyle w:val="Heading2"/>
      </w:pPr>
      <w:r>
        <w:t xml:space="preserve">Données de couverture</w:t>
      </w:r>
    </w:p>
    <w:p>
      <w:pPr>
        <w:pStyle w:val="TableTitle"/>
      </w:pPr>
      <w:r>
        <w:rPr>
          <w:b/>
          <w:bCs/>
        </w:rPr>
        <w:t xml:space="preserve">Tableau B.6.3</w:t>
      </w:r>
      <w:r>
        <w:t xml:space="preserve"> </w:t>
      </w:r>
      <w:r>
        <w:t xml:space="preserve">— Données de couverture,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 (branche pensions)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2 315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1 959</w:t>
            </w:r>
          </w:p>
        </w:tc>
      </w:tr>
    </w:tbl>
    <w:p>
      <w:pPr>
        <w:pStyle w:val="Source-GraphicPicture"/>
      </w:pPr>
      <w:r>
        <w:rPr>
          <w:i/>
          <w:iCs/>
        </w:rPr>
        <w:t xml:space="preserve">Source : ESS OIT — SESOPA (2019–2025). Le détail par régime figure au Tableau B.6.5. Les effectifs déclarés sont strictement identiques d'une année sur l'autre sur l'ensemble de la période transmise (voir DM-020,</w:t>
      </w:r>
      <w:r>
        <w:rPr>
          <w:i/>
          <w:iCs/>
        </w:rPr>
        <w:t xml:space="preserve"> </w:t>
      </w:r>
      <w:r>
        <w:rPr>
          <w:rStyle w:val="VerbatimChar"/>
          <w:i/>
          <w:iCs/>
        </w:rPr>
        <w:t xml:space="preserve">00_pilotage/decisions_methodologiques.md</w:t>
      </w:r>
      <w:r>
        <w:rPr>
          <w:i/>
          <w:iCs/>
        </w:rPr>
        <w:t xml:space="preserve">) : cette stabilité n'est pas confirmée comme une observation annuelle réelle et reste à vérifier auprès du SESOPA.</w:t>
      </w:r>
    </w:p>
    <w:bookmarkStart w:id="362" w:name="regimes-geres_4"/>
    <w:p>
      <w:pPr>
        <w:pStyle w:val="Heading3"/>
      </w:pPr>
      <w:r>
        <w:t xml:space="preserve">Régimes gérés</w:t>
      </w:r>
    </w:p>
    <w:p>
      <w:pPr>
        <w:pStyle w:val="TableTitle"/>
      </w:pPr>
      <w:r>
        <w:rPr>
          <w:b/>
          <w:bCs/>
        </w:rPr>
        <w:t xml:space="preserve">Tableau B.6.6</w:t>
      </w:r>
      <w:r>
        <w:t xml:space="preserve"> </w:t>
      </w:r>
      <w:r>
        <w:t xml:space="preserve">— Régimes gérés, SESOPA</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 Handicap; Survivances; Accident du travail; Soins de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 Paternité; Soins de santé</w:t>
            </w:r>
          </w:p>
        </w:tc>
      </w:tr>
    </w:tbl>
    <w:bookmarkEnd w:id="362"/>
    <w:bookmarkStart w:id="381" w:name="Xddd301ce998698f7331f688ddb7ccee5580975f"/>
    <w:p>
      <w:pPr>
        <w:pStyle w:val="Heading3"/>
      </w:pPr>
      <w:r>
        <w:t xml:space="preserve">Aperçu graphique (tous régimes, toutes années)</w:t>
      </w:r>
    </w:p>
    <w:p>
      <w:pPr>
        <w:pStyle w:val="GraphicTitle"/>
      </w:pPr>
      <w:r>
        <w:rPr>
          <w:b/>
          <w:bCs/>
        </w:rPr>
        <w:t xml:space="preserve">Figure B.6.1</w:t>
      </w:r>
      <w:r>
        <w:t xml:space="preserve"> </w:t>
      </w:r>
      <w:r>
        <w:t xml:space="preserve">— Évolution des cotisants, bénéficiaires, dépenses et recettes (tous régimes), SESOPA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64" name="Picture"/>
                  <a:graphic>
                    <a:graphicData uri="http://schemas.openxmlformats.org/drawingml/2006/picture">
                      <pic:pic>
                        <pic:nvPicPr>
                          <pic:cNvPr descr="C:/Users/M.Diouf/OneDrive/Bureau/RDC%20Bulletin%20V1/Bulletin_rdc_2026_agents/04_annexes/illustrations/annexe_B_SESOPA_cotisants.png" id="365" name="Picture"/>
                          <pic:cNvPicPr>
                            <a:picLocks noChangeArrowheads="1" noChangeAspect="1"/>
                          </pic:cNvPicPr>
                        </pic:nvPicPr>
                        <pic:blipFill>
                          <a:blip r:embed="rId363"/>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67" name="Picture"/>
                  <a:graphic>
                    <a:graphicData uri="http://schemas.openxmlformats.org/drawingml/2006/picture">
                      <pic:pic>
                        <pic:nvPicPr>
                          <pic:cNvPr descr="C:/Users/M.Diouf/OneDrive/Bureau/RDC%20Bulletin%20V1/Bulletin_rdc_2026_agents/04_annexes/illustrations/annexe_B_SESOPA_beneficiaires.png" id="368" name="Picture"/>
                          <pic:cNvPicPr>
                            <a:picLocks noChangeArrowheads="1" noChangeAspect="1"/>
                          </pic:cNvPicPr>
                        </pic:nvPicPr>
                        <pic:blipFill>
                          <a:blip r:embed="rId366"/>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0" name="Picture"/>
                  <a:graphic>
                    <a:graphicData uri="http://schemas.openxmlformats.org/drawingml/2006/picture">
                      <pic:pic>
                        <pic:nvPicPr>
                          <pic:cNvPr descr="C:/Users/M.Diouf/OneDrive/Bureau/RDC%20Bulletin%20V1/Bulletin_rdc_2026_agents/04_annexes/illustrations/annexe_B_SESOPA_depenses.png" id="371" name="Picture"/>
                          <pic:cNvPicPr>
                            <a:picLocks noChangeArrowheads="1" noChangeAspect="1"/>
                          </pic:cNvPicPr>
                        </pic:nvPicPr>
                        <pic:blipFill>
                          <a:blip r:embed="rId369"/>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3" name="Picture"/>
                  <a:graphic>
                    <a:graphicData uri="http://schemas.openxmlformats.org/drawingml/2006/picture">
                      <pic:pic>
                        <pic:nvPicPr>
                          <pic:cNvPr descr="C:/Users/M.Diouf/OneDrive/Bureau/RDC%20Bulletin%20V1/Bulletin_rdc_2026_agents/04_annexes/illustrations/annexe_B_SESOPA_depense_par_beneficiaire.png" id="374" name="Picture"/>
                          <pic:cNvPicPr>
                            <a:picLocks noChangeArrowheads="1" noChangeAspect="1"/>
                          </pic:cNvPicPr>
                        </pic:nvPicPr>
                        <pic:blipFill>
                          <a:blip r:embed="rId372"/>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6" name="Picture"/>
                  <a:graphic>
                    <a:graphicData uri="http://schemas.openxmlformats.org/drawingml/2006/picture">
                      <pic:pic>
                        <pic:nvPicPr>
                          <pic:cNvPr descr="C:/Users/M.Diouf/OneDrive/Bureau/RDC%20Bulletin%20V1/Bulletin_rdc_2026_agents/04_annexes/illustrations/annexe_B_SESOPA_recettes.png" id="377" name="Picture"/>
                          <pic:cNvPicPr>
                            <a:picLocks noChangeArrowheads="1" noChangeAspect="1"/>
                          </pic:cNvPicPr>
                        </pic:nvPicPr>
                        <pic:blipFill>
                          <a:blip r:embed="rId375"/>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79" name="Picture"/>
                  <a:graphic>
                    <a:graphicData uri="http://schemas.openxmlformats.org/drawingml/2006/picture">
                      <pic:pic>
                        <pic:nvPicPr>
                          <pic:cNvPr descr="C:/Users/M.Diouf/OneDrive/Bureau/RDC%20Bulletin%20V1/Bulletin_rdc_2026_agents/04_annexes/illustrations/annexe_B_SESOPA_contribution.png" id="380" name="Picture"/>
                          <pic:cNvPicPr>
                            <a:picLocks noChangeArrowheads="1" noChangeAspect="1"/>
                          </pic:cNvPicPr>
                        </pic:nvPicPr>
                        <pic:blipFill>
                          <a:blip r:embed="rId378"/>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381"/>
    <w:bookmarkStart w:id="385" w:name="X72f944b171ae9577ed7219b11ea3a942d793592"/>
    <w:p>
      <w:pPr>
        <w:pStyle w:val="Heading3"/>
      </w:pPr>
      <w:r>
        <w:t xml:space="preserve">Répartition par sexe (cotisants et bénéficiaires cumulés)</w:t>
      </w:r>
    </w:p>
    <w:p>
      <w:pPr>
        <w:pStyle w:val="GraphicTitle"/>
      </w:pPr>
      <w:r>
        <w:rPr>
          <w:b/>
          <w:bCs/>
        </w:rPr>
        <w:t xml:space="preserve">Figure B.6.2</w:t>
      </w:r>
      <w:r>
        <w:t xml:space="preserve"> </w:t>
      </w:r>
      <w:r>
        <w:t xml:space="preserve">— Répartition par sexe des cotisants et bénéficiaires cumulés, SESOPA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383" name="Picture"/>
            <a:graphic>
              <a:graphicData uri="http://schemas.openxmlformats.org/drawingml/2006/picture">
                <pic:pic>
                  <pic:nvPicPr>
                    <pic:cNvPr descr="C:/Users/M.Diouf/OneDrive/Bureau/RDC%20Bulletin%20V1/Bulletin_rdc_2026_agents/04_annexes/illustrations/annexe_B_SESOPA_sexe.png" id="384" name="Picture"/>
                    <pic:cNvPicPr>
                      <a:picLocks noChangeArrowheads="1" noChangeAspect="1"/>
                    </pic:cNvPicPr>
                  </pic:nvPicPr>
                  <pic:blipFill>
                    <a:blip r:embed="rId382"/>
                    <a:stretch>
                      <a:fillRect/>
                    </a:stretch>
                  </pic:blipFill>
                  <pic:spPr bwMode="auto">
                    <a:xfrm>
                      <a:off x="0" y="0"/>
                      <a:ext cx="5753100" cy="3580386"/>
                    </a:xfrm>
                    <a:prstGeom prst="rect">
                      <a:avLst/>
                    </a:prstGeom>
                    <a:noFill/>
                    <a:ln w="9525">
                      <a:noFill/>
                      <a:headEnd/>
                      <a:tailEnd/>
                    </a:ln>
                  </pic:spPr>
                </pic:pic>
              </a:graphicData>
            </a:graphic>
          </wp:inline>
        </w:drawing>
      </w:r>
    </w:p>
    <w:bookmarkEnd w:id="385"/>
    <w:bookmarkStart w:id="386" w:name="donnees-detaillees-par-regime-et-annee_4"/>
    <w:p>
      <w:pPr>
        <w:pStyle w:val="Heading3"/>
      </w:pPr>
      <w:r>
        <w:t xml:space="preserve">Données détaillées (par régime et année)</w:t>
      </w:r>
    </w:p>
    <w:p>
      <w:pPr>
        <w:pStyle w:val="TableTitle"/>
      </w:pPr>
      <w:r>
        <w:rPr>
          <w:b/>
          <w:bCs/>
        </w:rPr>
        <w:t xml:space="preserve">Tableau B.6.7</w:t>
      </w:r>
      <w:r>
        <w:t xml:space="preserve"> </w:t>
      </w:r>
      <w:r>
        <w:t xml:space="preserve">— Données détaillées par régime et année, SESOPA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Cotisants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moy./cotisant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pensions de retraite et de réversion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1,959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décès -rente spéciale de survie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des risques liés à l'exercice du mandat parlementaire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maternité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base consolidée des ESS OIT/BIT.</w:t>
      </w:r>
    </w:p>
    <w:bookmarkEnd w:id="386"/>
    <w:bookmarkEnd w:id="387"/>
    <w:bookmarkStart w:id="388"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388"/>
    <w:bookmarkEnd w:id="389"/>
    <w:bookmarkStart w:id="419" w:name="X4bb083a8c3ca8421236d101177bbc29806d64af"/>
    <w:p>
      <w:pPr>
        <w:pStyle w:val="Heading1"/>
      </w:pPr>
      <w:r>
        <w:t xml:space="preserve">B.7 Régimes spéciaux non contributifs de la fonction publique</w:t>
      </w:r>
    </w:p>
    <w:p>
      <w:pPr>
        <w:pStyle w:val="Normal"/>
      </w:pPr>
      <w:r>
        <w:rPr>
          <w:b/>
          <w:bCs/>
        </w:rPr>
        <w:t xml:space="preserve">Note méthodologique importante.</w:t>
      </w:r>
      <w:r>
        <w:t xml:space="preserve"> </w:t>
      </w:r>
      <w:r>
        <w:t xml:space="preserve">« TRESOR » est un code technique de la base et non le nom d'une institution. Il désigne ici la part estimée du secteur public non couverte par la CNSSAP. Le bulletin pose l'hypothèse que cette population relève d'un dispositif non contributif financé directement par allocation budgétaire. Les effectifs présentés sont donc des estimations de personnes potentiellement couvertes et non des cotisants.</w:t>
      </w:r>
    </w:p>
    <w:bookmarkStart w:id="390" w:name="dispositif-represente"/>
    <w:p>
      <w:pPr>
        <w:pStyle w:val="Heading3"/>
      </w:pPr>
      <w:r>
        <w:t xml:space="preserve">Dispositif représenté</w:t>
      </w:r>
    </w:p>
    <w:p>
      <w:pPr>
        <w:pStyle w:val="TableTitle"/>
      </w:pPr>
      <w:r>
        <w:rPr>
          <w:b/>
          <w:bCs/>
        </w:rPr>
        <w:t xml:space="preserve">Tableau B.7.1</w:t>
      </w:r>
      <w:r>
        <w:t xml:space="preserve"> </w:t>
      </w:r>
      <w:r>
        <w:t xml:space="preserve">— Régimes gérés, dispositif budgétaire hors CNSSAP (proxy technique « TRESOR »)</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Fonctions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Survivances</w:t>
            </w:r>
          </w:p>
        </w:tc>
      </w:tr>
    </w:tbl>
    <w:bookmarkEnd w:id="390"/>
    <w:bookmarkStart w:id="409" w:name="X1ae509fcd98c0cf67f65a8b4fda2e239b914b55"/>
    <w:p>
      <w:pPr>
        <w:pStyle w:val="Heading3"/>
      </w:pPr>
      <w:r>
        <w:t xml:space="preserve">Aperçu graphique (tous régimes, toutes années)</w:t>
      </w:r>
    </w:p>
    <w:p>
      <w:pPr>
        <w:pStyle w:val="GraphicTitle"/>
      </w:pPr>
      <w:r>
        <w:rPr>
          <w:b/>
          <w:bCs/>
        </w:rPr>
        <w:t xml:space="preserve">Figure B.7.1</w:t>
      </w:r>
      <w:r>
        <w:t xml:space="preserve"> </w:t>
      </w:r>
      <w:r>
        <w:t xml:space="preserve">— Évolution des personnes potentiellement couvertes estimées, bénéficiaires, dépenses et recettes (tous régimes), dispositif budgétaire hors CNSSAP (proxy technique « TRESOR ») (2019–2025)</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92" name="Picture"/>
                  <a:graphic>
                    <a:graphicData uri="http://schemas.openxmlformats.org/drawingml/2006/picture">
                      <pic:pic>
                        <pic:nvPicPr>
                          <pic:cNvPr descr="C:/Users/M.Diouf/OneDrive/Bureau/RDC%20Bulletin%20V1/Bulletin_rdc_2026_agents/04_annexes/illustrations/annexe_B_TRESOR_cotisants.png" id="393" name="Picture"/>
                          <pic:cNvPicPr>
                            <a:picLocks noChangeArrowheads="1" noChangeAspect="1"/>
                          </pic:cNvPicPr>
                        </pic:nvPicPr>
                        <pic:blipFill>
                          <a:blip r:embed="rId391"/>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95" name="Picture"/>
                  <a:graphic>
                    <a:graphicData uri="http://schemas.openxmlformats.org/drawingml/2006/picture">
                      <pic:pic>
                        <pic:nvPicPr>
                          <pic:cNvPr descr="C:/Users/M.Diouf/OneDrive/Bureau/RDC%20Bulletin%20V1/Bulletin_rdc_2026_agents/04_annexes/illustrations/annexe_B_TRESOR_beneficiaires.png" id="396" name="Picture"/>
                          <pic:cNvPicPr>
                            <a:picLocks noChangeArrowheads="1" noChangeAspect="1"/>
                          </pic:cNvPicPr>
                        </pic:nvPicPr>
                        <pic:blipFill>
                          <a:blip r:embed="rId394"/>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398" name="Picture"/>
                  <a:graphic>
                    <a:graphicData uri="http://schemas.openxmlformats.org/drawingml/2006/picture">
                      <pic:pic>
                        <pic:nvPicPr>
                          <pic:cNvPr descr="C:/Users/M.Diouf/OneDrive/Bureau/RDC%20Bulletin%20V1/Bulletin_rdc_2026_agents/04_annexes/illustrations/annexe_B_TRESOR_depenses.png" id="399" name="Picture"/>
                          <pic:cNvPicPr>
                            <a:picLocks noChangeArrowheads="1" noChangeAspect="1"/>
                          </pic:cNvPicPr>
                        </pic:nvPicPr>
                        <pic:blipFill>
                          <a:blip r:embed="rId397"/>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401" name="Picture"/>
                  <a:graphic>
                    <a:graphicData uri="http://schemas.openxmlformats.org/drawingml/2006/picture">
                      <pic:pic>
                        <pic:nvPicPr>
                          <pic:cNvPr descr="C:/Users/M.Diouf/OneDrive/Bureau/RDC%20Bulletin%20V1/Bulletin_rdc_2026_agents/04_annexes/illustrations/annexe_B_TRESOR_depense_par_beneficiaire.png" id="402" name="Picture"/>
                          <pic:cNvPicPr>
                            <a:picLocks noChangeArrowheads="1" noChangeAspect="1"/>
                          </pic:cNvPicPr>
                        </pic:nvPicPr>
                        <pic:blipFill>
                          <a:blip r:embed="rId400"/>
                          <a:stretch>
                            <a:fillRect/>
                          </a:stretch>
                        </pic:blipFill>
                        <pic:spPr bwMode="auto">
                          <a:xfrm>
                            <a:off x="0" y="0"/>
                            <a:ext cx="5753100" cy="2991612"/>
                          </a:xfrm>
                          <a:prstGeom prst="rect">
                            <a:avLst/>
                          </a:prstGeom>
                          <a:noFill/>
                          <a:ln w="9525">
                            <a:noFill/>
                            <a:headEnd/>
                            <a:tailEnd/>
                          </a:ln>
                        </pic:spPr>
                      </pic:pic>
                    </a:graphicData>
                  </a:graphic>
                </wp:inline>
              </w:drawing>
            </w:r>
          </w:p>
        </w:tc>
      </w:tr>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404" name="Picture"/>
                  <a:graphic>
                    <a:graphicData uri="http://schemas.openxmlformats.org/drawingml/2006/picture">
                      <pic:pic>
                        <pic:nvPicPr>
                          <pic:cNvPr descr="C:/Users/M.Diouf/OneDrive/Bureau/RDC%20Bulletin%20V1/Bulletin_rdc_2026_agents/04_annexes/illustrations/annexe_B_TRESOR_recettes.png" id="405" name="Picture"/>
                          <pic:cNvPicPr>
                            <a:picLocks noChangeArrowheads="1" noChangeAspect="1"/>
                          </pic:cNvPicPr>
                        </pic:nvPicPr>
                        <pic:blipFill>
                          <a:blip r:embed="rId403"/>
                          <a:stretch>
                            <a:fillRect/>
                          </a:stretch>
                        </pic:blipFill>
                        <pic:spPr bwMode="auto">
                          <a:xfrm>
                            <a:off x="0" y="0"/>
                            <a:ext cx="5753100" cy="2991612"/>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991612"/>
                  <wp:effectExtent b="0" l="0" r="0" t="0"/>
                  <wp:docPr descr="" title="" id="407" name="Picture"/>
                  <a:graphic>
                    <a:graphicData uri="http://schemas.openxmlformats.org/drawingml/2006/picture">
                      <pic:pic>
                        <pic:nvPicPr>
                          <pic:cNvPr descr="C:/Users/M.Diouf/OneDrive/Bureau/RDC%20Bulletin%20V1/Bulletin_rdc_2026_agents/04_annexes/illustrations/annexe_B_TRESOR_contribution.png" id="408" name="Picture"/>
                          <pic:cNvPicPr>
                            <a:picLocks noChangeArrowheads="1" noChangeAspect="1"/>
                          </pic:cNvPicPr>
                        </pic:nvPicPr>
                        <pic:blipFill>
                          <a:blip r:embed="rId406"/>
                          <a:stretch>
                            <a:fillRect/>
                          </a:stretch>
                        </pic:blipFill>
                        <pic:spPr bwMode="auto">
                          <a:xfrm>
                            <a:off x="0" y="0"/>
                            <a:ext cx="5753100" cy="2991612"/>
                          </a:xfrm>
                          <a:prstGeom prst="rect">
                            <a:avLst/>
                          </a:prstGeom>
                          <a:noFill/>
                          <a:ln w="9525">
                            <a:noFill/>
                            <a:headEnd/>
                            <a:tailEnd/>
                          </a:ln>
                        </pic:spPr>
                      </pic:pic>
                    </a:graphicData>
                  </a:graphic>
                </wp:inline>
              </w:drawing>
            </w:r>
          </w:p>
        </w:tc>
      </w:tr>
    </w:tbl>
    <w:bookmarkEnd w:id="409"/>
    <w:bookmarkStart w:id="413" w:name="X837c2591b1db73ef6d1478a814014612a445fbc"/>
    <w:p>
      <w:pPr>
        <w:pStyle w:val="Heading3"/>
      </w:pPr>
      <w:r>
        <w:t xml:space="preserve">Répartition par sexe (personnes potentiellement couvertes estimées et bénéficiaires cumulés)</w:t>
      </w:r>
    </w:p>
    <w:p>
      <w:pPr>
        <w:pStyle w:val="GraphicTitle"/>
      </w:pPr>
      <w:r>
        <w:rPr>
          <w:b/>
          <w:bCs/>
        </w:rPr>
        <w:t xml:space="preserve">Figure B.7.2</w:t>
      </w:r>
      <w:r>
        <w:t xml:space="preserve"> </w:t>
      </w:r>
      <w:r>
        <w:t xml:space="preserve">— Répartition par sexe des personnes potentiellement couvertes estimées et bénéficiaires cumulés, dispositif budgétaire hors CNSSAP (proxy technique « TRESOR ») (2019–2025)</w:t>
      </w:r>
    </w:p>
    <w:p>
      <w:pPr>
        <w:pStyle w:val="BodyText"/>
      </w:pPr>
      <w:r>
        <w:t xml:space="preserve">Hommes   </w:t>
      </w:r>
      <w:r>
        <w:t xml:space="preserve"> </w:t>
      </w:r>
      <w:r>
        <w:t xml:space="preserve">Femmes   </w:t>
      </w:r>
      <w:r>
        <w:t xml:space="preserve"> </w:t>
      </w:r>
      <w:r>
        <w:t xml:space="preserve">Non identifié</w:t>
      </w:r>
    </w:p>
    <w:p>
      <w:pPr>
        <w:pStyle w:val="BodyText"/>
      </w:pPr>
      <w:r>
        <w:drawing>
          <wp:inline>
            <wp:extent cx="5753100" cy="3580386"/>
            <wp:effectExtent b="0" l="0" r="0" t="0"/>
            <wp:docPr descr="" title="" id="411" name="Picture"/>
            <a:graphic>
              <a:graphicData uri="http://schemas.openxmlformats.org/drawingml/2006/picture">
                <pic:pic>
                  <pic:nvPicPr>
                    <pic:cNvPr descr="C:/Users/M.Diouf/OneDrive/Bureau/RDC%20Bulletin%20V1/Bulletin_rdc_2026_agents/04_annexes/illustrations/annexe_B_TRESOR_sexe.png" id="412" name="Picture"/>
                    <pic:cNvPicPr>
                      <a:picLocks noChangeArrowheads="1" noChangeAspect="1"/>
                    </pic:cNvPicPr>
                  </pic:nvPicPr>
                  <pic:blipFill>
                    <a:blip r:embed="rId410"/>
                    <a:stretch>
                      <a:fillRect/>
                    </a:stretch>
                  </pic:blipFill>
                  <pic:spPr bwMode="auto">
                    <a:xfrm>
                      <a:off x="0" y="0"/>
                      <a:ext cx="5753100" cy="3580386"/>
                    </a:xfrm>
                    <a:prstGeom prst="rect">
                      <a:avLst/>
                    </a:prstGeom>
                    <a:noFill/>
                    <a:ln w="9525">
                      <a:noFill/>
                      <a:headEnd/>
                      <a:tailEnd/>
                    </a:ln>
                  </pic:spPr>
                </pic:pic>
              </a:graphicData>
            </a:graphic>
          </wp:inline>
        </w:drawing>
      </w:r>
    </w:p>
    <w:bookmarkEnd w:id="413"/>
    <w:bookmarkStart w:id="415" w:name="donnees-detaillees-par-regime-et-annee_5"/>
    <w:p>
      <w:pPr>
        <w:pStyle w:val="Heading3"/>
      </w:pPr>
      <w:r>
        <w:t xml:space="preserve">Données détaillées (par régime et année)</w:t>
      </w:r>
    </w:p>
    <w:p>
      <w:pPr>
        <w:pStyle w:val="TableTitle"/>
      </w:pPr>
      <w:r>
        <w:rPr>
          <w:b/>
          <w:bCs/>
        </w:rPr>
        <w:t xml:space="preserve">Tableau B.7.2</w:t>
      </w:r>
      <w:r>
        <w:t xml:space="preserve"> </w:t>
      </w:r>
      <w:r>
        <w:t xml:space="preserve">— Données détaillées par régime et année, dispositif budgétaire hors CNSSAP (proxy technique « TRESOR »)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Personnes potentiellement couvertes (estimation)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totaux</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Dépenses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Recettes totales (Mds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Dép. moy./bénéf. (k CDF)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Rec. moy./personne couverte estimée (k CDF)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de retraite octroyé de la fonction publique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rStyle w:val="FootnoteReference"/>
        </w:rPr>
        <w:footnoteReference w:id="414"/>
      </w:r>
    </w:p>
    <w:p>
      <w:pPr>
        <w:pStyle w:val="Source-GraphicPicture"/>
      </w:pPr>
      <w:r>
        <w:rPr>
          <w:i/>
          <w:iCs/>
        </w:rPr>
        <w:t xml:space="preserve">Source : base consolidée des ESS OIT/BIT.</w:t>
      </w:r>
    </w:p>
    <w:p>
      <w:pPr>
        <w:pStyle w:val="TableNoteSource"/>
      </w:pPr>
      <w:r>
        <w:rPr>
          <w:i/>
          <w:iCs/>
        </w:rPr>
        <w:t xml:space="preserve">Note : la vue technique « TRESOR » est utilisée ici comme proxy opérationnel de la protection budgétaire non contributive des agents publics hors CNSSAP ; elle ne représente pas une institution.</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End w:id="415"/>
    <w:bookmarkStart w:id="416"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416"/>
    <w:bookmarkStart w:id="417"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417"/>
    <w:bookmarkStart w:id="418"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418"/>
    <w:bookmarkEnd w:id="419"/>
    <w:bookmarkStart w:id="479" w:name="Xfb665d1b0f81d7b1c42a35624e0565df12f947c"/>
    <w:p>
      <w:pPr>
        <w:pStyle w:val="Heading1"/>
      </w:pPr>
      <w:r>
        <w:t xml:space="preserve">Annexe C — Détail des indicateurs de couverture</w:t>
      </w:r>
    </w:p>
    <w:p>
      <w:pPr>
        <w:pStyle w:val="Normal"/>
      </w:pPr>
      <w:r>
        <w:t xml:space="preserve">Cette annexe présente, indicateur par indicateur, la construction complète des mesures de couverture effective du bulletin : la valeur de l'indicateur dans le temps, le détail des régimes et prestations qui composent son numérateur année par année, et la population de référence retenue comme dénominateur. Elle reprend la logique de l'onglet « Indicateurs » du tableau de bord interactif, où les décisions d'inclusion et d'exclusion de chaque régime ou prestation peuvent être consultées et ajustées.</w:t>
      </w:r>
    </w:p>
    <w:p>
      <w:pPr>
        <w:pStyle w:val="Normal"/>
      </w:pPr>
      <w:r>
        <w:t xml:space="preserve">Pour rester lisible malgré la densité des données, cette annexe désigne les institutions par leur sigle (voir la Liste des sigles et acronymes) et regroupe le détail du numérateur par régime : chaque ligne « Dont … » introduit un régime contributeur, ses prestations étant listées juste en dessous sous la forme « ↳ … », sans répéter l'institution ni le régime déjà indiqués. Le détail de construction du dénominateur (source retenue par année) est renvoyé en note de bas de page et factorisé par plage d'années partageant la même source.</w:t>
      </w:r>
    </w:p>
    <w:p>
      <w:pPr>
        <w:pStyle w:val="Normal"/>
      </w:pPr>
      <w:r>
        <w:rPr>
          <w:b/>
          <w:bCs/>
        </w:rPr>
        <w:t xml:space="preserve">Lecture du numérateur et règle de dédoublonnage.</w:t>
      </w:r>
      <w:r>
        <w:t xml:space="preserve"> </w:t>
      </w:r>
      <w:r>
        <w:t xml:space="preserve">Un même régime peut apparaître sous plusieurs branches lorsque ses cotisants relèvent simultanément de plusieurs risques couverts (par exemple, les cotisants de la CNSS financent à la fois la branche des pensions, celle des risques professionnels et celle des prestations familiales). Dans ce cas, les lignes « Dont … » répètent le même effectif de cotisants sous chaque branche à laquelle il contribue, afin de montrer la composition complète du calcul. Ces lignes ne s'additionnent donc pas entre elles : chaque cotisant n'est comptabilisé qu'une seule fois dans la ligne « Numérateur » de l'indicateur global, quel que soit le nombre de branches auxquelles il est rattaché. Le numérateur global correspond à l'union dédupliquée des personnes couvertes par au moins une des composantes retenues, et non à la somme brute des lignes « Dont … ».</w:t>
      </w:r>
    </w:p>
    <w:p>
      <w:pPr>
        <w:pStyle w:val="Normal"/>
      </w:pPr>
      <w:r>
        <w:rPr>
          <w:b/>
          <w:bCs/>
        </w:rPr>
        <w:t xml:space="preserve">Cas particulier de la protection budgétaire hors CNSSAP.</w:t>
      </w:r>
      <w:r>
        <w:t xml:space="preserve"> </w:t>
      </w:r>
      <w:r>
        <w:t xml:space="preserve">Le code « TRESOR » utilisé dans la base ne désigne pas une institution. Il représente, à titre d'hypothèse de travail, la part estimée des agents publics hors CNSSAP considérée comme relevant d'un dispositif non contributif financé par allocation budgétaire. Les effectifs associés sont des estimations de personnes potentiellement couvertes et non des cotisants.</w:t>
      </w:r>
    </w:p>
    <w:bookmarkStart w:id="427" w:name="c1-odd-131-global"/>
    <w:p>
      <w:pPr>
        <w:pStyle w:val="Heading2"/>
      </w:pPr>
      <w:r>
        <w:t xml:space="preserve">C.1 — ODD 1.3.1 — Global</w:t>
      </w:r>
    </w:p>
    <w:p>
      <w:pPr>
        <w:pStyle w:val="Normal"/>
      </w:pPr>
      <w:r>
        <w:rPr>
          <w:b/>
          <w:bCs/>
        </w:rPr>
        <w:t xml:space="preserve">Définition (BIT/OIT).</w:t>
      </w:r>
      <w:r>
        <w:t xml:space="preserve"> </w:t>
      </w:r>
      <w:r>
        <w:t xml:space="preserve">Proportion de la population couverte par au moins une prestation en espèces de protection sociale ou cotisant activement à au moins un régime de sécurité sociale.</w:t>
      </w:r>
    </w:p>
    <w:p>
      <w:pPr>
        <w:pStyle w:val="Normal"/>
      </w:pPr>
      <w:r>
        <w:rPr>
          <w:b/>
          <w:bCs/>
        </w:rPr>
        <w:t xml:space="preserve">Numérateur.</w:t>
      </w:r>
      <w:r>
        <w:t xml:space="preserve"> </w:t>
      </w:r>
      <w:r>
        <w:t xml:space="preserve">Nombre de personnes recevant au moins une prestation en espèces de protection sociale, hors soins de santé, ou cotisant activement à au moins un régime de sécurité sociale, sans double comptage.</w:t>
      </w:r>
    </w:p>
    <w:p>
      <w:pPr>
        <w:pStyle w:val="Normal"/>
      </w:pPr>
      <w:r>
        <w:rPr>
          <w:b/>
          <w:bCs/>
        </w:rPr>
        <w:t xml:space="preserve">Dénominateur.</w:t>
      </w:r>
      <w:r>
        <w:t xml:space="preserve"> </w:t>
      </w:r>
      <w:r>
        <w:t xml:space="preserve">Population totale.</w:t>
      </w:r>
    </w:p>
    <w:p>
      <w:pPr>
        <w:pStyle w:val="Normal"/>
      </w:pPr>
      <w:r>
        <w:rPr>
          <w:b/>
          <w:bCs/>
        </w:rPr>
        <w:t xml:space="preserve">Formule.</w:t>
      </w:r>
      <w:r>
        <w:t xml:space="preserve"> </w:t>
      </w:r>
      <w:r>
        <w:t xml:space="preserve">Population couverte par au moins une prestation ou cotisant activement ÷ population totale × 100.</w:t>
      </w:r>
    </w:p>
    <w:p>
      <w:pPr>
        <w:pStyle w:val="TableTitle"/>
      </w:pPr>
      <w:r>
        <w:rPr>
          <w:b/>
          <w:bCs/>
        </w:rPr>
        <w:t xml:space="preserve">Tableau C.1</w:t>
      </w:r>
      <w:r>
        <w:t xml:space="preserve"> </w:t>
      </w:r>
      <w:r>
        <w:t xml:space="preserve">— Indicateur de couverture, numérateur et dénominateur — ODD 1.3.1 — Global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4,399,853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4,156,671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4,733,778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4,692,924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4,748,489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5,402,045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4,274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Prestations aux familles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familiales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allocations prénatales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allocation des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1,766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assistance médicale, chirurgicale et soins dentaires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des produits pharmaceutiques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fourniture, entretien et renouvellement des appareils prophèse et d'orthopédie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de réadaptation fonctionnelle ou de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lunettes, soins infirmiers et visites à domicile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réadaptation fonctionnelle ou reclassement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transport de la victime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d'invalidité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24,725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28,355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31,524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30,778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33,506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au conjoint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6,044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7,508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de survie pour l'orphelin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Prestations en cas d'accident du travail — Risques professionnels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contributive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réversion (rente viagère du conjoint survivant)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20"/>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92,947,442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95,989,998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99,148,932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102,396,968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105,789,731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109,276,265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112,832,473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116,452,162</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C.1</w:t>
      </w:r>
      <w:r>
        <w:t xml:space="preserve"> </w:t>
      </w:r>
      <w:r>
        <w:t xml:space="preserve">— Évolution de l'indicateur de couverture (%) et du numérateur (effectifs) — ODD 1.3.1 — Global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22" name="Picture"/>
                  <a:graphic>
                    <a:graphicData uri="http://schemas.openxmlformats.org/drawingml/2006/picture">
                      <pic:pic>
                        <pic:nvPicPr>
                          <pic:cNvPr descr="C:/Users/M.Diouf/OneDrive/Bureau/RDC%20Bulletin%20V1/Bulletin_rdc_2026_agents/04_annexes/illustrations/annexe_C_global_131_indicateur.png" id="423" name="Picture"/>
                          <pic:cNvPicPr>
                            <a:picLocks noChangeArrowheads="1" noChangeAspect="1"/>
                          </pic:cNvPicPr>
                        </pic:nvPicPr>
                        <pic:blipFill>
                          <a:blip r:embed="rId421"/>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25" name="Picture"/>
                  <a:graphic>
                    <a:graphicData uri="http://schemas.openxmlformats.org/drawingml/2006/picture">
                      <pic:pic>
                        <pic:nvPicPr>
                          <pic:cNvPr descr="C:/Users/M.Diouf/OneDrive/Bureau/RDC%20Bulletin%20V1/Bulletin_rdc_2026_agents/04_annexes/illustrations/annexe_C_global_131_numerateur.png" id="426" name="Picture"/>
                          <pic:cNvPicPr>
                            <a:picLocks noChangeArrowheads="1" noChangeAspect="1"/>
                          </pic:cNvPicPr>
                        </pic:nvPicPr>
                        <pic:blipFill>
                          <a:blip r:embed="rId424"/>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27"/>
    <w:bookmarkStart w:id="436" w:name="c2-22-enfants"/>
    <w:p>
      <w:pPr>
        <w:pStyle w:val="Heading2"/>
      </w:pPr>
      <w:r>
        <w:t xml:space="preserve">C.2 — 2.2 Enfants</w:t>
      </w:r>
    </w:p>
    <w:p>
      <w:pPr>
        <w:pStyle w:val="Normal"/>
      </w:pPr>
      <w:r>
        <w:rPr>
          <w:b/>
          <w:bCs/>
        </w:rPr>
        <w:t xml:space="preserve">Définition (BIT/OIT).</w:t>
      </w:r>
      <w:r>
        <w:t xml:space="preserve"> </w:t>
      </w:r>
      <w:r>
        <w:t xml:space="preserve">Proportion d'enfants bénéficiant d'au moins une prestation en espèces de protection sociale destinée aux enfants ou aux familles.</w:t>
      </w:r>
    </w:p>
    <w:p>
      <w:pPr>
        <w:pStyle w:val="Normal"/>
      </w:pPr>
      <w:r>
        <w:rPr>
          <w:b/>
          <w:bCs/>
        </w:rPr>
        <w:t xml:space="preserve">Numérateur.</w:t>
      </w:r>
      <w:r>
        <w:t xml:space="preserve"> </w:t>
      </w:r>
      <w:r>
        <w:t xml:space="preserve">Nombre d'enfants recevant au moins une prestation en espèces pour enfants ou famille.</w:t>
      </w:r>
    </w:p>
    <w:p>
      <w:pPr>
        <w:pStyle w:val="Normal"/>
      </w:pPr>
      <w:r>
        <w:rPr>
          <w:b/>
          <w:bCs/>
        </w:rPr>
        <w:t xml:space="preserve">Dénominateur.</w:t>
      </w:r>
      <w:r>
        <w:t xml:space="preserve"> </w:t>
      </w:r>
      <w:r>
        <w:t xml:space="preserve">Population totale des enfants dans la tranche d'âge retenue.</w:t>
      </w:r>
    </w:p>
    <w:p>
      <w:pPr>
        <w:pStyle w:val="Normal"/>
      </w:pPr>
      <w:r>
        <w:rPr>
          <w:b/>
          <w:bCs/>
        </w:rPr>
        <w:t xml:space="preserve">Formule.</w:t>
      </w:r>
      <w:r>
        <w:t xml:space="preserve"> </w:t>
      </w:r>
      <w:r>
        <w:t xml:space="preserve">Enfants bénéficiaires ÷ population totale des enfants × 100.</w:t>
      </w:r>
    </w:p>
    <w:p>
      <w:pPr>
        <w:pStyle w:val="TableTitle"/>
      </w:pPr>
      <w:r>
        <w:rPr>
          <w:b/>
          <w:bCs/>
        </w:rPr>
        <w:t xml:space="preserve">Tableau C.2</w:t>
      </w:r>
      <w:r>
        <w:t xml:space="preserve"> </w:t>
      </w:r>
      <w:r>
        <w:t xml:space="preserve">— Indicateur de couverture, numérateur et dénominateur — 2.2 Enfants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r>
              <w:rPr>
                <w:rStyle w:val="FootnoteReference"/>
              </w:rPr>
              <w:footnoteReference w:id="428"/>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933,117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1,256,688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1,130,597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1,266,245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914,223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allocations familiales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847,801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933,077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1,129,861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1,256,585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911,125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de survie pour l'orphelin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549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8,922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29"/>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42,737,234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44,203,394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45,697,743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47,215,242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48,758,487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50,299,865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51,846,285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53,371,488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C.2</w:t>
      </w:r>
      <w:r>
        <w:t xml:space="preserve"> </w:t>
      </w:r>
      <w:r>
        <w:t xml:space="preserve">— Évolution de l'indicateur de couverture (%) et du numérateur (effectifs) — 2.2 Enfants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31" name="Picture"/>
                  <a:graphic>
                    <a:graphicData uri="http://schemas.openxmlformats.org/drawingml/2006/picture">
                      <pic:pic>
                        <pic:nvPicPr>
                          <pic:cNvPr descr="C:/Users/M.Diouf/OneDrive/Bureau/RDC%20Bulletin%20V1/Bulletin_rdc_2026_agents/04_annexes/illustrations/annexe_C_ind_22_enfants_indicateur.png" id="432" name="Picture"/>
                          <pic:cNvPicPr>
                            <a:picLocks noChangeArrowheads="1" noChangeAspect="1"/>
                          </pic:cNvPicPr>
                        </pic:nvPicPr>
                        <pic:blipFill>
                          <a:blip r:embed="rId430"/>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34" name="Picture"/>
                  <a:graphic>
                    <a:graphicData uri="http://schemas.openxmlformats.org/drawingml/2006/picture">
                      <pic:pic>
                        <pic:nvPicPr>
                          <pic:cNvPr descr="C:/Users/M.Diouf/OneDrive/Bureau/RDC%20Bulletin%20V1/Bulletin_rdc_2026_agents/04_annexes/illustrations/annexe_C_ind_22_enfants_numerateur.png" id="435" name="Picture"/>
                          <pic:cNvPicPr>
                            <a:picLocks noChangeArrowheads="1" noChangeAspect="1"/>
                          </pic:cNvPicPr>
                        </pic:nvPicPr>
                        <pic:blipFill>
                          <a:blip r:embed="rId433"/>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36"/>
    <w:bookmarkStart w:id="444" w:name="c3-23-maternite"/>
    <w:p>
      <w:pPr>
        <w:pStyle w:val="Heading2"/>
      </w:pPr>
      <w:r>
        <w:t xml:space="preserve">C.3 — 2.3 Maternité</w:t>
      </w:r>
    </w:p>
    <w:p>
      <w:pPr>
        <w:pStyle w:val="Normal"/>
      </w:pPr>
      <w:r>
        <w:rPr>
          <w:b/>
          <w:bCs/>
        </w:rPr>
        <w:t xml:space="preserve">Définition (BIT/OIT).</w:t>
      </w:r>
      <w:r>
        <w:t xml:space="preserve"> </w:t>
      </w:r>
      <w:r>
        <w:t xml:space="preserve">Proportion de femmes ayant accouché qui reçoivent une prestation en espèces de maternité.</w:t>
      </w:r>
    </w:p>
    <w:p>
      <w:pPr>
        <w:pStyle w:val="Normal"/>
      </w:pPr>
      <w:r>
        <w:rPr>
          <w:b/>
          <w:bCs/>
        </w:rPr>
        <w:t xml:space="preserve">Numérateur.</w:t>
      </w:r>
      <w:r>
        <w:t xml:space="preserve"> </w:t>
      </w:r>
      <w:r>
        <w:t xml:space="preserve">Nombre de femmes ayant accouché et percevant une indemnité ou une allocation de maternité en espèces.</w:t>
      </w:r>
    </w:p>
    <w:p>
      <w:pPr>
        <w:pStyle w:val="Normal"/>
      </w:pPr>
      <w:r>
        <w:rPr>
          <w:b/>
          <w:bCs/>
        </w:rPr>
        <w:t xml:space="preserve">Dénominateur.</w:t>
      </w:r>
      <w:r>
        <w:t xml:space="preserve"> </w:t>
      </w:r>
      <w:r>
        <w:t xml:space="preserve">Nombre total de femmes ayant accouché au cours de la même année, estimé directement ou à partir des naissances vivantes corrigées des naissances multiples.</w:t>
      </w:r>
    </w:p>
    <w:p>
      <w:pPr>
        <w:pStyle w:val="Normal"/>
      </w:pPr>
      <w:r>
        <w:rPr>
          <w:b/>
          <w:bCs/>
        </w:rPr>
        <w:t xml:space="preserve">Formule.</w:t>
      </w:r>
      <w:r>
        <w:t xml:space="preserve"> </w:t>
      </w:r>
      <w:r>
        <w:t xml:space="preserve">Femmes bénéficiaires d'une prestation de maternité ÷ femmes ayant accouché × 100.</w:t>
      </w:r>
    </w:p>
    <w:p>
      <w:pPr>
        <w:pStyle w:val="TableTitle"/>
      </w:pPr>
      <w:r>
        <w:rPr>
          <w:b/>
          <w:bCs/>
        </w:rPr>
        <w:t xml:space="preserve">Tableau C.3</w:t>
      </w:r>
      <w:r>
        <w:t xml:space="preserve"> </w:t>
      </w:r>
      <w:r>
        <w:t xml:space="preserve">— Indicateur de couverture, numérateur et dénominateur — 2.3 Maternité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allocation de maternité — Prestations familiales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de maternité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3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3,926,761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719,335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4,127,847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4,230,812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4,337,283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4,435,281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4,527,231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4,602,608</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C.3</w:t>
      </w:r>
      <w:r>
        <w:t xml:space="preserve"> </w:t>
      </w:r>
      <w:r>
        <w:t xml:space="preserve">— Évolution de l'indicateur de couverture (%) et du numérateur (effectifs) — 2.3 Maternité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39" name="Picture"/>
                  <a:graphic>
                    <a:graphicData uri="http://schemas.openxmlformats.org/drawingml/2006/picture">
                      <pic:pic>
                        <pic:nvPicPr>
                          <pic:cNvPr descr="C:/Users/M.Diouf/OneDrive/Bureau/RDC%20Bulletin%20V1/Bulletin_rdc_2026_agents/04_annexes/illustrations/annexe_C_ind_23_maternite_indicateur.png" id="440" name="Picture"/>
                          <pic:cNvPicPr>
                            <a:picLocks noChangeArrowheads="1" noChangeAspect="1"/>
                          </pic:cNvPicPr>
                        </pic:nvPicPr>
                        <pic:blipFill>
                          <a:blip r:embed="rId438"/>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2" name="Picture"/>
                  <a:graphic>
                    <a:graphicData uri="http://schemas.openxmlformats.org/drawingml/2006/picture">
                      <pic:pic>
                        <pic:nvPicPr>
                          <pic:cNvPr descr="C:/Users/M.Diouf/OneDrive/Bureau/RDC%20Bulletin%20V1/Bulletin_rdc_2026_agents/04_annexes/illustrations/annexe_C_ind_23_maternite_numerateur.png" id="443" name="Picture"/>
                          <pic:cNvPicPr>
                            <a:picLocks noChangeArrowheads="1" noChangeAspect="1"/>
                          </pic:cNvPicPr>
                        </pic:nvPicPr>
                        <pic:blipFill>
                          <a:blip r:embed="rId441"/>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44"/>
    <w:bookmarkStart w:id="452" w:name="c4-24-handicap-invalidite"/>
    <w:p>
      <w:pPr>
        <w:pStyle w:val="Heading2"/>
      </w:pPr>
      <w:r>
        <w:t xml:space="preserve">C.4 — 2.4 Handicap / invalidité</w:t>
      </w:r>
    </w:p>
    <w:p>
      <w:pPr>
        <w:pStyle w:val="Normal"/>
      </w:pPr>
      <w:r>
        <w:rPr>
          <w:b/>
          <w:bCs/>
        </w:rPr>
        <w:t xml:space="preserve">Définition (BIT/OIT).</w:t>
      </w:r>
      <w:r>
        <w:t xml:space="preserve"> </w:t>
      </w:r>
      <w:r>
        <w:t xml:space="preserve">Proportion de personnes en situation de handicap grave qui reçoivent une prestation en espèces d'invalidité.</w:t>
      </w:r>
    </w:p>
    <w:p>
      <w:pPr>
        <w:pStyle w:val="Normal"/>
      </w:pPr>
      <w:r>
        <w:rPr>
          <w:b/>
          <w:bCs/>
        </w:rPr>
        <w:t xml:space="preserve">Numérateur.</w:t>
      </w:r>
      <w:r>
        <w:t xml:space="preserve"> </w:t>
      </w:r>
      <w:r>
        <w:t xml:space="preserve">Nombre de personnes en situation de handicap grave percevant une prestation en espèces d'invalidité.</w:t>
      </w:r>
    </w:p>
    <w:p>
      <w:pPr>
        <w:pStyle w:val="Normal"/>
      </w:pPr>
      <w:r>
        <w:rPr>
          <w:b/>
          <w:bCs/>
        </w:rPr>
        <w:t xml:space="preserve">Dénominateur.</w:t>
      </w:r>
      <w:r>
        <w:t xml:space="preserve"> </w:t>
      </w:r>
      <w:r>
        <w:t xml:space="preserve">Population estimée de personnes en situation de handicap grave.</w:t>
      </w:r>
    </w:p>
    <w:p>
      <w:pPr>
        <w:pStyle w:val="Normal"/>
      </w:pPr>
      <w:r>
        <w:rPr>
          <w:b/>
          <w:bCs/>
        </w:rPr>
        <w:t xml:space="preserve">Formule.</w:t>
      </w:r>
      <w:r>
        <w:t xml:space="preserve"> </w:t>
      </w:r>
      <w:r>
        <w:t xml:space="preserve">Bénéficiaires de prestations d'invalidité ÷ population en situation de handicap grave × 100.</w:t>
      </w:r>
    </w:p>
    <w:p>
      <w:pPr>
        <w:pStyle w:val="TableTitle"/>
      </w:pPr>
      <w:r>
        <w:rPr>
          <w:b/>
          <w:bCs/>
        </w:rPr>
        <w:t xml:space="preserve">Tableau C.4</w:t>
      </w:r>
      <w:r>
        <w:t xml:space="preserve"> </w:t>
      </w:r>
      <w:r>
        <w:t xml:space="preserve">— Indicateur de couverture, numérateur et dénominateur — 2.4 Handicap / invalidité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1,965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1,588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1,479</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3,292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Rente ou allocation d'incapacité — Risques professionnels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d'invalidité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4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13,942,116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14,398,500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14,872,340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15,359,545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15,868,460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16,391,440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16,924,871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17,467,824</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C.4</w:t>
      </w:r>
      <w:r>
        <w:t xml:space="preserve"> </w:t>
      </w:r>
      <w:r>
        <w:t xml:space="preserve">— Évolution de l'indicateur de couverture (%) et du numérateur (effectifs) — 2.4 Handicap / invalidité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47" name="Picture"/>
                  <a:graphic>
                    <a:graphicData uri="http://schemas.openxmlformats.org/drawingml/2006/picture">
                      <pic:pic>
                        <pic:nvPicPr>
                          <pic:cNvPr descr="C:/Users/M.Diouf/OneDrive/Bureau/RDC%20Bulletin%20V1/Bulletin_rdc_2026_agents/04_annexes/illustrations/annexe_C_ind_24_handicap_indicateur.png" id="448" name="Picture"/>
                          <pic:cNvPicPr>
                            <a:picLocks noChangeArrowheads="1" noChangeAspect="1"/>
                          </pic:cNvPicPr>
                        </pic:nvPicPr>
                        <pic:blipFill>
                          <a:blip r:embed="rId446"/>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50" name="Picture"/>
                  <a:graphic>
                    <a:graphicData uri="http://schemas.openxmlformats.org/drawingml/2006/picture">
                      <pic:pic>
                        <pic:nvPicPr>
                          <pic:cNvPr descr="C:/Users/M.Diouf/OneDrive/Bureau/RDC%20Bulletin%20V1/Bulletin_rdc_2026_agents/04_annexes/illustrations/annexe_C_ind_24_handicap_numerateur.png" id="451" name="Picture"/>
                          <pic:cNvPicPr>
                            <a:picLocks noChangeArrowheads="1" noChangeAspect="1"/>
                          </pic:cNvPicPr>
                        </pic:nvPicPr>
                        <pic:blipFill>
                          <a:blip r:embed="rId449"/>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52"/>
    <w:bookmarkStart w:id="460" w:name="c5-25-atmp"/>
    <w:p>
      <w:pPr>
        <w:pStyle w:val="Heading2"/>
      </w:pPr>
      <w:r>
        <w:t xml:space="preserve">C.5 — 2.5 AT/MP</w:t>
      </w:r>
    </w:p>
    <w:p>
      <w:pPr>
        <w:pStyle w:val="Normal"/>
      </w:pPr>
      <w:r>
        <w:rPr>
          <w:b/>
          <w:bCs/>
        </w:rPr>
        <w:t xml:space="preserve">Définition (BIT/OIT).</w:t>
      </w:r>
      <w:r>
        <w:t xml:space="preserve"> </w:t>
      </w:r>
      <w:r>
        <w:t xml:space="preserve">Proportion de la main-d'œuvre couverte par un régime assurant une protection en cas d'accident du travail ou de maladie professionnelle.</w:t>
      </w:r>
    </w:p>
    <w:p>
      <w:pPr>
        <w:pStyle w:val="Normal"/>
      </w:pPr>
      <w:r>
        <w:rPr>
          <w:b/>
          <w:bCs/>
        </w:rPr>
        <w:t xml:space="preserve">Numérateur.</w:t>
      </w:r>
      <w:r>
        <w:t xml:space="preserve"> </w:t>
      </w:r>
      <w:r>
        <w:t xml:space="preserve">Nombre de personnes appartenant à la main-d'œuvre et couvertes en cas d'accident du travail ou de maladie professionnelle.</w:t>
      </w:r>
    </w:p>
    <w:p>
      <w:pPr>
        <w:pStyle w:val="Normal"/>
      </w:pPr>
      <w:r>
        <w:rPr>
          <w:b/>
          <w:bCs/>
        </w:rPr>
        <w:t xml:space="preserve">Dénominateur.</w:t>
      </w:r>
      <w:r>
        <w:t xml:space="preserve"> </w:t>
      </w:r>
      <w:r>
        <w:t xml:space="preserve">Main-d'œuvre totale, composée des personnes en emploi et des personnes au chômage.</w:t>
      </w:r>
    </w:p>
    <w:p>
      <w:pPr>
        <w:pStyle w:val="Normal"/>
      </w:pPr>
      <w:r>
        <w:rPr>
          <w:b/>
          <w:bCs/>
        </w:rPr>
        <w:t xml:space="preserve">Formule.</w:t>
      </w:r>
      <w:r>
        <w:t xml:space="preserve"> </w:t>
      </w:r>
      <w:r>
        <w:t xml:space="preserve">Main-d'œuvre couverte contre les accidents du travail et maladies professionnelles ÷ main-d'œuvre totale × 100.</w:t>
      </w:r>
    </w:p>
    <w:p>
      <w:pPr>
        <w:pStyle w:val="TableTitle"/>
      </w:pPr>
      <w:r>
        <w:rPr>
          <w:b/>
          <w:bCs/>
        </w:rPr>
        <w:t xml:space="preserve">Tableau C.5</w:t>
      </w:r>
      <w:r>
        <w:t xml:space="preserve"> </w:t>
      </w:r>
      <w:r>
        <w:t xml:space="preserve">— Indicateur de couverture, numérateur et dénominateur — 2.5 AT/MP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678,737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511,336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593,930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616,595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580,900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809,045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Risques Professionnels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 ou allocation d'incapacité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1,082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1,020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indemnité journalière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rentes de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1,476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1,845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1,781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1,608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2,853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5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50,191,619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51,642,619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53,143,828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54,679,981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56,280,137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57,916,420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39,847,328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41,199,460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C.5</w:t>
      </w:r>
      <w:r>
        <w:t xml:space="preserve"> </w:t>
      </w:r>
      <w:r>
        <w:t xml:space="preserve">— Évolution de l'indicateur de couverture (%) et du numérateur (effectifs) — 2.5 AT/MP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55" name="Picture"/>
                  <a:graphic>
                    <a:graphicData uri="http://schemas.openxmlformats.org/drawingml/2006/picture">
                      <pic:pic>
                        <pic:nvPicPr>
                          <pic:cNvPr descr="C:/Users/M.Diouf/OneDrive/Bureau/RDC%20Bulletin%20V1/Bulletin_rdc_2026_agents/04_annexes/illustrations/annexe_C_ind_25_atmp_indicateur.png" id="456" name="Picture"/>
                          <pic:cNvPicPr>
                            <a:picLocks noChangeArrowheads="1" noChangeAspect="1"/>
                          </pic:cNvPicPr>
                        </pic:nvPicPr>
                        <pic:blipFill>
                          <a:blip r:embed="rId454"/>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58" name="Picture"/>
                  <a:graphic>
                    <a:graphicData uri="http://schemas.openxmlformats.org/drawingml/2006/picture">
                      <pic:pic>
                        <pic:nvPicPr>
                          <pic:cNvPr descr="C:/Users/M.Diouf/OneDrive/Bureau/RDC%20Bulletin%20V1/Bulletin_rdc_2026_agents/04_annexes/illustrations/annexe_C_ind_25_atmp_numerateur.png" id="459" name="Picture"/>
                          <pic:cNvPicPr>
                            <a:picLocks noChangeArrowheads="1" noChangeAspect="1"/>
                          </pic:cNvPicPr>
                        </pic:nvPicPr>
                        <pic:blipFill>
                          <a:blip r:embed="rId457"/>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60"/>
    <w:bookmarkStart w:id="461" w:name="c6-26-chomage"/>
    <w:p>
      <w:pPr>
        <w:pStyle w:val="Heading2"/>
      </w:pPr>
      <w:r>
        <w:t xml:space="preserve">C.6 — 2.6 Chômage</w:t>
      </w:r>
    </w:p>
    <w:p>
      <w:pPr>
        <w:pStyle w:val="Normal"/>
      </w:pPr>
      <w:r>
        <w:rPr>
          <w:b/>
          <w:bCs/>
        </w:rPr>
        <w:t xml:space="preserve">Définition (BIT/OIT).</w:t>
      </w:r>
      <w:r>
        <w:t xml:space="preserve"> </w:t>
      </w:r>
      <w:r>
        <w:t xml:space="preserve">Proportion de personnes au chômage qui reçoivent une prestation en espèces de chômage.</w:t>
      </w:r>
    </w:p>
    <w:p>
      <w:pPr>
        <w:pStyle w:val="Normal"/>
      </w:pPr>
      <w:r>
        <w:rPr>
          <w:b/>
          <w:bCs/>
        </w:rPr>
        <w:t xml:space="preserve">Numérateur.</w:t>
      </w:r>
      <w:r>
        <w:t xml:space="preserve"> </w:t>
      </w:r>
      <w:r>
        <w:t xml:space="preserve">Nombre de personnes au chômage percevant effectivement une allocation de chômage en espèces.</w:t>
      </w:r>
    </w:p>
    <w:p>
      <w:pPr>
        <w:pStyle w:val="Normal"/>
      </w:pPr>
      <w:r>
        <w:rPr>
          <w:b/>
          <w:bCs/>
        </w:rPr>
        <w:t xml:space="preserve">Dénominateur.</w:t>
      </w:r>
      <w:r>
        <w:t xml:space="preserve"> </w:t>
      </w:r>
      <w:r>
        <w:t xml:space="preserve">Nombre total de personnes au chômage selon la définition du BIT.</w:t>
      </w:r>
    </w:p>
    <w:p>
      <w:pPr>
        <w:pStyle w:val="Normal"/>
      </w:pPr>
      <w:r>
        <w:rPr>
          <w:b/>
          <w:bCs/>
        </w:rPr>
        <w:t xml:space="preserve">Formule.</w:t>
      </w:r>
      <w:r>
        <w:t xml:space="preserve"> </w:t>
      </w:r>
      <w:r>
        <w:t xml:space="preserve">Chômeurs indemnisés ÷ nombre total de chômeurs × 100.</w:t>
      </w:r>
    </w:p>
    <w:p>
      <w:pPr>
        <w:pStyle w:val="Normal"/>
      </w:pPr>
      <w:r>
        <w:rPr>
          <w:i/>
          <w:iCs/>
        </w:rPr>
        <w:t xml:space="preserve">Aucun régime d'assurance chômage opérationnel n'est identifié dans les ESS disponibles : ni numérateur ni dénominateur ne peuvent être calculés à ce stade.</w:t>
      </w:r>
    </w:p>
    <w:bookmarkEnd w:id="461"/>
    <w:bookmarkStart w:id="469" w:name="c7-27-vieillesse"/>
    <w:p>
      <w:pPr>
        <w:pStyle w:val="Heading2"/>
      </w:pPr>
      <w:r>
        <w:t xml:space="preserve">C.7 — 2.7 Vieillesse</w:t>
      </w:r>
    </w:p>
    <w:p>
      <w:pPr>
        <w:pStyle w:val="Normal"/>
      </w:pPr>
      <w:r>
        <w:rPr>
          <w:b/>
          <w:bCs/>
        </w:rPr>
        <w:t xml:space="preserve">Définition (BIT/OIT).</w:t>
      </w:r>
      <w:r>
        <w:t xml:space="preserve"> </w:t>
      </w:r>
      <w:r>
        <w:t xml:space="preserve">Proportion de personnes ayant atteint l'âge légal de la retraite qui reçoivent une prestation de vieillesse contributive ou non contributive.</w:t>
      </w:r>
    </w:p>
    <w:p>
      <w:pPr>
        <w:pStyle w:val="Normal"/>
      </w:pPr>
      <w:r>
        <w:rPr>
          <w:b/>
          <w:bCs/>
        </w:rPr>
        <w:t xml:space="preserve">Numérateur.</w:t>
      </w:r>
      <w:r>
        <w:t xml:space="preserve"> </w:t>
      </w:r>
      <w:r>
        <w:t xml:space="preserve">Nombre de personnes ayant atteint l'âge légal de la retraite et percevant effectivement une pension ou une prestation de vieillesse.</w:t>
      </w:r>
    </w:p>
    <w:p>
      <w:pPr>
        <w:pStyle w:val="Normal"/>
      </w:pPr>
      <w:r>
        <w:rPr>
          <w:b/>
          <w:bCs/>
        </w:rPr>
        <w:t xml:space="preserve">Dénominateur.</w:t>
      </w:r>
      <w:r>
        <w:t xml:space="preserve"> </w:t>
      </w:r>
      <w:r>
        <w:t xml:space="preserve">Population totale ayant atteint l'âge légal de la retraite, lequel peut différer selon le sexe ou le régime.</w:t>
      </w:r>
    </w:p>
    <w:p>
      <w:pPr>
        <w:pStyle w:val="Normal"/>
      </w:pPr>
      <w:r>
        <w:rPr>
          <w:b/>
          <w:bCs/>
        </w:rPr>
        <w:t xml:space="preserve">Formule.</w:t>
      </w:r>
      <w:r>
        <w:t xml:space="preserve"> </w:t>
      </w:r>
      <w:r>
        <w:t xml:space="preserve">Bénéficiaires de prestations de vieillesse ÷ population ayant atteint l'âge légal de la retraite × 100.</w:t>
      </w:r>
    </w:p>
    <w:p>
      <w:pPr>
        <w:pStyle w:val="TableTitle"/>
      </w:pPr>
      <w:r>
        <w:rPr>
          <w:b/>
          <w:bCs/>
        </w:rPr>
        <w:t xml:space="preserve">Tableau C.7</w:t>
      </w:r>
      <w:r>
        <w:t xml:space="preserve"> </w:t>
      </w:r>
      <w:r>
        <w:t xml:space="preserve">— Indicateur de couverture, numérateur et dénominateur — 2.7 Vieillesse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39,882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41,598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44,700</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51,552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56,298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60,113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Pension (CNSS,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38,641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39,465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42,407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44,094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43,601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44,937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1,235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940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Régime de base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1,329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6,238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10,485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 Réforme du transfert (CNSSAP,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3,653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4,522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2,510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 de retraite contributive — SESOPA_R1 (SESOPA,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964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 Pension de retraite des anciens parlementaires non cotisants prise en charge par le Trésor public (bénéf.)</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277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6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3,996,740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4,223,560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4,461,702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4,710,261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4,972,117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5,245,261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C.7</w:t>
      </w:r>
      <w:r>
        <w:t xml:space="preserve"> </w:t>
      </w:r>
      <w:r>
        <w:t xml:space="preserve">— Évolution de l'indicateur de couverture (%) et du numérateur (effectifs) — 2.7 Vieillesse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64" name="Picture"/>
                  <a:graphic>
                    <a:graphicData uri="http://schemas.openxmlformats.org/drawingml/2006/picture">
                      <pic:pic>
                        <pic:nvPicPr>
                          <pic:cNvPr descr="C:/Users/M.Diouf/OneDrive/Bureau/RDC%20Bulletin%20V1/Bulletin_rdc_2026_agents/04_annexes/illustrations/annexe_C_ind_27_vieillesse_indicateur.png" id="465" name="Picture"/>
                          <pic:cNvPicPr>
                            <a:picLocks noChangeArrowheads="1" noChangeAspect="1"/>
                          </pic:cNvPicPr>
                        </pic:nvPicPr>
                        <pic:blipFill>
                          <a:blip r:embed="rId463"/>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67" name="Picture"/>
                  <a:graphic>
                    <a:graphicData uri="http://schemas.openxmlformats.org/drawingml/2006/picture">
                      <pic:pic>
                        <pic:nvPicPr>
                          <pic:cNvPr descr="C:/Users/M.Diouf/OneDrive/Bureau/RDC%20Bulletin%20V1/Bulletin_rdc_2026_agents/04_annexes/illustrations/annexe_C_ind_27_vieillesse_numerateur.png" id="468" name="Picture"/>
                          <pic:cNvPicPr>
                            <a:picLocks noChangeArrowheads="1" noChangeAspect="1"/>
                          </pic:cNvPicPr>
                        </pic:nvPicPr>
                        <pic:blipFill>
                          <a:blip r:embed="rId466"/>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69"/>
    <w:bookmarkStart w:id="470" w:name="c8-28-vulnerables-assistance"/>
    <w:p>
      <w:pPr>
        <w:pStyle w:val="Heading2"/>
      </w:pPr>
      <w:r>
        <w:t xml:space="preserve">C.8 — 2.8 Vulnérables / assistance</w:t>
      </w:r>
    </w:p>
    <w:p>
      <w:pPr>
        <w:pStyle w:val="Normal"/>
      </w:pPr>
      <w:r>
        <w:rPr>
          <w:b/>
          <w:bCs/>
        </w:rPr>
        <w:t xml:space="preserve">Définition (BIT/OIT).</w:t>
      </w:r>
      <w:r>
        <w:t xml:space="preserve"> </w:t>
      </w:r>
      <w:r>
        <w:t xml:space="preserve">Proportion de personnes vulnérables qui reçoivent une prestation d'assistance sociale en espèces.</w:t>
      </w:r>
    </w:p>
    <w:p>
      <w:pPr>
        <w:pStyle w:val="Normal"/>
      </w:pPr>
      <w:r>
        <w:rPr>
          <w:b/>
          <w:bCs/>
        </w:rPr>
        <w:t xml:space="preserve">Numérateur.</w:t>
      </w:r>
      <w:r>
        <w:t xml:space="preserve"> </w:t>
      </w:r>
      <w:r>
        <w:t xml:space="preserve">Nombre de personnes vulnérables percevant une prestation d'assistance sociale en espèces.</w:t>
      </w:r>
    </w:p>
    <w:p>
      <w:pPr>
        <w:pStyle w:val="Normal"/>
      </w:pPr>
      <w:r>
        <w:rPr>
          <w:b/>
          <w:bCs/>
        </w:rPr>
        <w:t xml:space="preserve">Dénominateur.</w:t>
      </w:r>
      <w:r>
        <w:t xml:space="preserve"> </w:t>
      </w:r>
      <w:r>
        <w:t xml:space="preserve">Population vulnérable, obtenue en retranchant de la population totale les personnes en âge de travailler cotisant à une assurance sociale ou percevant une prestation contributive, ainsi que les personnes d'âge légal de la retraite percevant une prestation contributive.</w:t>
      </w:r>
    </w:p>
    <w:p>
      <w:pPr>
        <w:pStyle w:val="Normal"/>
      </w:pPr>
      <w:r>
        <w:rPr>
          <w:b/>
          <w:bCs/>
        </w:rPr>
        <w:t xml:space="preserve">Formule.</w:t>
      </w:r>
      <w:r>
        <w:t xml:space="preserve"> </w:t>
      </w:r>
      <w:r>
        <w:t xml:space="preserve">Personnes vulnérables bénéficiaires d'une prestation d'assistance sociale ÷ population vulnérable × 100.</w:t>
      </w:r>
    </w:p>
    <w:p>
      <w:pPr>
        <w:pStyle w:val="Normal"/>
      </w:pPr>
      <w:r>
        <w:rPr>
          <w:i/>
          <w:iCs/>
        </w:rPr>
        <w:t xml:space="preserve">La population vulnérable et ses bénéficiaires d'assistance sociale ne font l'objet d'aucune mesure individualisable dans les sources actuellement disponibles : cet indicateur n'est pas calculé dans la présente édition.</w:t>
      </w:r>
    </w:p>
    <w:bookmarkEnd w:id="470"/>
    <w:bookmarkStart w:id="478" w:name="c9-29-cotisants-actifs-retraite"/>
    <w:p>
      <w:pPr>
        <w:pStyle w:val="Heading2"/>
      </w:pPr>
      <w:r>
        <w:t xml:space="preserve">C.9 — 2.9 Cotisants actifs retraite</w:t>
      </w:r>
    </w:p>
    <w:p>
      <w:pPr>
        <w:pStyle w:val="Normal"/>
      </w:pPr>
      <w:r>
        <w:rPr>
          <w:b/>
          <w:bCs/>
        </w:rPr>
        <w:t xml:space="preserve">Définition (BIT/OIT).</w:t>
      </w:r>
      <w:r>
        <w:t xml:space="preserve"> </w:t>
      </w:r>
      <w:r>
        <w:t xml:space="preserve">Proportion de la population en âge de travailler qui cotise activement à un régime de retraite contributif.</w:t>
      </w:r>
    </w:p>
    <w:p>
      <w:pPr>
        <w:pStyle w:val="Normal"/>
      </w:pPr>
      <w:r>
        <w:rPr>
          <w:b/>
          <w:bCs/>
        </w:rPr>
        <w:t xml:space="preserve">Numérateur.</w:t>
      </w:r>
      <w:r>
        <w:t xml:space="preserve"> </w:t>
      </w:r>
      <w:r>
        <w:t xml:space="preserve">Nombre de personnes cotisant activement à un régime de retraite contributif.</w:t>
      </w:r>
    </w:p>
    <w:p>
      <w:pPr>
        <w:pStyle w:val="Normal"/>
      </w:pPr>
      <w:r>
        <w:rPr>
          <w:b/>
          <w:bCs/>
        </w:rPr>
        <w:t xml:space="preserve">Dénominateur.</w:t>
      </w:r>
      <w:r>
        <w:t xml:space="preserve"> </w:t>
      </w:r>
      <w:r>
        <w:t xml:space="preserve">Population en âge de travailler (15-64 ans, Banque mondiale SP.POP.1564.TO) — voir DM-016.</w:t>
      </w:r>
    </w:p>
    <w:p>
      <w:pPr>
        <w:pStyle w:val="Normal"/>
      </w:pPr>
      <w:r>
        <w:rPr>
          <w:b/>
          <w:bCs/>
        </w:rPr>
        <w:t xml:space="preserve">Formule.</w:t>
      </w:r>
      <w:r>
        <w:t xml:space="preserve"> </w:t>
      </w:r>
      <w:r>
        <w:t xml:space="preserve">Cotisants actifs à un régime de retraite ÷ population en âge de travailler (15-64 ans) × 100.</w:t>
      </w:r>
    </w:p>
    <w:p>
      <w:pPr>
        <w:pStyle w:val="TableTitle"/>
      </w:pPr>
      <w:r>
        <w:rPr>
          <w:b/>
          <w:bCs/>
        </w:rPr>
        <w:t xml:space="preserve">Tableau C.9</w:t>
      </w:r>
      <w:r>
        <w:t xml:space="preserve"> </w:t>
      </w:r>
      <w:r>
        <w:t xml:space="preserve">— Indicateur de couverture, numérateur et dénominateur — 2.9 Cotisants actifs retraite (2019–2026)</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Indicateur de couverture (%)</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4,4</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4,3</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4,2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5,1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Numérateur (nombre de personnes)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2,129,162</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2,133,995</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2,216,417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2,239,048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2,224,486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2,749,128</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(CNSS,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676,179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508,708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591,130</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613,761</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578,272</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800,486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de base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172,304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190,545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198,399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1,004,106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1,013,104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Régime Complémentaire (CNSSAP,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218,899</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219,327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Branche des pensions de retraite et de réversion (SESOPA, cotisants)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2,315</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Dont Pensions de retraite octroyé de la fonction publique (estimation) (proxy budgétaire hors CNSSAP, personnes potentiellement couvertes estimées)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1,450,668</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1,432,427</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1,424,573</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420,894</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713,896</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Dénominateur (population de référence)</w:t>
            </w:r>
            <w:r>
              <w:rPr>
                <w:rStyle w:val="FootnoteReference"/>
              </w:rPr>
              <w:footnoteReference w:id="47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47,589,090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48,858,909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50,169,360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51,505,675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52,894,866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54,310,304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57,506,566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59,478,100</w:t>
            </w:r>
          </w:p>
        </w:tc>
      </w:tr>
    </w:tbl>
    <w:p>
      <w:pPr>
        <w:pStyle w:val="Normal"/>
      </w:pPr>
      <w:r>
        <w:rPr>
          <w:i/>
          <w:iCs/>
        </w:rPr>
        <w:t xml:space="preserve">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pPr>
        <w:pStyle w:val="GraphicTitle"/>
      </w:pPr>
      <w:r>
        <w:rPr>
          <w:b/>
          <w:bCs/>
        </w:rPr>
        <w:t xml:space="preserve">Figure C.9</w:t>
      </w:r>
      <w:r>
        <w:t xml:space="preserve"> </w:t>
      </w:r>
      <w:r>
        <w:t xml:space="preserve">— Évolution de l'indicateur de couverture (%) et du numérateur (effectifs) — 2.9 Cotisants actifs retraite (2019–2026)</w:t>
      </w:r>
    </w:p>
    <w:tbl>
      <w:tblPr>
        <w:tblStyle w:val="ILOTable"/>
        <w:tblW w:type="pct" w:w="5000"/>
        <w:tblLook w:firstRow="0" w:lastRow="0" w:firstColumn="0" w:lastColumn="0" w:noHBand="0" w:noVBand="0" w:val="0000"/>
        <w:tblLayout w:type="autofit"/>
      </w:tblPr>
      <w:tblGrid>
        <w:gridCol w:w="3960"/>
        <w:gridCol w:w="3960"/>
      </w:tblGrid>
      <w:tr>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73" name="Picture"/>
                  <a:graphic>
                    <a:graphicData uri="http://schemas.openxmlformats.org/drawingml/2006/picture">
                      <pic:pic>
                        <pic:nvPicPr>
                          <pic:cNvPr descr="C:/Users/M.Diouf/OneDrive/Bureau/RDC%20Bulletin%20V1/Bulletin_rdc_2026_agents/04_annexes/illustrations/annexe_C_ind_29_cotisants_indicateur.png" id="474" name="Picture"/>
                          <pic:cNvPicPr>
                            <a:picLocks noChangeArrowheads="1" noChangeAspect="1"/>
                          </pic:cNvPicPr>
                        </pic:nvPicPr>
                        <pic:blipFill>
                          <a:blip r:embed="rId472"/>
                          <a:stretch>
                            <a:fillRect/>
                          </a:stretch>
                        </pic:blipFill>
                        <pic:spPr bwMode="auto">
                          <a:xfrm>
                            <a:off x="0" y="0"/>
                            <a:ext cx="5753100" cy="2684780"/>
                          </a:xfrm>
                          <a:prstGeom prst="rect">
                            <a:avLst/>
                          </a:prstGeom>
                          <a:noFill/>
                          <a:ln w="9525">
                            <a:noFill/>
                            <a:headEnd/>
                            <a:tailEnd/>
                          </a:ln>
                        </pic:spPr>
                      </pic:pic>
                    </a:graphicData>
                  </a:graphic>
                </wp:inline>
              </w:drawing>
            </w:r>
          </w:p>
        </w:tc>
        <w:tc>
          <w:tcPr/>
          <w:tcPr>
            <w:tcBorders>
              <w:top w:val="single" w:sz="4" w:space="0" w:color="000000"/>
              <w:left w:val="single" w:sz="4" w:space="0" w:color="000000"/>
              <w:bottom w:val="single" w:sz="4" w:space="0" w:color="000000"/>
              <w:right w:val="single" w:sz="4" w:space="0" w:color="000000"/>
            </w:tcBorders>
          </w:tcPr>
          <w:p>
            <w:pPr>
              <w:pStyle w:val="TableText"/>
            </w:pPr>
            <w:r>
              <w:drawing>
                <wp:inline>
                  <wp:extent cx="5753100" cy="2684780"/>
                  <wp:effectExtent b="0" l="0" r="0" t="0"/>
                  <wp:docPr descr="" title="" id="476" name="Picture"/>
                  <a:graphic>
                    <a:graphicData uri="http://schemas.openxmlformats.org/drawingml/2006/picture">
                      <pic:pic>
                        <pic:nvPicPr>
                          <pic:cNvPr descr="C:/Users/M.Diouf/OneDrive/Bureau/RDC%20Bulletin%20V1/Bulletin_rdc_2026_agents/04_annexes/illustrations/annexe_C_ind_29_cotisants_numerateur.png" id="477" name="Picture"/>
                          <pic:cNvPicPr>
                            <a:picLocks noChangeArrowheads="1" noChangeAspect="1"/>
                          </pic:cNvPicPr>
                        </pic:nvPicPr>
                        <pic:blipFill>
                          <a:blip r:embed="rId475"/>
                          <a:stretch>
                            <a:fillRect/>
                          </a:stretch>
                        </pic:blipFill>
                        <pic:spPr bwMode="auto">
                          <a:xfrm>
                            <a:off x="0" y="0"/>
                            <a:ext cx="5753100" cy="2684780"/>
                          </a:xfrm>
                          <a:prstGeom prst="rect">
                            <a:avLst/>
                          </a:prstGeom>
                          <a:noFill/>
                          <a:ln w="9525">
                            <a:noFill/>
                            <a:headEnd/>
                            <a:tailEnd/>
                          </a:ln>
                        </pic:spPr>
                      </pic:pic>
                    </a:graphicData>
                  </a:graphic>
                </wp:inline>
              </w:drawing>
            </w:r>
          </w:p>
        </w:tc>
      </w:tr>
    </w:tbl>
    <w:bookmarkEnd w:id="478"/>
    <w:bookmarkEnd w:id="479"/>
    <w:bookmarkStart w:id="480" w:name="Xccecaf3d0ed68438e7bd891a8ad1c8e0a701fc9"/>
    <w:p>
      <w:pPr>
        <w:pStyle w:val="Heading1"/>
      </w:pPr>
      <w:r>
        <w:t xml:space="preserve">Annexe D — Programmes et dispositifs hors périmètre OIT</w:t>
      </w:r>
    </w:p>
    <w:bookmarkEnd w:id="480"/>
    <w:bookmarkStart w:id="481" w:name="annexe-e-definitions-des-indicateurs"/>
    <w:p>
      <w:pPr>
        <w:pStyle w:val="Heading1"/>
      </w:pPr>
      <w:r>
        <w:t xml:space="preserve">Annexe E — Définitions des indicateurs</w:t>
      </w:r>
    </w:p>
    <w:bookmarkEnd w:id="481"/>
    <w:bookmarkStart w:id="482" w:name="X8351ff71f5d66a838879d58dac470bbdde26fa5"/>
    <w:p>
      <w:pPr>
        <w:pStyle w:val="Heading1"/>
      </w:pPr>
      <w:r>
        <w:t xml:space="preserve">Annexe F — Tableaux statistiques complémentaires</w:t>
      </w:r>
    </w:p>
    <w:bookmarkEnd w:id="482"/>
    <w:bookmarkStart w:id="483" w:name="annexe-g-outil-de-collecte-des-donnees"/>
    <w:p>
      <w:pPr>
        <w:pStyle w:val="Heading1"/>
      </w:pPr>
      <w:r>
        <w:t xml:space="preserve">Annexe G — Outil de collecte des données</w:t>
      </w:r>
    </w:p>
    <w:bookmarkEnd w:id="483"/>
    <w:sectPr w:rsidR="0087638A" w:rsidRPr="00B02128"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INS-RDC — projections démographiques nationales et Annuaires statistiques, canevas de collecte 2026</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3">
    <w:p>
      <w:pPr>
        <w:pStyle w:val="FootnoteText"/>
      </w:pPr>
      <w:r>
        <w:rPr>
          <w:rStyle w:val="FootnoteReference"/>
        </w:rPr>
        <w:footnoteRef/>
      </w:r>
      <w:r>
        <w:t xml:space="preserve"> </w:t>
      </w:r>
      <w:r>
        <w:t xml:space="preserve">Données : population totale, urbaine, rurale RDC 1950-2025 — ONU WPP 2024</w:t>
      </w:r>
    </w:p>
  </w:footnote>
  <w:footnote w:id="25">
    <w:p>
      <w:pPr>
        <w:pStyle w:val="FootnoteText"/>
      </w:pPr>
      <w:r>
        <w:rPr>
          <w:rStyle w:val="FootnoteReference"/>
        </w:rPr>
        <w:footnoteRef/>
      </w:r>
      <w:r>
        <w:t xml:space="preserve"> </w:t>
      </w:r>
      <w:r>
        <w:t xml:space="preserve">Source : INS-RDC — projections démographiques nationales, canevas de collecte 2026</w:t>
      </w:r>
    </w:p>
  </w:footnote>
  <w:footnote w:id="26">
    <w:p>
      <w:pPr>
        <w:pStyle w:val="FootnoteText"/>
      </w:pPr>
      <w:r>
        <w:rPr>
          <w:rStyle w:val="FootnoteReference"/>
        </w:rPr>
        <w:footnoteRef/>
      </w:r>
      <w:r>
        <w:t xml:space="preserve"> </w:t>
      </w:r>
      <w:r>
        <w:t xml:space="preserve">Source : UNFPA (2024) — World Population Dashboard RDC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Données : pyramide des âges RDC 2025 par sexe — ONU WPP 2024</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9">
    <w:p>
      <w:pPr>
        <w:pStyle w:val="FootnoteText"/>
      </w:pPr>
      <w:r>
        <w:rPr>
          <w:rStyle w:val="FootnoteReference"/>
        </w:rPr>
        <w:footnoteRef/>
      </w:r>
      <w:r>
        <w:t xml:space="preserve"> </w:t>
      </w:r>
      <w:r>
        <w:t xml:space="preserve">Source : FMI — World Economic Outlook (WEO), RDC, croissance du PIB réel</w:t>
      </w:r>
    </w:p>
  </w:footnote>
  <w:footnote w:id="40">
    <w:p>
      <w:pPr>
        <w:pStyle w:val="FootnoteText"/>
      </w:pPr>
      <w:r>
        <w:rPr>
          <w:rStyle w:val="FootnoteReference"/>
        </w:rPr>
        <w:footnoteRef/>
      </w:r>
      <w:r>
        <w:t xml:space="preserve"> </w:t>
      </w:r>
      <w:r>
        <w:t xml:space="preserve">Source : FMI — World Economic Outlook (WEO), RDC, croissance du PIB réel</w:t>
      </w:r>
    </w:p>
  </w:footnote>
  <w:footnote w:id="41">
    <w:p>
      <w:pPr>
        <w:pStyle w:val="FootnoteText"/>
      </w:pPr>
      <w:r>
        <w:rPr>
          <w:rStyle w:val="FootnoteReference"/>
        </w:rPr>
        <w:footnoteRef/>
      </w:r>
      <w:r>
        <w:t xml:space="preserve"> </w:t>
      </w:r>
      <w:r>
        <w:t xml:space="preserve">Source : FMI — World Economic Outlook (WEO), RDC, croissance du PIB réel</w:t>
      </w:r>
    </w:p>
  </w:footnote>
  <w:footnote w:id="42">
    <w:p>
      <w:pPr>
        <w:pStyle w:val="FootnoteText"/>
      </w:pPr>
      <w:r>
        <w:rPr>
          <w:rStyle w:val="FootnoteReference"/>
        </w:rPr>
        <w:footnoteRef/>
      </w:r>
      <w:r>
        <w:t xml:space="preserve"> </w:t>
      </w:r>
      <w:r>
        <w:t xml:space="preserve">Source : FMI — World Economic Outlook (WEO), RDC, croissance du PIB réel</w:t>
      </w:r>
    </w:p>
  </w:footnote>
  <w:footnote w:id="43">
    <w:p>
      <w:pPr>
        <w:pStyle w:val="FootnoteText"/>
      </w:pPr>
      <w:r>
        <w:rPr>
          <w:rStyle w:val="FootnoteReference"/>
        </w:rPr>
        <w:footnoteRef/>
      </w:r>
      <w:r>
        <w:t xml:space="preserve"> </w:t>
      </w:r>
      <w:r>
        <w:t xml:space="preserve">Source : FMI — WEO, indicateurs macroéconomiques RDC</w:t>
      </w:r>
    </w:p>
  </w:footnote>
  <w:footnote w:id="44">
    <w:p>
      <w:pPr>
        <w:pStyle w:val="FootnoteText"/>
      </w:pPr>
      <w:r>
        <w:rPr>
          <w:rStyle w:val="FootnoteReference"/>
        </w:rPr>
        <w:footnoteRef/>
      </w:r>
      <w:r>
        <w:t xml:space="preserve"> </w:t>
      </w:r>
      <w:r>
        <w:t xml:space="preserve">Source : INS-RDC — Enquête sur les conditions de vie des ménages (ECVM) 2024</w:t>
      </w:r>
    </w:p>
  </w:footnote>
  <w:footnote w:id="48">
    <w:p>
      <w:pPr>
        <w:pStyle w:val="FootnoteText"/>
      </w:pPr>
      <w:r>
        <w:rPr>
          <w:rStyle w:val="FootnoteReference"/>
        </w:rPr>
        <w:footnoteRef/>
      </w:r>
      <w:r>
        <w:t xml:space="preserve"> </w:t>
      </w:r>
      <w:r>
        <w:t xml:space="preserve">Données : croissance PIB RDC 2000-2024 — FMI WEO et consolidation interne</w:t>
      </w:r>
    </w:p>
  </w:footnote>
  <w:footnote w:id="50">
    <w:p>
      <w:pPr>
        <w:pStyle w:val="FootnoteText"/>
      </w:pPr>
      <w:r>
        <w:rPr>
          <w:rStyle w:val="FootnoteReference"/>
        </w:rPr>
        <w:footnoteRef/>
      </w:r>
      <w:r>
        <w:t xml:space="preserve"> </w:t>
      </w:r>
      <w:r>
        <w:t xml:space="preserve">Source : OIT, ILOSTAT — Emploi par secteur, RDC. Total : 58,9 %, femmes : 67,8 %, hommes : 50,3 % (2024)</w:t>
      </w:r>
    </w:p>
  </w:footnote>
  <w:footnote w:id="51">
    <w:p>
      <w:pPr>
        <w:pStyle w:val="FootnoteText"/>
      </w:pPr>
      <w:r>
        <w:rPr>
          <w:rStyle w:val="FootnoteReference"/>
        </w:rPr>
        <w:footnoteRef/>
      </w:r>
      <w:r>
        <w:t xml:space="preserve"> </w:t>
      </w:r>
      <w:r>
        <w:t xml:space="preserve">Source : OIT, ILOSTAT — Taux de chômage BIT (15+), RDC : 4,4 % en 2024</w:t>
      </w:r>
    </w:p>
  </w:footnote>
  <w:footnote w:id="52">
    <w:p>
      <w:pPr>
        <w:pStyle w:val="FootnoteText"/>
      </w:pPr>
      <w:r>
        <w:rPr>
          <w:rStyle w:val="FootnoteReference"/>
        </w:rPr>
        <w:footnoteRef/>
      </w:r>
      <w:r>
        <w:t xml:space="preserve"> </w:t>
      </w:r>
      <w:r>
        <w:t xml:space="preserve">Source : OIT, ILOSTAT — Emploi informel, RDC (2020) : 96,0 % ; femmes : 97,8 % ; hommes : 95,7 %</w:t>
      </w:r>
    </w:p>
  </w:footnote>
  <w:footnote w:id="53">
    <w:p>
      <w:pPr>
        <w:pStyle w:val="FootnoteText"/>
      </w:pPr>
      <w:r>
        <w:rPr>
          <w:rStyle w:val="FootnoteReference"/>
        </w:rPr>
        <w:footnoteRef/>
      </w:r>
      <w:r>
        <w:t xml:space="preserve"> </w:t>
      </w:r>
      <w:r>
        <w:t xml:space="preserve">Source : OIT, ILOSTAT — Emploi informel femmes, RDC (2020) : 97,8 %</w:t>
      </w:r>
    </w:p>
  </w:footnote>
  <w:footnote w:id="54">
    <w:p>
      <w:pPr>
        <w:pStyle w:val="FootnoteText"/>
      </w:pPr>
      <w:r>
        <w:rPr>
          <w:rStyle w:val="FootnoteReference"/>
        </w:rPr>
        <w:footnoteRef/>
      </w:r>
      <w:r>
        <w:t xml:space="preserve"> </w:t>
      </w:r>
      <w:r>
        <w:t xml:space="preserve">Source : OIT, ILOSTAT — Emploi informel hommes, RDC (2020) : 95,7 %</w:t>
      </w:r>
    </w:p>
  </w:footnote>
  <w:footnote w:id="58">
    <w:p>
      <w:pPr>
        <w:pStyle w:val="FootnoteText"/>
      </w:pPr>
      <w:r>
        <w:rPr>
          <w:rStyle w:val="FootnoteReference"/>
        </w:rPr>
        <w:footnoteRef/>
      </w:r>
      <w:r>
        <w:t xml:space="preserve"> </w:t>
      </w:r>
      <w:r>
        <w:t xml:space="preserve">Données : taux d'activité 15+ par sexe, RDC 2023 — OIT ILOSTAT</w:t>
      </w:r>
    </w:p>
  </w:footnote>
  <w:footnote w:id="59">
    <w:p>
      <w:pPr>
        <w:pStyle w:val="FootnoteText"/>
      </w:pPr>
      <w:r>
        <w:rPr>
          <w:rStyle w:val="FootnoteReference"/>
        </w:rPr>
        <w:footnoteRef/>
      </w:r>
      <w:r>
        <w:t xml:space="preserve"> </w:t>
      </w:r>
      <w:r>
        <w:t xml:space="preserve">Données : emploi informel par sexe, RDC 2020 — OIT ILOSTAT</w:t>
      </w:r>
    </w:p>
  </w:footnote>
  <w:footnote w:id="64">
    <w:p>
      <w:pPr>
        <w:pStyle w:val="FootnoteText"/>
      </w:pPr>
      <w:r>
        <w:rPr>
          <w:rStyle w:val="FootnoteReference"/>
        </w:rPr>
        <w:footnoteRef/>
      </w:r>
      <w:r>
        <w:t xml:space="preserve"> </w:t>
      </w:r>
      <w:r>
        <w:t xml:space="preserve">Données : emploi par secteur RDC 2024 — OIT ILOSTAT (ILOEST)</w:t>
      </w:r>
    </w:p>
  </w:footnote>
  <w:footnote w:id="68">
    <w:p>
      <w:pPr>
        <w:pStyle w:val="FootnoteText"/>
      </w:pPr>
      <w:r>
        <w:rPr>
          <w:rStyle w:val="FootnoteReference"/>
        </w:rPr>
        <w:footnoteRef/>
      </w:r>
      <w:r>
        <w:t xml:space="preserve"> </w:t>
      </w:r>
      <w:r>
        <w:t xml:space="preserve">Source : Bureau International du Travail (2024) — Rapport mondial sur la protection sociale 2024-26</w:t>
      </w:r>
    </w:p>
  </w:footnote>
  <w:footnote w:id="69">
    <w:p>
      <w:pPr>
        <w:pStyle w:val="FootnoteText"/>
      </w:pPr>
      <w:r>
        <w:rPr>
          <w:rStyle w:val="FootnoteReference"/>
        </w:rPr>
        <w:footnoteRef/>
      </w:r>
      <w:r>
        <w:t xml:space="preserve"> </w:t>
      </w:r>
      <w:r>
        <w:t xml:space="preserve">Source : BIT (2024) — 52,4 % de la population mondiale couverte par au moins une prestation</w:t>
      </w:r>
    </w:p>
  </w:footnote>
  <w:footnote w:id="70">
    <w:p>
      <w:pPr>
        <w:pStyle w:val="FootnoteText"/>
      </w:pPr>
      <w:r>
        <w:rPr>
          <w:rStyle w:val="FootnoteReference"/>
        </w:rPr>
        <w:footnoteRef/>
      </w:r>
      <w:r>
        <w:t xml:space="preserve"> </w:t>
      </w:r>
      <w:r>
        <w:t xml:space="preserve">Source : BIT (2024) — 19,1 % de la population africaine couverte par au moins une prestation</w:t>
      </w:r>
    </w:p>
  </w:footnote>
  <w:footnote w:id="72">
    <w:p>
      <w:pPr>
        <w:pStyle w:val="FootnoteText"/>
      </w:pPr>
      <w:r>
        <w:rPr>
          <w:rStyle w:val="FootnoteReference"/>
        </w:rPr>
        <w:footnoteRef/>
      </w:r>
      <w:r>
        <w:t xml:space="preserve"> </w:t>
      </w:r>
      <w:r>
        <w:t xml:space="preserve">Source : Gouvernement de la RDC (2016) — Stratégie nationale de la protection sociale (SNPS)</w:t>
      </w:r>
    </w:p>
  </w:footnote>
  <w:footnote w:id="78">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79">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81">
    <w:p>
      <w:pPr>
        <w:pStyle w:val="FootnoteText"/>
      </w:pPr>
      <w:r>
        <w:rPr>
          <w:rStyle w:val="FootnoteReference"/>
        </w:rPr>
        <w:footnoteRef/>
      </w:r>
      <w:r>
        <w:t xml:space="preserve"> </w:t>
      </w:r>
      <w:r>
        <w:t xml:space="preserve">Source : OIT Convention no 102 sur la sécurité sociale (normes minimales), 1952</w:t>
      </w:r>
    </w:p>
  </w:footnote>
  <w:footnote w:id="82">
    <w:p>
      <w:pPr>
        <w:pStyle w:val="FootnoteText"/>
      </w:pPr>
      <w:r>
        <w:rPr>
          <w:rStyle w:val="FootnoteReference"/>
        </w:rPr>
        <w:footnoteRef/>
      </w:r>
      <w:r>
        <w:t xml:space="preserve"> </w:t>
      </w:r>
      <w:r>
        <w:t xml:space="preserve">Source : OIT Recommandation no 202 sur les socles de protection sociale, 2012</w:t>
      </w:r>
    </w:p>
  </w:footnote>
  <w:footnote w:id="85">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6">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87">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5">
    <w:p>
      <w:pPr>
        <w:pStyle w:val="FootnoteText"/>
      </w:pPr>
      <w:r>
        <w:rPr>
          <w:rStyle w:val="FootnoteReference"/>
        </w:rPr>
        <w:footnoteRef/>
      </w:r>
      <w:r>
        <w:t xml:space="preserve"> </w:t>
      </w:r>
      <w:r>
        <w:t xml:space="preserve">Source : OIT — Convention no 102 sur la sécurité sociale (normes minimales), 1952</w:t>
      </w:r>
    </w:p>
  </w:footnote>
  <w:footnote w:id="96">
    <w:p>
      <w:pPr>
        <w:pStyle w:val="FootnoteText"/>
      </w:pPr>
      <w:r>
        <w:rPr>
          <w:rStyle w:val="FootnoteReference"/>
        </w:rPr>
        <w:footnoteRef/>
      </w:r>
      <w:r>
        <w:t xml:space="preserve"> </w:t>
      </w:r>
      <w:r>
        <w:t xml:space="preserve">Source : CNSS RDC — Site officiel cnss.cd, consulté juin 2026</w:t>
      </w:r>
    </w:p>
  </w:footnote>
  <w:footnote w:id="97">
    <w:p>
      <w:pPr>
        <w:pStyle w:val="FootnoteText"/>
      </w:pPr>
      <w:r>
        <w:rPr>
          <w:rStyle w:val="FootnoteReference"/>
        </w:rPr>
        <w:footnoteRef/>
      </w:r>
      <w:r>
        <w:t xml:space="preserve"> </w:t>
      </w:r>
      <w:r>
        <w:t xml:space="preserve">Source : CNSSAP RDC — Site officiel cnssap.cd, consulté juin 2026</w:t>
      </w:r>
    </w:p>
  </w:footnote>
  <w:footnote w:id="98">
    <w:p>
      <w:pPr>
        <w:pStyle w:val="FootnoteText"/>
      </w:pPr>
      <w:r>
        <w:rPr>
          <w:rStyle w:val="FootnoteReference"/>
        </w:rPr>
        <w:footnoteRef/>
      </w:r>
      <w:r>
        <w:t xml:space="preserve"> </w:t>
      </w:r>
      <w:r>
        <w:t xml:space="preserve">CNSS RDC - branches et populations couvertes (cnss.cd, loi n°16/009)</w:t>
      </w:r>
    </w:p>
  </w:footnote>
  <w:footnote w:id="99">
    <w:p>
      <w:pPr>
        <w:pStyle w:val="FootnoteText"/>
      </w:pPr>
      <w:r>
        <w:rPr>
          <w:rStyle w:val="FootnoteReference"/>
        </w:rPr>
        <w:footnoteRef/>
      </w:r>
      <w:r>
        <w:t xml:space="preserve"> </w:t>
      </w:r>
      <w:r>
        <w:t xml:space="preserve">CNSSAP RDC - branches et populations couvertes (cnssap.cd, décret 15/031, loi 22/031)</w:t>
      </w:r>
    </w:p>
  </w:footnote>
  <w:footnote w:id="100">
    <w:p>
      <w:pPr>
        <w:pStyle w:val="FootnoteText"/>
      </w:pPr>
      <w:r>
        <w:rPr>
          <w:rStyle w:val="FootnoteReference"/>
        </w:rPr>
        <w:footnoteRef/>
      </w:r>
      <w:r>
        <w:t xml:space="preserve"> </w:t>
      </w:r>
      <w:r>
        <w:t xml:space="preserve">CNSS RDC - branches et populations couvertes (cnss.cd, loi n°16/009)</w:t>
      </w:r>
    </w:p>
  </w:footnote>
  <w:footnote w:id="101">
    <w:p>
      <w:pPr>
        <w:pStyle w:val="FootnoteText"/>
      </w:pPr>
      <w:r>
        <w:rPr>
          <w:rStyle w:val="FootnoteReference"/>
        </w:rPr>
        <w:footnoteRef/>
      </w:r>
      <w:r>
        <w:t xml:space="preserve"> </w:t>
      </w:r>
      <w:r>
        <w:t xml:space="preserve">CNSSAP RDC - branches et populations couvertes (cnssap.cd, décret 15/031, loi 22/031)</w:t>
      </w:r>
    </w:p>
  </w:footnote>
  <w:footnote w:id="102">
    <w:p>
      <w:pPr>
        <w:pStyle w:val="FootnoteText"/>
      </w:pPr>
      <w:r>
        <w:rPr>
          <w:rStyle w:val="FootnoteReference"/>
        </w:rPr>
        <w:footnoteRef/>
      </w:r>
      <w:r>
        <w:t xml:space="preserve"> </w:t>
      </w:r>
      <w:r>
        <w:t xml:space="preserve">CNSS RDC - branches et populations couvertes (cnss.cd, loi n°16/009)</w:t>
      </w:r>
    </w:p>
  </w:footnote>
  <w:footnote w:id="103">
    <w:p>
      <w:pPr>
        <w:pStyle w:val="FootnoteText"/>
      </w:pPr>
      <w:r>
        <w:rPr>
          <w:rStyle w:val="FootnoteReference"/>
        </w:rPr>
        <w:footnoteRef/>
      </w:r>
      <w:r>
        <w:t xml:space="preserve"> </w:t>
      </w:r>
      <w:r>
        <w:t xml:space="preserve">CNSSAP RDC - branches et populations couvertes (cnssap.cd, décret 15/031, loi 22/031)</w:t>
      </w:r>
    </w:p>
  </w:footnote>
  <w:footnote w:id="104">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5">
    <w:p>
      <w:pPr>
        <w:pStyle w:val="FootnoteText"/>
      </w:pPr>
      <w:r>
        <w:rPr>
          <w:rStyle w:val="FootnoteReference"/>
        </w:rPr>
        <w:footnoteRef/>
      </w:r>
      <w:r>
        <w:t xml:space="preserve"> </w:t>
      </w:r>
      <w:r>
        <w:t xml:space="preserve">CNSSAP RDC - Site officiel cnssap.cd ; décret n°15/031 du 14 déc. 2015 ; loi n°22/031 du 15 juil. 2022</w:t>
      </w:r>
    </w:p>
  </w:footnote>
  <w:footnote w:id="106">
    <w:p>
      <w:pPr>
        <w:pStyle w:val="FootnoteText"/>
      </w:pPr>
      <w:r>
        <w:rPr>
          <w:rStyle w:val="FootnoteReference"/>
        </w:rPr>
        <w:footnoteRef/>
      </w:r>
      <w:r>
        <w:t xml:space="preserve"> </w:t>
      </w:r>
      <w:r>
        <w:t xml:space="preserve">Premier bulletin statistique de la protection sociale en RDC (2023) - tableaux 3 à 7</w:t>
      </w:r>
    </w:p>
  </w:footnote>
  <w:footnote w:id="108">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10">
    <w:p>
      <w:pPr>
        <w:pStyle w:val="FootnoteText"/>
      </w:pPr>
      <w:r>
        <w:rPr>
          <w:rStyle w:val="FootnoteReference"/>
        </w:rPr>
        <w:footnoteRef/>
      </w:r>
      <w:r>
        <w:t xml:space="preserve"> </w:t>
      </w:r>
      <w:r>
        <w:t xml:space="preserve">Source : FSS RDC — Site officiel fss.cd, consulté juin 2026</w:t>
      </w:r>
    </w:p>
  </w:footnote>
  <w:footnote w:id="111">
    <w:p>
      <w:pPr>
        <w:pStyle w:val="FootnoteText"/>
      </w:pPr>
      <w:r>
        <w:rPr>
          <w:rStyle w:val="FootnoteReference"/>
        </w:rPr>
        <w:footnoteRef/>
      </w:r>
      <w:r>
        <w:t xml:space="preserve"> </w:t>
      </w:r>
      <w:r>
        <w:t xml:space="preserve">FSS RDC - produits et régimes opérationnels (fss.cd, juin 2026)</w:t>
      </w:r>
    </w:p>
  </w:footnote>
  <w:footnote w:id="112">
    <w:p>
      <w:pPr>
        <w:pStyle w:val="FootnoteText"/>
      </w:pPr>
      <w:r>
        <w:rPr>
          <w:rStyle w:val="FootnoteReference"/>
        </w:rPr>
        <w:footnoteRef/>
      </w:r>
      <w:r>
        <w:t xml:space="preserve"> </w:t>
      </w:r>
      <w:r>
        <w:t xml:space="preserve">FSS RDC - produits et régimes opérationnels (fss.cd, juin 2026)</w:t>
      </w:r>
    </w:p>
  </w:footnote>
  <w:footnote w:id="113">
    <w:p>
      <w:pPr>
        <w:pStyle w:val="FootnoteText"/>
      </w:pPr>
      <w:r>
        <w:rPr>
          <w:rStyle w:val="FootnoteReference"/>
        </w:rPr>
        <w:footnoteRef/>
      </w:r>
      <w:r>
        <w:t xml:space="preserve"> </w:t>
      </w:r>
      <w:r>
        <w:t xml:space="preserve">FSS RDC - produits et régimes opérationnels (fss.cd, juin 2026)</w:t>
      </w:r>
    </w:p>
  </w:footnote>
  <w:footnote w:id="114">
    <w:p>
      <w:pPr>
        <w:pStyle w:val="FootnoteText"/>
      </w:pPr>
      <w:r>
        <w:rPr>
          <w:rStyle w:val="FootnoteReference"/>
        </w:rPr>
        <w:footnoteRef/>
      </w:r>
      <w:r>
        <w:t xml:space="preserve"> </w:t>
      </w:r>
      <w:r>
        <w:t xml:space="preserve">FSS RDC - produits et régimes opérationnels (fss.cd, juin 2026)</w:t>
      </w:r>
    </w:p>
  </w:footnote>
  <w:footnote w:id="115">
    <w:p>
      <w:pPr>
        <w:pStyle w:val="FootnoteText"/>
      </w:pPr>
      <w:r>
        <w:rPr>
          <w:rStyle w:val="FootnoteReference"/>
        </w:rPr>
        <w:footnoteRef/>
      </w:r>
      <w:r>
        <w:t xml:space="preserve"> </w:t>
      </w:r>
      <w:r>
        <w:t xml:space="preserve">Premier bulletin statistique RDC (2023) - tableau 9 : MESP</w:t>
      </w:r>
    </w:p>
  </w:footnote>
  <w:footnote w:id="116">
    <w:p>
      <w:pPr>
        <w:pStyle w:val="FootnoteText"/>
      </w:pPr>
      <w:r>
        <w:rPr>
          <w:rStyle w:val="FootnoteReference"/>
        </w:rPr>
        <w:footnoteRef/>
      </w:r>
      <w:r>
        <w:t xml:space="preserve"> </w:t>
      </w:r>
      <w:r>
        <w:t xml:space="preserve">FSS RDC - Site officiel fss.cd (juin 2026) - produits et régimes opérationnels</w:t>
      </w:r>
    </w:p>
  </w:footnote>
  <w:footnote w:id="117">
    <w:p>
      <w:pPr>
        <w:pStyle w:val="FootnoteText"/>
      </w:pPr>
      <w:r>
        <w:rPr>
          <w:rStyle w:val="FootnoteReference"/>
        </w:rPr>
        <w:footnoteRef/>
      </w:r>
      <w:r>
        <w:t xml:space="preserve"> </w:t>
      </w:r>
      <w:r>
        <w:t xml:space="preserve">Premier bulletin statistique de la protection sociale en RDC (2023) - tableau 9 : MESP</w:t>
      </w:r>
    </w:p>
  </w:footnote>
  <w:footnote w:id="118">
    <w:p>
      <w:pPr>
        <w:pStyle w:val="FootnoteText"/>
      </w:pPr>
      <w:r>
        <w:rPr>
          <w:rStyle w:val="FootnoteReference"/>
        </w:rPr>
        <w:footnoteRef/>
      </w:r>
      <w:r>
        <w:t xml:space="preserve"> </w:t>
      </w:r>
      <w:r>
        <w:t xml:space="preserve">CNSSAP RDC - Base légale MESP incluse dans le champ CNSSAP / santé des agents publics</w:t>
      </w:r>
    </w:p>
  </w:footnote>
  <w:footnote w:id="120">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21">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2">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3">
    <w:p>
      <w:pPr>
        <w:pStyle w:val="FootnoteText"/>
      </w:pPr>
      <w:r>
        <w:rPr>
          <w:rStyle w:val="FootnoteReference"/>
        </w:rPr>
        <w:footnoteRef/>
      </w:r>
      <w:r>
        <w:t xml:space="preserve"> </w:t>
      </w:r>
      <w:r>
        <w:t xml:space="preserve">PAM RDC — site officiel wfp.org (consulté juin 2026) et Premier bulletin (2023)</w:t>
      </w:r>
    </w:p>
  </w:footnote>
  <w:footnote w:id="124">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5">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26">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27">
    <w:p>
      <w:pPr>
        <w:pStyle w:val="FootnoteText"/>
      </w:pPr>
      <w:r>
        <w:rPr>
          <w:rStyle w:val="FootnoteReference"/>
        </w:rPr>
        <w:footnoteRef/>
      </w:r>
      <w:r>
        <w:t xml:space="preserve"> </w:t>
      </w:r>
      <w:r>
        <w:t xml:space="preserve">Source : Premier bulletin (2023) citant données UNICEF 2021 — province de Tanganyika</w:t>
      </w:r>
    </w:p>
  </w:footnote>
  <w:footnote w:id="128">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29">
    <w:p>
      <w:pPr>
        <w:pStyle w:val="FootnoteText"/>
      </w:pPr>
      <w:r>
        <w:rPr>
          <w:rStyle w:val="FootnoteReference"/>
        </w:rPr>
        <w:footnoteRef/>
      </w:r>
      <w:r>
        <w:t xml:space="preserve"> </w:t>
      </w:r>
      <w:r>
        <w:t xml:space="preserve">PAM — site officiel wfp.org (consulté juin 2026)</w:t>
      </w:r>
    </w:p>
  </w:footnote>
  <w:footnote w:id="130">
    <w:p>
      <w:pPr>
        <w:pStyle w:val="FootnoteText"/>
      </w:pPr>
      <w:r>
        <w:rPr>
          <w:rStyle w:val="FootnoteReference"/>
        </w:rPr>
        <w:footnoteRef/>
      </w:r>
      <w:r>
        <w:t xml:space="preserve"> </w:t>
      </w:r>
      <w:r>
        <w:t xml:space="preserve">UNICEF RDC — transferts monétaires humanitaires (2021-2022, actif intermittent)</w:t>
      </w:r>
    </w:p>
  </w:footnote>
  <w:footnote w:id="131">
    <w:p>
      <w:pPr>
        <w:pStyle w:val="FootnoteText"/>
      </w:pPr>
      <w:r>
        <w:rPr>
          <w:rStyle w:val="FootnoteReference"/>
        </w:rPr>
        <w:footnoteRef/>
      </w:r>
      <w:r>
        <w:t xml:space="preserve"> </w:t>
      </w:r>
      <w:r>
        <w:t xml:space="preserve">OIT — Recommandation no 202 sur les socles de protection sociale (2012)</w:t>
      </w:r>
    </w:p>
  </w:footnote>
  <w:footnote w:id="133">
    <w:p>
      <w:pPr>
        <w:pStyle w:val="FootnoteText"/>
      </w:pPr>
      <w:r>
        <w:rPr>
          <w:rStyle w:val="FootnoteReference"/>
        </w:rPr>
        <w:footnoteRef/>
      </w:r>
      <w:r>
        <w:t xml:space="preserve"> </w:t>
      </w:r>
      <w:r>
        <w:t xml:space="preserve">Gratuité de l'enseignement primaire — Instruction n°001/MINEPSP/CABMIN/2019 — suppression des frais de scolarité dans les écoles primaires publiques. 18,4 millions de bénéficiaires estimés en 2022 (MEPST).</w:t>
      </w:r>
    </w:p>
  </w:footnote>
  <w:footnote w:id="134">
    <w:p>
      <w:pPr>
        <w:pStyle w:val="FootnoteText"/>
      </w:pPr>
      <w:r>
        <w:rPr>
          <w:rStyle w:val="FootnoteReference"/>
        </w:rPr>
        <w:footnoteRef/>
      </w:r>
      <w:r>
        <w:t xml:space="preserve"> </w:t>
      </w:r>
      <w:r>
        <w:t xml:space="preserve">Gratuité de la maternité — arrêté ministériel MSPHPS — soins d'accouchement gratuits dans les formations sanitaires publiques. Opérationnalité variable selon les zones et la disponibilité des intrants.</w:t>
      </w:r>
    </w:p>
  </w:footnote>
  <w:footnote w:id="135">
    <w:p>
      <w:pPr>
        <w:pStyle w:val="FootnoteText"/>
      </w:pPr>
      <w:r>
        <w:rPr>
          <w:rStyle w:val="FootnoteReference"/>
        </w:rPr>
        <w:footnoteRef/>
      </w:r>
      <w:r>
        <w:t xml:space="preserve"> </w:t>
      </w:r>
      <w:r>
        <w:t xml:space="preserve">Premier bulletin (2023), tableau 11 — interventions du MSPHPS : vaccination, kits médicaux, moustiquaires, dépistage VIH/TB. Données de couverture non consolidées.</w:t>
      </w:r>
    </w:p>
  </w:footnote>
  <w:footnote w:id="136">
    <w:p>
      <w:pPr>
        <w:pStyle w:val="FootnoteText"/>
      </w:pPr>
      <w:r>
        <w:rPr>
          <w:rStyle w:val="FootnoteReference"/>
        </w:rPr>
        <w:footnoteRef/>
      </w:r>
      <w:r>
        <w:t xml:space="preserve"> </w:t>
      </w:r>
      <w:r>
        <w:t xml:space="preserve">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137">
    <w:p>
      <w:pPr>
        <w:pStyle w:val="FootnoteText"/>
      </w:pPr>
      <w:r>
        <w:rPr>
          <w:rStyle w:val="FootnoteReference"/>
        </w:rPr>
        <w:footnoteRef/>
      </w:r>
      <w:r>
        <w:t xml:space="preserve"> </w:t>
      </w:r>
      <w:r>
        <w:t xml:space="preserve">Premier bulletin (2023), tableau 12 — MINAS : Centres de promotion sociale (812 540 bénéficiaires en 2022), Centres d'apprentissage professionnel pour PHV (214 152 bénéficiaires en 2022).</w:t>
      </w:r>
    </w:p>
  </w:footnote>
  <w:footnote w:id="138">
    <w:p>
      <w:pPr>
        <w:pStyle w:val="FootnoteText"/>
      </w:pPr>
      <w:r>
        <w:rPr>
          <w:rStyle w:val="FootnoteReference"/>
        </w:rPr>
        <w:footnoteRef/>
      </w:r>
      <w:r>
        <w:t xml:space="preserve"> </w:t>
      </w:r>
      <w:r>
        <w:t xml:space="preserve">Premier bulletin statistique de la protection sociale en RDC (2023) — tableaux 10, 11, 12 : gratuité éducation, interventions MSPHPS et MINAS</w:t>
      </w:r>
    </w:p>
  </w:footnote>
  <w:footnote w:id="139">
    <w:p>
      <w:pPr>
        <w:pStyle w:val="FootnoteText"/>
      </w:pPr>
      <w:r>
        <w:rPr>
          <w:rStyle w:val="FootnoteReference"/>
        </w:rPr>
        <w:footnoteRef/>
      </w:r>
      <w:r>
        <w:t xml:space="preserve"> </w:t>
      </w:r>
      <w:r>
        <w:t xml:space="preserve">Programmes gouvernementaux non contributifs RDC — MEPST, gratuité enseignement (2019–2025) ; MSPHPS gratuité maternité ; Fonds Social RDC STEP/THIMO</w:t>
      </w:r>
    </w:p>
  </w:footnote>
  <w:footnote w:id="140">
    <w:p>
      <w:pPr>
        <w:pStyle w:val="FootnoteText"/>
      </w:pPr>
      <w:r>
        <w:rPr>
          <w:rStyle w:val="FootnoteReference"/>
        </w:rPr>
        <w:footnoteRef/>
      </w:r>
      <w:r>
        <w:t xml:space="preserve"> </w:t>
      </w:r>
      <w:r>
        <w:t xml:space="preserve">Gouvernement RDC — Stratégie nationale de la protection sociale (SNPS), 2016</w:t>
      </w:r>
    </w:p>
  </w:footnote>
  <w:footnote w:id="141">
    <w:p>
      <w:pPr>
        <w:pStyle w:val="FootnoteText"/>
      </w:pPr>
      <w:r>
        <w:rPr>
          <w:rStyle w:val="FootnoteReference"/>
        </w:rPr>
        <w:footnoteRef/>
      </w:r>
      <w:r>
        <w:t xml:space="preserve"> </w:t>
      </w:r>
      <w:r>
        <w:t xml:space="preserve">Annexe A.1 — Classification niveau 3 : dispositifs mentionnés à titre contextuel</w:t>
      </w:r>
    </w:p>
  </w:footnote>
  <w:footnote w:id="145">
    <w:p>
      <w:pPr>
        <w:pStyle w:val="FootnoteText"/>
      </w:pPr>
      <w:r>
        <w:rPr>
          <w:rStyle w:val="FootnoteReference"/>
        </w:rPr>
        <w:footnoteRef/>
      </w:r>
      <w:r>
        <w:t xml:space="preserve"> </w:t>
      </w:r>
      <w:r>
        <w:t xml:space="preserve">Source : ESS OIT — tableaux statistiques standardises</w:t>
      </w:r>
    </w:p>
  </w:footnote>
  <w:footnote w:id="147">
    <w:p>
      <w:pPr>
        <w:pStyle w:val="FootnoteText"/>
      </w:pPr>
      <w:r>
        <w:rPr>
          <w:rStyle w:val="FootnoteReference"/>
        </w:rPr>
        <w:footnoteRef/>
      </w:r>
      <w:r>
        <w:t xml:space="preserve"> </w:t>
      </w:r>
      <w:r>
        <w:t xml:space="preserve">Source : ESS OIT — tableaux statistiques standardises</w:t>
      </w:r>
    </w:p>
  </w:footnote>
  <w:footnote w:id="148">
    <w:p>
      <w:pPr>
        <w:pStyle w:val="FootnoteText"/>
      </w:pPr>
      <w:r>
        <w:rPr>
          <w:rStyle w:val="FootnoteReference"/>
        </w:rPr>
        <w:footnoteRef/>
      </w:r>
      <w:r>
        <w:t xml:space="preserve"> </w:t>
      </w:r>
      <w:r>
        <w:t xml:space="preserve">Source : INS-RDC — Enquête 1-2-3 (2019-2023) et ECVM 2024 ; canevas de collecte 2026</w:t>
      </w:r>
    </w:p>
  </w:footnote>
  <w:footnote w:id="151">
    <w:p>
      <w:pPr>
        <w:pStyle w:val="FootnoteText"/>
      </w:pPr>
      <w:r>
        <w:rPr>
          <w:rStyle w:val="FootnoteReference"/>
        </w:rPr>
        <w:footnoteRef/>
      </w:r>
      <w:r>
        <w:t xml:space="preserve"> </w:t>
      </w:r>
      <w:r>
        <w:t xml:space="preserve">Source : OIT (ILOSTAT) — salariés du secteur public en RDC, observation 2020, base consultée le 15 juillet 2026</w:t>
      </w:r>
    </w:p>
  </w:footnote>
  <w:footnote w:id="152">
    <w:p>
      <w:pPr>
        <w:pStyle w:val="FootnoteText"/>
      </w:pPr>
      <w:r>
        <w:rPr>
          <w:rStyle w:val="FootnoteReference"/>
        </w:rPr>
        <w:footnoteRef/>
      </w:r>
      <w:r>
        <w:t xml:space="preserve"> </w:t>
      </w:r>
      <w:r>
        <w:t xml:space="preserve">Source : ESS OIT — tableaux statistiques standardises</w:t>
      </w:r>
    </w:p>
  </w:footnote>
  <w:footnote w:id="153">
    <w:p>
      <w:pPr>
        <w:pStyle w:val="FootnoteText"/>
      </w:pPr>
      <w:r>
        <w:rPr>
          <w:rStyle w:val="FootnoteReference"/>
        </w:rPr>
        <w:footnoteRef/>
      </w:r>
      <w:r>
        <w:t xml:space="preserve"> </w:t>
      </w:r>
      <w:r>
        <w:t xml:space="preserve">Source : OIT (ILOSTAT) — EMP_TEMP_SEX_STE_INS_NB, salariés du secteur public, RDC, 2020</w:t>
      </w:r>
    </w:p>
  </w:footnote>
  <w:footnote w:id="155">
    <w:p>
      <w:pPr>
        <w:pStyle w:val="FootnoteText"/>
      </w:pPr>
      <w:r>
        <w:rPr>
          <w:rStyle w:val="FootnoteReference"/>
        </w:rPr>
        <w:footnoteRef/>
      </w:r>
      <w:r>
        <w:t xml:space="preserve"> </w:t>
      </w:r>
      <w:r>
        <w:t xml:space="preserve">Source : ESS OIT — tableaux statistiques standardises</w:t>
      </w:r>
    </w:p>
  </w:footnote>
  <w:footnote w:id="158">
    <w:p>
      <w:pPr>
        <w:pStyle w:val="FootnoteText"/>
      </w:pPr>
      <w:r>
        <w:rPr>
          <w:rStyle w:val="FootnoteReference"/>
        </w:rPr>
        <w:footnoteRef/>
      </w:r>
      <w:r>
        <w:t xml:space="preserve"> </w:t>
      </w:r>
      <w:r>
        <w:t xml:space="preserve">Source : ESS OIT — tableaux statistiques standardises</w:t>
      </w:r>
    </w:p>
  </w:footnote>
  <w:footnote w:id="162">
    <w:p>
      <w:pPr>
        <w:pStyle w:val="FootnoteText"/>
      </w:pPr>
      <w:r>
        <w:rPr>
          <w:rStyle w:val="FootnoteReference"/>
        </w:rPr>
        <w:footnoteRef/>
      </w:r>
      <w:r>
        <w:t xml:space="preserve"> </w:t>
      </w:r>
      <w:r>
        <w:t xml:space="preserve">Source : ESS OIT — tableaux statistiques standardises</w:t>
      </w:r>
    </w:p>
  </w:footnote>
  <w:footnote w:id="164">
    <w:p>
      <w:pPr>
        <w:pStyle w:val="FootnoteText"/>
      </w:pPr>
      <w:r>
        <w:rPr>
          <w:rStyle w:val="FootnoteReference"/>
        </w:rPr>
        <w:footnoteRef/>
      </w:r>
      <w:r>
        <w:t xml:space="preserve"> </w:t>
      </w:r>
      <w:r>
        <w:t xml:space="preserve">Source : ESS OIT — tableaux statistiques standardises</w:t>
      </w:r>
    </w:p>
  </w:footnote>
  <w:footnote w:id="165">
    <w:p>
      <w:pPr>
        <w:pStyle w:val="FootnoteText"/>
      </w:pPr>
      <w:r>
        <w:rPr>
          <w:rStyle w:val="FootnoteReference"/>
        </w:rPr>
        <w:footnoteRef/>
      </w:r>
      <w:r>
        <w:t xml:space="preserve"> </w:t>
      </w:r>
      <w:r>
        <w:t xml:space="preserve">Source : INS-RDC — Enquête 1-2-3 (2019-2023) et ECVM 2024 ; canevas de collecte 2026</w:t>
      </w:r>
    </w:p>
  </w:footnote>
  <w:footnote w:id="167">
    <w:p>
      <w:pPr>
        <w:pStyle w:val="FootnoteText"/>
      </w:pPr>
      <w:r>
        <w:rPr>
          <w:rStyle w:val="FootnoteReference"/>
        </w:rPr>
        <w:footnoteRef/>
      </w:r>
      <w:r>
        <w:t xml:space="preserve"> </w:t>
      </w:r>
      <w:r>
        <w:t xml:space="preserve">Source : ESS OIT — tableaux statistiques standardises</w:t>
      </w:r>
    </w:p>
  </w:footnote>
  <w:footnote w:id="170">
    <w:p>
      <w:pPr>
        <w:pStyle w:val="FootnoteText"/>
      </w:pPr>
      <w:r>
        <w:rPr>
          <w:rStyle w:val="FootnoteReference"/>
        </w:rPr>
        <w:footnoteRef/>
      </w:r>
      <w:r>
        <w:t xml:space="preserve"> </w:t>
      </w:r>
      <w:r>
        <w:t xml:space="preserve">Source : ESS OIT — tableaux statistiques standardises</w:t>
      </w:r>
    </w:p>
  </w:footnote>
  <w:footnote w:id="172">
    <w:p>
      <w:pPr>
        <w:pStyle w:val="FootnoteText"/>
      </w:pPr>
      <w:r>
        <w:rPr>
          <w:rStyle w:val="FootnoteReference"/>
        </w:rPr>
        <w:footnoteRef/>
      </w:r>
      <w:r>
        <w:t xml:space="preserve"> </w:t>
      </w:r>
      <w:r>
        <w:t xml:space="preserve">Source : ESS OIT — tableaux statistiques standardises</w:t>
      </w:r>
    </w:p>
  </w:footnote>
  <w:footnote w:id="173">
    <w:p>
      <w:pPr>
        <w:pStyle w:val="FootnoteText"/>
      </w:pPr>
      <w:r>
        <w:rPr>
          <w:rStyle w:val="FootnoteReference"/>
        </w:rPr>
        <w:footnoteRef/>
      </w:r>
      <w:r>
        <w:t xml:space="preserve"> </w:t>
      </w:r>
      <w:r>
        <w:t xml:space="preserve">Source : INS-RDC — Enquête 1-2-3 (2019-2023) et ECVM 2024 ; canevas de collecte 2026</w:t>
      </w:r>
    </w:p>
  </w:footnote>
  <w:footnote w:id="175">
    <w:p>
      <w:pPr>
        <w:pStyle w:val="FootnoteText"/>
      </w:pPr>
      <w:r>
        <w:rPr>
          <w:rStyle w:val="FootnoteReference"/>
        </w:rPr>
        <w:footnoteRef/>
      </w:r>
      <w:r>
        <w:t xml:space="preserve"> </w:t>
      </w:r>
      <w:r>
        <w:t xml:space="preserve">Source : ESS OIT — tableaux statistiques standardises</w:t>
      </w:r>
    </w:p>
  </w:footnote>
  <w:footnote w:id="178">
    <w:p>
      <w:pPr>
        <w:pStyle w:val="FootnoteText"/>
      </w:pPr>
      <w:r>
        <w:rPr>
          <w:rStyle w:val="FootnoteReference"/>
        </w:rPr>
        <w:footnoteRef/>
      </w:r>
      <w:r>
        <w:t xml:space="preserve"> </w:t>
      </w:r>
      <w:r>
        <w:t xml:space="preserve">Source : ESS OIT — tableaux statistiques standardises</w:t>
      </w:r>
    </w:p>
  </w:footnote>
  <w:footnote w:id="180">
    <w:p>
      <w:pPr>
        <w:pStyle w:val="FootnoteText"/>
      </w:pPr>
      <w:r>
        <w:rPr>
          <w:rStyle w:val="FootnoteReference"/>
        </w:rPr>
        <w:footnoteRef/>
      </w:r>
      <w:r>
        <w:t xml:space="preserve"> </w:t>
      </w:r>
      <w:r>
        <w:t xml:space="preserve">Source : ESS OIT — tableaux statistiques standardises</w:t>
      </w:r>
    </w:p>
  </w:footnote>
  <w:footnote w:id="181">
    <w:p>
      <w:pPr>
        <w:pStyle w:val="FootnoteText"/>
      </w:pPr>
      <w:r>
        <w:rPr>
          <w:rStyle w:val="FootnoteReference"/>
        </w:rPr>
        <w:footnoteRef/>
      </w:r>
      <w:r>
        <w:t xml:space="preserve"> </w:t>
      </w:r>
      <w:r>
        <w:t xml:space="preserve">Source : INS-RDC — Enquête 1-2-3 (2019-2023) et ECVM 2024 ; canevas de collecte 2026</w:t>
      </w:r>
    </w:p>
  </w:footnote>
  <w:footnote w:id="184">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89">
    <w:p>
      <w:pPr>
        <w:pStyle w:val="FootnoteText"/>
      </w:pPr>
      <w:r>
        <w:rPr>
          <w:rStyle w:val="FootnoteReference"/>
        </w:rPr>
        <w:footnoteRef/>
      </w:r>
      <w:r>
        <w:t xml:space="preserve"> </w:t>
      </w:r>
      <w:r>
        <w:t xml:space="preserve">Source : ESS OIT — tableaux statistiques standardises</w:t>
      </w:r>
    </w:p>
  </w:footnote>
  <w:footnote w:id="191">
    <w:p>
      <w:pPr>
        <w:pStyle w:val="FootnoteText"/>
      </w:pPr>
      <w:r>
        <w:rPr>
          <w:rStyle w:val="FootnoteReference"/>
        </w:rPr>
        <w:footnoteRef/>
      </w:r>
      <w:r>
        <w:t xml:space="preserve"> </w:t>
      </w:r>
      <w:r>
        <w:t xml:space="preserve">Source : ESS OIT — tableaux statistiques standardises</w:t>
      </w:r>
    </w:p>
  </w:footnote>
  <w:footnote w:id="193">
    <w:p>
      <w:pPr>
        <w:pStyle w:val="FootnoteText"/>
      </w:pPr>
      <w:r>
        <w:rPr>
          <w:rStyle w:val="FootnoteReference"/>
        </w:rPr>
        <w:footnoteRef/>
      </w:r>
      <w:r>
        <w:t xml:space="preserve"> </w:t>
      </w:r>
      <w:r>
        <w:t xml:space="preserve">Source : ESS OIT — tableaux statistiques standardises</w:t>
      </w:r>
    </w:p>
  </w:footnote>
  <w:footnote w:id="196">
    <w:p>
      <w:pPr>
        <w:pStyle w:val="FootnoteText"/>
      </w:pPr>
      <w:r>
        <w:rPr>
          <w:rStyle w:val="FootnoteReference"/>
        </w:rPr>
        <w:footnoteRef/>
      </w:r>
      <w:r>
        <w:t xml:space="preserve"> </w:t>
      </w:r>
      <w:r>
        <w:t xml:space="preserve">Source : ESS OIT — tableaux statistiques standardises</w:t>
      </w:r>
    </w:p>
  </w:footnote>
  <w:footnote w:id="212">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14">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19">
    <w:p>
      <w:pPr>
        <w:pStyle w:val="FootnoteText"/>
      </w:pPr>
      <w:r>
        <w:rPr>
          <w:rStyle w:val="FootnoteReference"/>
        </w:rPr>
        <w:footnoteRef/>
      </w:r>
      <w:r>
        <w:t xml:space="preserve"> </w:t>
      </w:r>
      <w:r>
        <w:t xml:space="preserve">OIT - Convention no 102 (1952) - art. 6 : assurance volontaire supervisée par l'État</w:t>
      </w:r>
    </w:p>
  </w:footnote>
  <w:footnote w:id="220">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21">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22">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 w:id="226">
    <w:p>
      <w:pPr>
        <w:pStyle w:val="FootnoteText"/>
      </w:pPr>
      <w:r>
        <w:rPr>
          <w:rStyle w:val="FootnoteReference"/>
        </w:rPr>
        <w:footnoteRef/>
      </w:r>
      <w:r>
        <w:t xml:space="preserve"> </w:t>
      </w:r>
      <w:r>
        <w:t xml:space="preserve">Source : INS-RDC — Enquête 1-2-3 (2019-2023) et ECVM 2024 ; canevas de collecte 2026</w:t>
      </w:r>
    </w:p>
  </w:footnote>
  <w:footnote w:id="260">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414">
    <w:p>
      <w:pPr>
        <w:pStyle w:val="FootnoteText"/>
      </w:pPr>
      <w:r>
        <w:rPr>
          <w:rStyle w:val="FootnoteReference"/>
        </w:rPr>
        <w:footnoteRef/>
      </w:r>
      <w:r>
        <w:t xml:space="preserve"> </w:t>
      </w:r>
      <w:r>
        <w:t xml:space="preserve">Les valeurs de la colonne « Personnes potentiellement couvertes (estimation) » ne sont pas des cotisants. Elles correspondent à la part estimée du secteur public hors CNSSAP, calculée par différence à partir des estimations globales de la Fonction publique : 1 622 972 pour chacune des années 2019 à 2022, 1 425 000 en 2023 et 1 727 000 en 2024. Source : estimations de la Fonction publique ; niveau de fiabilité : estimation provisoire, à confirmer par des données administratives détaillées.</w:t>
      </w:r>
    </w:p>
  </w:footnote>
  <w:footnote w:id="420">
    <w:p>
      <w:pPr>
        <w:pStyle w:val="FootnoteText"/>
      </w:pPr>
      <w:r>
        <w:rPr>
          <w:rStyle w:val="FootnoteReference"/>
        </w:rPr>
        <w:footnoteRef/>
      </w:r>
      <w:r>
        <w:t xml:space="preserve"> </w:t>
      </w:r>
      <w:r>
        <w:t xml:space="preserve">Sources du dénominateur — 2019–2024 : Saisie manuelle — INS/RDC, canevas de collecte 2026 : population totale ; 2025 : src-unwpp-2024jul-rev [var-c-popsx / sex-t / age-0+] — population 0+ ; 2026 : Saisie manuelle : valeur manquante pour 2026.</w:t>
      </w:r>
    </w:p>
  </w:footnote>
  <w:footnote w:id="428">
    <w:p>
      <w:pPr>
        <w:pStyle w:val="FootnoteText"/>
      </w:pPr>
      <w:r>
        <w:rPr>
          <w:rStyle w:val="FootnoteReference"/>
        </w:rPr>
        <w:footnoteRef/>
      </w:r>
      <w:r>
        <w:t xml:space="preserve"> </w:t>
      </w:r>
      <w:r>
        <w:t xml:space="preserve">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429">
    <w:p>
      <w:pPr>
        <w:pStyle w:val="FootnoteText"/>
      </w:pPr>
      <w:r>
        <w:rPr>
          <w:rStyle w:val="FootnoteReference"/>
        </w:rPr>
        <w:footnoteRef/>
      </w:r>
      <w:r>
        <w:t xml:space="preserve"> </w:t>
      </w:r>
      <w:r>
        <w:t xml:space="preserve">Sources du dénominateur — 2019–2024 : Saisie manuelle — INS/RDC, canevas de collecte 2026 : population 0–14 ans, calculee = % INS x population totale INS.</w:t>
      </w:r>
    </w:p>
  </w:footnote>
  <w:footnote w:id="437">
    <w:p>
      <w:pPr>
        <w:pStyle w:val="FootnoteText"/>
      </w:pPr>
      <w:r>
        <w:rPr>
          <w:rStyle w:val="FootnoteReference"/>
        </w:rPr>
        <w:footnoteRef/>
      </w:r>
      <w:r>
        <w:t xml:space="preserve"> </w:t>
      </w:r>
      <w:r>
        <w:t xml:space="preserve">Sources du dénominateur — 2019 : Base locale ONU WPP 2024 — femmes 15–49 (B-MA) ; 2020 : Saisie manuelle - INS/RDC, canevas de collecte 2026 : nombre de naissances vivantes (2020), utilise comme approximation du nombre de femmes ayant accouche ; 2021–2024 : Base locale ONU WPP 2024 — femmes 15–49 (B-MA).</w:t>
      </w:r>
    </w:p>
  </w:footnote>
  <w:footnote w:id="445">
    <w:p>
      <w:pPr>
        <w:pStyle w:val="FootnoteText"/>
      </w:pPr>
      <w:r>
        <w:rPr>
          <w:rStyle w:val="FootnoteReference"/>
        </w:rPr>
        <w:footnoteRef/>
      </w:r>
      <w:r>
        <w:t xml:space="preserve"> </w:t>
      </w:r>
      <w:r>
        <w:t xml:space="preserve">Sources du dénominateur — 2019–2024 : Base locale — population × prévalence 15 % (proxy).</w:t>
      </w:r>
    </w:p>
  </w:footnote>
  <w:footnote w:id="453">
    <w:p>
      <w:pPr>
        <w:pStyle w:val="FootnoteText"/>
      </w:pPr>
      <w:r>
        <w:rPr>
          <w:rStyle w:val="FootnoteReference"/>
        </w:rPr>
        <w:footnoteRef/>
      </w:r>
      <w:r>
        <w:t xml:space="preserve"> </w:t>
      </w:r>
      <w:r>
        <w:t xml:space="preserve">Sources du dénominateur — 2019–2024 : Saisie manuelle — INS/RDC, canevas de collecte 2026 : population active 15 ans et plus, calculee = % INS x population totale INS.</w:t>
      </w:r>
    </w:p>
  </w:footnote>
  <w:footnote w:id="462">
    <w:p>
      <w:pPr>
        <w:pStyle w:val="FootnoteText"/>
      </w:pPr>
      <w:r>
        <w:rPr>
          <w:rStyle w:val="FootnoteReference"/>
        </w:rPr>
        <w:footnoteRef/>
      </w:r>
      <w:r>
        <w:t xml:space="preserve"> </w:t>
      </w:r>
      <w:r>
        <w:t xml:space="preserve">Sources du dénominateur — 2019–2024 : Saisie manuelle — INS/RDC, canevas de collecte 2026 : population 60 ans et plus (age legal CNSSAP), calculee = % INS x population totale INS.</w:t>
      </w:r>
    </w:p>
  </w:footnote>
  <w:footnote w:id="471">
    <w:p>
      <w:pPr>
        <w:pStyle w:val="FootnoteText"/>
      </w:pPr>
      <w:r>
        <w:rPr>
          <w:rStyle w:val="FootnoteReference"/>
        </w:rPr>
        <w:footnoteRef/>
      </w:r>
      <w:r>
        <w:t xml:space="preserve"> </w:t>
      </w:r>
      <w:r>
        <w:t xml:space="preserve">Sources du dénominateur — 2019–2024 : Saisie manuelle — INS/RDC, canevas de collecte 2026 : approximation calculee a partir des donnees INS : population active 15 ans et plus moins population 65 ans et plus.</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5190919C"/>
    <w:lvl w:ilvl="0" w:tplc="71E27E00">
      <w:start w:val="9"/>
      <w:numFmt w:val="bullet"/>
      <w:pStyle w:val="TableTitle"/>
      <w:lvlText w:val=""/>
      <w:lvlJc w:val="left"/>
      <w:pPr>
        <w:ind w:hanging="360" w:left="720"/>
      </w:pPr>
      <w:rPr>
        <w:rFonts w:ascii="Wingdings 3" w:cstheme="minorBidi" w:eastAsiaTheme="minorHAnsi" w:hAnsi="Wingdings 3" w:hint="default"/>
        <w:color w:themeColor="background1" w:themeShade="80" w:val="808080"/>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02128"/>
    <w:pPr>
      <w:keepNext/>
      <w:numPr>
        <w:numId w:val="25"/>
      </w:numPr>
      <w:tabs>
        <w:tab w:pos="227" w:val="decimal"/>
        <w:tab w:pos="810" w:val="decimal"/>
        <w:tab w:pos="2790" w:val="left"/>
      </w:tabs>
      <w:spacing w:before="160" w:line="240" w:lineRule="auto"/>
      <w:ind w:hanging="227" w:left="227"/>
    </w:pPr>
    <w:rPr>
      <w:b/>
      <w:bCs/>
      <w:color w:themeColor="background1" w:themeShade="80" w:val="808080"/>
      <w:sz w:val="18"/>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14:textFill>
        <w14:solidFill>
          <w14:schemeClr w14:val="bg1">
            <w14:lumMod w14:val="50000"/>
            <w14:lumMod w14:val="50000"/>
          </w14:schemeClr>
        </w14:solidFill>
      </w14:textFill>
    </w:rPr>
  </w:style>
  <w:style w:customStyle="1" w:styleId="GraphicTitle" w:type="paragraph">
    <w:name w:val="GraphicTitle"/>
    <w:basedOn w:val="TableTitle"/>
    <w:next w:val="NormalBody"/>
    <w:qFormat/>
    <w:rsid w:val="00B43F15"/>
    <w:rPr>
      <w:bCs w:val="0"/>
      <w:color w:themeColor="background1" w:themeShade="80" w:val="80808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B02128"/>
    <w:pPr>
      <w:spacing w:after="0" w:line="240" w:lineRule="auto"/>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1" Type="http://schemas.openxmlformats.org/officeDocument/2006/relationships/image" Target="media/rId271.png"/><Relationship Id="rId283" Type="http://schemas.openxmlformats.org/officeDocument/2006/relationships/image" Target="media/rId283.png"/><Relationship Id="rId268" Type="http://schemas.openxmlformats.org/officeDocument/2006/relationships/image" Target="media/rId268.png"/><Relationship Id="rId277" Type="http://schemas.openxmlformats.org/officeDocument/2006/relationships/image" Target="media/rId277.png"/><Relationship Id="rId274" Type="http://schemas.openxmlformats.org/officeDocument/2006/relationships/image" Target="media/rId274.png"/><Relationship Id="rId280" Type="http://schemas.openxmlformats.org/officeDocument/2006/relationships/image" Target="media/rId280.png"/><Relationship Id="rId287" Type="http://schemas.openxmlformats.org/officeDocument/2006/relationships/image" Target="media/rId287.png"/><Relationship Id="rId240" Type="http://schemas.openxmlformats.org/officeDocument/2006/relationships/image" Target="media/rId240.png"/><Relationship Id="rId252" Type="http://schemas.openxmlformats.org/officeDocument/2006/relationships/image" Target="media/rId252.png"/><Relationship Id="rId237" Type="http://schemas.openxmlformats.org/officeDocument/2006/relationships/image" Target="media/rId237.png"/><Relationship Id="rId246" Type="http://schemas.openxmlformats.org/officeDocument/2006/relationships/image" Target="media/rId246.png"/><Relationship Id="rId243" Type="http://schemas.openxmlformats.org/officeDocument/2006/relationships/image" Target="media/rId243.png"/><Relationship Id="rId249" Type="http://schemas.openxmlformats.org/officeDocument/2006/relationships/image" Target="media/rId249.png"/><Relationship Id="rId256" Type="http://schemas.openxmlformats.org/officeDocument/2006/relationships/image" Target="media/rId256.png"/><Relationship Id="rId336" Type="http://schemas.openxmlformats.org/officeDocument/2006/relationships/image" Target="media/rId336.png"/><Relationship Id="rId348" Type="http://schemas.openxmlformats.org/officeDocument/2006/relationships/image" Target="media/rId348.png"/><Relationship Id="rId333" Type="http://schemas.openxmlformats.org/officeDocument/2006/relationships/image" Target="media/rId333.png"/><Relationship Id="rId342" Type="http://schemas.openxmlformats.org/officeDocument/2006/relationships/image" Target="media/rId342.png"/><Relationship Id="rId339" Type="http://schemas.openxmlformats.org/officeDocument/2006/relationships/image" Target="media/rId339.png"/><Relationship Id="rId345" Type="http://schemas.openxmlformats.org/officeDocument/2006/relationships/image" Target="media/rId345.png"/><Relationship Id="rId352" Type="http://schemas.openxmlformats.org/officeDocument/2006/relationships/image" Target="media/rId352.png"/><Relationship Id="rId306" Type="http://schemas.openxmlformats.org/officeDocument/2006/relationships/image" Target="media/rId306.png"/><Relationship Id="rId318" Type="http://schemas.openxmlformats.org/officeDocument/2006/relationships/image" Target="media/rId318.png"/><Relationship Id="rId303" Type="http://schemas.openxmlformats.org/officeDocument/2006/relationships/image" Target="media/rId303.png"/><Relationship Id="rId312" Type="http://schemas.openxmlformats.org/officeDocument/2006/relationships/image" Target="media/rId312.png"/><Relationship Id="rId309" Type="http://schemas.openxmlformats.org/officeDocument/2006/relationships/image" Target="media/rId309.png"/><Relationship Id="rId315" Type="http://schemas.openxmlformats.org/officeDocument/2006/relationships/image" Target="media/rId315.png"/><Relationship Id="rId322" Type="http://schemas.openxmlformats.org/officeDocument/2006/relationships/image" Target="media/rId322.png"/><Relationship Id="rId366" Type="http://schemas.openxmlformats.org/officeDocument/2006/relationships/image" Target="media/rId366.png"/><Relationship Id="rId378" Type="http://schemas.openxmlformats.org/officeDocument/2006/relationships/image" Target="media/rId378.png"/><Relationship Id="rId363" Type="http://schemas.openxmlformats.org/officeDocument/2006/relationships/image" Target="media/rId363.png"/><Relationship Id="rId372" Type="http://schemas.openxmlformats.org/officeDocument/2006/relationships/image" Target="media/rId372.png"/><Relationship Id="rId369" Type="http://schemas.openxmlformats.org/officeDocument/2006/relationships/image" Target="media/rId369.png"/><Relationship Id="rId375" Type="http://schemas.openxmlformats.org/officeDocument/2006/relationships/image" Target="media/rId375.png"/><Relationship Id="rId382" Type="http://schemas.openxmlformats.org/officeDocument/2006/relationships/image" Target="media/rId382.png"/><Relationship Id="rId394" Type="http://schemas.openxmlformats.org/officeDocument/2006/relationships/image" Target="media/rId394.png"/><Relationship Id="rId406" Type="http://schemas.openxmlformats.org/officeDocument/2006/relationships/image" Target="media/rId406.png"/><Relationship Id="rId391" Type="http://schemas.openxmlformats.org/officeDocument/2006/relationships/image" Target="media/rId391.png"/><Relationship Id="rId400" Type="http://schemas.openxmlformats.org/officeDocument/2006/relationships/image" Target="media/rId400.png"/><Relationship Id="rId397" Type="http://schemas.openxmlformats.org/officeDocument/2006/relationships/image" Target="media/rId397.png"/><Relationship Id="rId403" Type="http://schemas.openxmlformats.org/officeDocument/2006/relationships/image" Target="media/rId403.png"/><Relationship Id="rId410" Type="http://schemas.openxmlformats.org/officeDocument/2006/relationships/image" Target="media/rId410.png"/><Relationship Id="rId421" Type="http://schemas.openxmlformats.org/officeDocument/2006/relationships/image" Target="media/rId421.png"/><Relationship Id="rId424" Type="http://schemas.openxmlformats.org/officeDocument/2006/relationships/image" Target="media/rId424.png"/><Relationship Id="rId430" Type="http://schemas.openxmlformats.org/officeDocument/2006/relationships/image" Target="media/rId430.png"/><Relationship Id="rId433" Type="http://schemas.openxmlformats.org/officeDocument/2006/relationships/image" Target="media/rId433.png"/><Relationship Id="rId438" Type="http://schemas.openxmlformats.org/officeDocument/2006/relationships/image" Target="media/rId438.png"/><Relationship Id="rId441" Type="http://schemas.openxmlformats.org/officeDocument/2006/relationships/image" Target="media/rId441.png"/><Relationship Id="rId446" Type="http://schemas.openxmlformats.org/officeDocument/2006/relationships/image" Target="media/rId446.png"/><Relationship Id="rId449" Type="http://schemas.openxmlformats.org/officeDocument/2006/relationships/image" Target="media/rId449.png"/><Relationship Id="rId454" Type="http://schemas.openxmlformats.org/officeDocument/2006/relationships/image" Target="media/rId454.png"/><Relationship Id="rId457" Type="http://schemas.openxmlformats.org/officeDocument/2006/relationships/image" Target="media/rId457.png"/><Relationship Id="rId463" Type="http://schemas.openxmlformats.org/officeDocument/2006/relationships/image" Target="media/rId463.png"/><Relationship Id="rId466" Type="http://schemas.openxmlformats.org/officeDocument/2006/relationships/image" Target="media/rId466.png"/><Relationship Id="rId472" Type="http://schemas.openxmlformats.org/officeDocument/2006/relationships/image" Target="media/rId472.png"/><Relationship Id="rId475" Type="http://schemas.openxmlformats.org/officeDocument/2006/relationships/image" Target="media/rId475.png"/><Relationship Id="rId20" Type="http://schemas.openxmlformats.org/officeDocument/2006/relationships/image" Target="media/rId20.png"/><Relationship Id="rId29" Type="http://schemas.openxmlformats.org/officeDocument/2006/relationships/image" Target="media/rId29.png"/><Relationship Id="rId45" Type="http://schemas.openxmlformats.org/officeDocument/2006/relationships/image" Target="media/rId45.png"/><Relationship Id="rId55" Type="http://schemas.openxmlformats.org/officeDocument/2006/relationships/image" Target="media/rId55.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2026-09-03T12:01:39Z</dcterms:created>
  <dcterms:modified xsi:type="dcterms:W3CDTF">2026-09-03T12:01:39Z</dcterms:modified>
</cp:coreProperties>
</file>

<file path=docProps/custom.xml><?xml version="1.0" encoding="utf-8"?>
<Properties xmlns="http://schemas.openxmlformats.org/officeDocument/2006/custom-properties" xmlns:vt="http://schemas.openxmlformats.org/officeDocument/2006/docPropsVTypes"/>
</file>