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Deuxieme Bulletin statistique de la protection sociale en RDC</w:t>
      </w:r>
    </w:p>
    <w:bookmarkStart w:id="9" w:name="avant-propos"/>
    <w:p>
      <w:pPr>
        <w:pStyle w:val="Heading1"/>
        <w:pageBreakBefore/>
      </w:pPr>
      <w:r>
        <w:t xml:space="preserve">Avant-propos</w:t>
      </w:r>
    </w:p>
    <w:bookmarkEnd w:id="9"/>
    <w:bookmarkStart w:id="10" w:name="remerciements"/>
    <w:p>
      <w:pPr>
        <w:pStyle w:val="Heading1"/>
        <w:pageBreakBefore/>
      </w:pPr>
      <w:r>
        <w:t xml:space="preserve">Remerciements</w:t>
      </w:r>
    </w:p>
    <w:p>
      <w:pPr>
        <w:pStyle w:val="Normal"/>
      </w:pPr>
      <w:r>
        <w:t xml:space="preserve">Le Secrétariat général de la protection sociale adresse ses sincères remerciements à l'ensemble des institutions et partenaires dont la mobilisation a rendu possible l'élaboration de ce deuxième Bulletin statistique sur la protection sociale en République démocratique du Congo.</w:t>
      </w:r>
    </w:p>
    <w:p>
      <w:pPr>
        <w:pStyle w:val="Normal"/>
      </w:pPr>
      <w:r>
        <w:t xml:space="preserve">Ce bulletin s'inscrit dans la continuité du premier bulletin publié en 2024. Sa production a reposé, comme pour l'édition précédente, sur la coopération active des institutions nationales chargées de la gestion des régimes et programmes de protection sociale. Le Secrétariat général de la protection sociale adresse en particulier ses remerciements à la Caisse nationale de sécurité sociale (CNSS), à la Caisse nationale de sécurité sociale des agents publics de l'État (CNSSAP), au Fonds de solidarité de santé (FSS) et à la Mutuelle de santé des enseignants de l'enseignement primaire, secondaire et professionnel (MESP), qui ont transmis les données administratives nécessaires à l'établissement des indicateurs statistiques présentés dans ce bulletin.</w:t>
      </w:r>
    </w:p>
    <w:p>
      <w:pPr>
        <w:pStyle w:val="Normal"/>
      </w:pPr>
      <w:r>
        <w:t xml:space="preserve">Des remerciements sont également adressés au ministère de la Santé publique, Hygiène et Prévoyance sociale, au ministère de l'Emploi et du Travail, au ministère de l'Enseignement primaire, secondaire et technique (MEPST), au ministère des Affaires sociales, Action humanitaire et Solidarité nationale (MINAS), ainsi qu'à l'Institut national de la statistique (INS), pour leur contribution aux travaux de collecte, de clarification et de validation des données.</w:t>
      </w:r>
    </w:p>
    <w:p>
      <w:pPr>
        <w:pStyle w:val="Normal"/>
      </w:pPr>
      <w:r>
        <w:t xml:space="preserve">Le Secrétariat général de la protection sociale exprime sa gratitude au Bureau de pays de l'Organisation internationale du Travail pour la République démocratique du Congo, dont l'appui technique a accompagné chaque étape de la production de ce bulletin, depuis l'élaboration du cadre méthodologique jusqu'à la finalisation du document.</w:t>
      </w:r>
    </w:p>
    <w:p>
      <w:pPr>
        <w:pStyle w:val="Normal"/>
      </w:pPr>
      <w:r>
        <w:t xml:space="preserve">Ce bulletin a bénéficié d'un appui financier dans le cadre du projet</w:t>
      </w:r>
      <w:r>
        <w:t xml:space="preserve"> </w:t>
      </w:r>
      <w:r>
        <w:rPr>
          <w:i/>
          <w:iCs/>
        </w:rPr>
        <w:t xml:space="preserve">Bâtir des socles de protection sociale pour tous — Appui à la deuxième phase du programme phare mondial de l'OIT</w:t>
      </w:r>
      <w:r>
        <w:t xml:space="preserve">, financé par les gouvernements du Royaume de Belgique et du Grand-Duché de Luxembourg. Le Secrétariat général de la protection sociale leur témoigne sa profonde reconnaissance pour leur soutien constant au renforcement du système de protection sociale en République démocratique du Congo.</w:t>
      </w:r>
    </w:p>
    <w:p>
      <w:pPr>
        <w:pStyle w:val="Normal"/>
      </w:pPr>
      <w:r>
        <w:t xml:space="preserve">La qualité des informations produites dans ce bulletin est le reflet de l'engagement collectif de ces institutions et partenaires. Le Secrétariat général de la protection sociale demeure convaincu que la consolidation progressive du système statistique national de protection sociale constitue un levier essentiel pour éclairer les décisions de politique publique et mieux rendre compte de la situation réelle des personnes couvertes en République démocratique du Congo.</w:t>
      </w:r>
    </w:p>
    <w:bookmarkEnd w:id="10"/>
    <w:bookmarkStart w:id="11" w:name="liste-des-sigles-et-acronymes"/>
    <w:p>
      <w:pPr>
        <w:pStyle w:val="Heading1"/>
        <w:pageBreakBefore/>
      </w:pPr>
      <w:r>
        <w:t xml:space="preserve">Liste des sigles et acronymes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Sigle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Signification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et maladies professionnelles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Bureau international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Caisse Nationale de Sécurité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Caisse Nationale de Sécurité Sociale des Agents Publics de l'État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CSU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Couverture Santé Universelle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FNPSS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National de Promotion et de Service Social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Institut National de la Statistique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ODD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Objectif de développement durable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Organisation internationale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OMS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Organisation mondiale de la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PIB</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Produit intérieur brut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Politique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République démocratique du Congo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SESOPA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Service de Sécurité Sociale des Parlementaires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Stratégie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USD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Dollar des États-Unis</w:t>
            </w:r>
          </w:p>
        </w:tc>
      </w:tr>
    </w:tbl>
    <w:bookmarkEnd w:id="11"/>
    <w:bookmarkStart w:id="12" w:name="table-des-matieres"/>
    <w:p>
      <w:pPr>
        <w:pStyle w:val="Heading1"/>
        <w:pageBreakBefore/>
      </w:pPr>
      <w:r>
        <w:t xml:space="preserve">Table des matières</w:t>
      </w:r>
    </w:p>
    <w:p>
      <w:r>
        <w:fldChar w:fldCharType="begin"/>
      </w:r>
      <w:r>
        <w:instrText xml:space="preserve"> TOC \h \z \u </w:instrText>
      </w:r>
      <w:r>
        <w:fldChar w:fldCharType="separate"/>
      </w:r>
      <w:r>
        <w:rPr>
          <w:color w:val="808080"/>
        </w:rPr>
        <w:t>[Clic droit → Mettre à jour les champs pour générer cette liste]</w:t>
      </w:r>
      <w:r>
        <w:fldChar w:fldCharType="end"/>
      </w:r>
    </w:p>
    <w:bookmarkEnd w:id="12"/>
    <w:bookmarkStart w:id="17" w:name="Xedad9349539416b4e5b8da872c8532d047509e9"/>
    <w:p>
      <w:pPr>
        <w:pStyle w:val="Heading1"/>
        <w:pageBreakBefore/>
      </w:pPr>
      <w:r>
        <w:t xml:space="preserve">Listes des tableaux, graphiques et encadrés</w:t>
      </w:r>
    </w:p>
    <w:bookmarkStart w:id="13" w:name="liste-des-tableaux"/>
    <w:p>
      <w:pPr>
        <w:pStyle w:val="Heading2"/>
      </w:pPr>
      <w:r>
        <w:t xml:space="preserve">Liste des tableaux</w:t>
      </w:r>
    </w:p>
    <w:p>
      <w:r>
        <w:fldChar w:fldCharType="begin"/>
      </w:r>
      <w:r>
        <w:instrText xml:space="preserve"> TOC \h \z \t "TableTitle,1" </w:instrText>
      </w:r>
      <w:r>
        <w:fldChar w:fldCharType="separate"/>
      </w:r>
      <w:r>
        <w:rPr>
          <w:color w:val="808080"/>
        </w:rPr>
        <w:t>[Clic droit → Mettre à jour les champs pour générer cette liste]</w:t>
      </w:r>
      <w:r>
        <w:fldChar w:fldCharType="end"/>
      </w:r>
    </w:p>
    <w:bookmarkEnd w:id="13"/>
    <w:bookmarkStart w:id="14" w:name="liste-des-graphiques"/>
    <w:p>
      <w:pPr>
        <w:pStyle w:val="Heading2"/>
      </w:pPr>
      <w:r>
        <w:t xml:space="preserve">Liste des graphiques</w:t>
      </w:r>
    </w:p>
    <w:p>
      <w:r>
        <w:fldChar w:fldCharType="begin"/>
      </w:r>
      <w:r>
        <w:instrText xml:space="preserve"> TOC \h \z \t "GraphicTitle,1" </w:instrText>
      </w:r>
      <w:r>
        <w:fldChar w:fldCharType="separate"/>
      </w:r>
      <w:r>
        <w:rPr>
          <w:color w:val="808080"/>
        </w:rPr>
        <w:t>[Clic droit → Mettre à jour les champs pour générer cette liste]</w:t>
      </w:r>
      <w:r>
        <w:fldChar w:fldCharType="end"/>
      </w:r>
    </w:p>
    <w:bookmarkEnd w:id="14"/>
    <w:bookmarkStart w:id="15" w:name="liste-des-encadres"/>
    <w:p>
      <w:pPr>
        <w:pStyle w:val="Heading2"/>
      </w:pPr>
      <w:r>
        <w:t xml:space="preserve">Liste des encadrés</w:t>
      </w:r>
    </w:p>
    <w:bookmarkEnd w:id="15"/>
    <w:bookmarkStart w:id="16" w:name="liste-des-annexes-statistiques"/>
    <w:p>
      <w:pPr>
        <w:pStyle w:val="Heading2"/>
      </w:pPr>
      <w:r>
        <w:t xml:space="preserve">Liste des annexes statistiques</w:t>
      </w:r>
    </w:p>
    <w:p>
      <w:pPr>
        <w:pStyle w:val="Normal"/>
      </w:pPr>
      <w:r>
        <w:t xml:space="preserve">[À compléter]</w:t>
      </w:r>
    </w:p>
    <w:bookmarkEnd w:id="16"/>
    <w:bookmarkEnd w:id="17"/>
    <w:bookmarkStart w:id="81" w:name="X7a5f8325099eba1b0341b61e06a68940aaa639e"/>
    <w:p>
      <w:pPr>
        <w:pStyle w:val="Heading1"/>
      </w:pPr>
      <w:r>
        <w:t xml:space="preserve">Chapitre 1 — Contexte général et cadre de référence pour la protection sociale en RDC</w:t>
      </w:r>
    </w:p>
    <w:bookmarkStart w:id="41" w:name="X0f6502e11a7224c7a278d89dd0c9e42c9fd83b0"/>
    <w:p>
      <w:pPr>
        <w:pStyle w:val="Heading2"/>
      </w:pPr>
      <w:r>
        <w:t xml:space="preserve">1.1 Contexte démographique et implications pour la protection sociale</w:t>
      </w:r>
    </w:p>
    <w:bookmarkStart w:id="25" w:name="X50e6fbaf0e1adace2699f520e46b4bf2114bed8"/>
    <w:p>
      <w:pPr>
        <w:pStyle w:val="Heading3"/>
      </w:pPr>
      <w:r>
        <w:t xml:space="preserve">Une population en forte croissance</w:t>
      </w:r>
    </w:p>
    <w:p>
      <w:pPr>
        <w:pStyle w:val="Normal"/>
      </w:pPr>
      <w:r>
        <w:t xml:space="preserve">La République Démocratique du Congo est l'un des pays les plus peuplés d'Afrique, avec une population estimée à environ 112 millions d'habitants</w:t>
      </w:r>
      <w:r>
        <w:rPr>
          <w:rStyle w:val="FootnoteReference"/>
        </w:rPr>
        <w:footnoteReference w:id="18"/>
      </w:r>
      <w:r>
        <w:t xml:space="preserve"> </w:t>
      </w:r>
      <w:r>
        <w:t xml:space="preserve">en 2025. Sa croissance démographique soutenue — avec un taux d'accroissement naturel annuel d'environ 3,2 %</w:t>
      </w:r>
      <w:r>
        <w:rPr>
          <w:rStyle w:val="FootnoteReference"/>
        </w:rPr>
        <w:footnoteReference w:id="19"/>
      </w:r>
      <w:r>
        <w:t xml:space="preserve"> </w:t>
      </w:r>
      <w:r>
        <w:t xml:space="preserve">— en fait l'un des pays à la démographie la plus dynamique du continent. À ce rythme, les projections indiquent un doublement de la population dans les prochaines décennies, ce qui place la RDC au 4e rang africain</w:t>
      </w:r>
      <w:r>
        <w:rPr>
          <w:rStyle w:val="FootnoteReference"/>
        </w:rPr>
        <w:footnoteReference w:id="20"/>
      </w:r>
      <w:r>
        <w:t xml:space="preserve"> </w:t>
      </w:r>
      <w:r>
        <w:t xml:space="preserve">par la taille de sa population, après le Nigeria, l'Éthiopie et l'Égypte</w:t>
      </w:r>
      <w:r>
        <w:t xml:space="preserve"> </w:t>
      </w:r>
      <w:r>
        <w:rPr>
          <w:i/>
          <w:iCs/>
        </w:rPr>
        <w:t xml:space="preserve">(Division de la population des Nations Unies, WPP 2024)</w:t>
      </w:r>
      <w:r>
        <w:t xml:space="preserve">.</w:t>
      </w:r>
    </w:p>
    <w:p>
      <w:pPr>
        <w:pStyle w:val="GraphicTitle"/>
      </w:pPr>
      <w:r>
        <w:rPr>
          <w:b/>
          <w:bCs/>
        </w:rPr>
        <w:t xml:space="preserve">Figure 1</w:t>
      </w:r>
      <w:r>
        <w:t xml:space="preserve"> </w:t>
      </w:r>
      <w:r>
        <w:t xml:space="preserve">— Évolution de la population totale, urbaine et rurale de la RDC (1950–2025)</w:t>
      </w:r>
    </w:p>
    <w:p>
      <w:pPr>
        <w:pStyle w:val="Normal"/>
      </w:pPr>
      <w:r>
        <w:drawing>
          <wp:inline>
            <wp:extent cx="5753100" cy="3072208"/>
            <wp:effectExtent b="0" l="0" r="0" t="0"/>
            <wp:docPr descr="Évolution de la population totale, urbaine et rurale de la RDC (1950–2025)" title="" id="22" name="Picture"/>
            <a:graphic>
              <a:graphicData uri="http://schemas.openxmlformats.org/drawingml/2006/picture">
                <pic:pic>
                  <pic:nvPicPr>
                    <pic:cNvPr descr="C:/Users/M.Diouf/OneDrive/Bureau/RDC%20Bulletin%20V1/Bulletin_rdc_2026_agents/08_figures/exports/FIG_1_population_totale_urbaine_rurale_1950_2025.png" id="23" name="Picture"/>
                    <pic:cNvPicPr>
                      <a:picLocks noChangeArrowheads="1" noChangeAspect="1"/>
                    </pic:cNvPicPr>
                  </pic:nvPicPr>
                  <pic:blipFill>
                    <a:blip r:embed="rId21"/>
                    <a:stretch>
                      <a:fillRect/>
                    </a:stretch>
                  </pic:blipFill>
                  <pic:spPr bwMode="auto">
                    <a:xfrm>
                      <a:off x="0" y="0"/>
                      <a:ext cx="5753100" cy="3072208"/>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Perspectives mondiales de la population 2024 (WPP 2024)</w:t>
      </w:r>
      <w:r>
        <w:rPr>
          <w:rStyle w:val="FootnoteReference"/>
        </w:rPr>
        <w:footnoteReference w:id="24"/>
      </w:r>
      <w:r>
        <w:rPr>
          <w:i/>
          <w:iCs/>
        </w:rPr>
        <w:t xml:space="preserve">.</w:t>
      </w:r>
    </w:p>
    <w:bookmarkEnd w:id="25"/>
    <w:bookmarkStart w:id="33" w:name="X78341611dcbeec1863796d4a6a53f8a2affd21e"/>
    <w:p>
      <w:pPr>
        <w:pStyle w:val="Heading3"/>
      </w:pPr>
      <w:r>
        <w:t xml:space="preserve">Une population jeune, portée par des besoins de cycle de vie</w:t>
      </w:r>
    </w:p>
    <w:p>
      <w:pPr>
        <w:pStyle w:val="Normal"/>
      </w:pPr>
      <w:r>
        <w:t xml:space="preserve">La population congolaise est structurellement jeune : les personnes âgées de moins de 15 ans représentent environ 46 %</w:t>
      </w:r>
      <w:r>
        <w:rPr>
          <w:rStyle w:val="FootnoteReference"/>
        </w:rPr>
        <w:footnoteReference w:id="26"/>
      </w:r>
      <w:r>
        <w:t xml:space="preserve"> </w:t>
      </w:r>
      <w:r>
        <w:t xml:space="preserve">de la population totale, et l'âge médian s'établit à 15,9 ans</w:t>
      </w:r>
      <w:r>
        <w:rPr>
          <w:rStyle w:val="FootnoteReference"/>
        </w:rPr>
        <w:footnoteReference w:id="27"/>
      </w:r>
      <w:r>
        <w:t xml:space="preserve"> </w:t>
      </w:r>
      <w:r>
        <w:rPr>
          <w:i/>
          <w:iCs/>
        </w:rPr>
        <w:t xml:space="preserve">(UNFPA, 2024 ; Division de la population des Nations Unies, WPP 2024)</w:t>
      </w:r>
      <w:r>
        <w:t xml:space="preserve">. Le ratio de dépendance démographique atteint près de 96 dépendants pour 100 personnes en âge de travailler</w:t>
      </w:r>
      <w:r>
        <w:rPr>
          <w:rStyle w:val="FootnoteReference"/>
        </w:rPr>
        <w:footnoteReference w:id="28"/>
      </w:r>
      <w:r>
        <w:t xml:space="preserve">, ce qui 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pPr>
        <w:pStyle w:val="GraphicTitle"/>
      </w:pPr>
      <w:r>
        <w:rPr>
          <w:b/>
          <w:bCs/>
        </w:rPr>
        <w:t xml:space="preserve">Figure 2</w:t>
      </w:r>
      <w:r>
        <w:t xml:space="preserve"> </w:t>
      </w:r>
      <w:r>
        <w:t xml:space="preserve">— Pyramide des âges de la RDC (2025) : répartition de la population par groupe d'âge quinquennal et par sexe</w:t>
      </w:r>
    </w:p>
    <w:p>
      <w:pPr>
        <w:pStyle w:val="Normal"/>
      </w:pPr>
      <w:r>
        <w:drawing>
          <wp:inline>
            <wp:extent cx="5753100" cy="4138951"/>
            <wp:effectExtent b="0" l="0" r="0" t="0"/>
            <wp:docPr descr="Pyramide des âges de la RDC (2025) : répartition par groupe d'âge quinquennal et par sexe" title="" id="30" name="Picture"/>
            <a:graphic>
              <a:graphicData uri="http://schemas.openxmlformats.org/drawingml/2006/picture">
                <pic:pic>
                  <pic:nvPicPr>
                    <pic:cNvPr descr="C:/Users/M.Diouf/OneDrive/Bureau/RDC%20Bulletin%20V1/Bulletin_rdc_2026_agents/08_figures/exports/FIG_2_structure_age_2025.png" id="31" name="Picture"/>
                    <pic:cNvPicPr>
                      <a:picLocks noChangeArrowheads="1" noChangeAspect="1"/>
                    </pic:cNvPicPr>
                  </pic:nvPicPr>
                  <pic:blipFill>
                    <a:blip r:embed="rId29"/>
                    <a:stretch>
                      <a:fillRect/>
                    </a:stretch>
                  </pic:blipFill>
                  <pic:spPr bwMode="auto">
                    <a:xfrm>
                      <a:off x="0" y="0"/>
                      <a:ext cx="5753100" cy="4138951"/>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WPP 2024 / UNFPA. Effectifs approximés d'après les tables WPP 2024 standard — estimation mi-2025.</w:t>
      </w:r>
      <w:r>
        <w:rPr>
          <w:rStyle w:val="FootnoteReference"/>
        </w:rPr>
        <w:footnoteReference w:id="32"/>
      </w:r>
    </w:p>
    <w:bookmarkEnd w:id="33"/>
    <w:bookmarkStart w:id="39" w:name="Xe0616fbbd5dccd65a25078d95a3f8242d91d905"/>
    <w:p>
      <w:pPr>
        <w:pStyle w:val="Heading3"/>
      </w:pPr>
      <w:r>
        <w:t xml:space="preserve">Une urbanisation rapide sur fond de ruralité persistante</w:t>
      </w:r>
    </w:p>
    <w:p>
      <w:pPr>
        <w:pStyle w:val="Normal"/>
      </w:pPr>
      <w:r>
        <w:t xml:space="preserve">Entre 1950 et 2024, la part de la population vivant en milieu urbain est passée de 19 %</w:t>
      </w:r>
      <w:r>
        <w:rPr>
          <w:rStyle w:val="FootnoteReference"/>
        </w:rPr>
        <w:footnoteReference w:id="34"/>
      </w:r>
      <w:r>
        <w:t xml:space="preserve"> </w:t>
      </w:r>
      <w:r>
        <w:t xml:space="preserve">à environ 45 %</w:t>
      </w:r>
      <w:r>
        <w:rPr>
          <w:rStyle w:val="FootnoteReference"/>
        </w:rPr>
        <w:footnoteReference w:id="35"/>
      </w:r>
      <w:r>
        <w:t xml:space="preserve"> </w:t>
      </w:r>
      <w:r>
        <w:rPr>
          <w:i/>
          <w:iCs/>
        </w:rPr>
        <w:t xml:space="preserve">(Banque mondiale, WDI 2024)</w:t>
      </w:r>
      <w:r>
        <w:t xml:space="preserve">. Cette urbanisation accélérée transforme les besoins sociaux dans les grandes agglomérations, en premier lieu à Kinshasa qui compte environ 17 millions d'habitants</w:t>
      </w:r>
      <w:r>
        <w:rPr>
          <w:rStyle w:val="FootnoteReference"/>
        </w:rPr>
        <w:footnoteReference w:id="36"/>
      </w:r>
      <w:r>
        <w:t xml:space="preserve"> </w:t>
      </w:r>
      <w:r>
        <w:rPr>
          <w:i/>
          <w:iCs/>
        </w:rPr>
        <w:t xml:space="preserve">(ONU WPP 2024)</w:t>
      </w:r>
      <w:r>
        <w:t xml:space="preserve">, troisième agglomération africaine et plus grande ville francophone du monde. Elle ne doit cependant pas masquer la persistance d'une population majoritairement rurale : environ 55 %</w:t>
      </w:r>
      <w:r>
        <w:rPr>
          <w:rStyle w:val="FootnoteReference"/>
        </w:rPr>
        <w:footnoteReference w:id="37"/>
      </w:r>
      <w:r>
        <w:t xml:space="preserve"> </w:t>
      </w:r>
      <w:r>
        <w:t xml:space="preserve">des Congolais vivent encore dans des zones éloignées des grands centres</w:t>
      </w:r>
      <w:r>
        <w:t xml:space="preserve"> </w:t>
      </w:r>
      <w:r>
        <w:rPr>
          <w:i/>
          <w:iCs/>
        </w:rPr>
        <w:t xml:space="preserve">(Banque mondiale WDI, 2024)</w:t>
      </w:r>
      <w:r>
        <w:t xml:space="preserve">, avec une densité moyenne de 51 habitants par km²</w:t>
      </w:r>
      <w:r>
        <w:rPr>
          <w:rStyle w:val="FootnoteReference"/>
        </w:rPr>
        <w:footnoteReference w:id="38"/>
      </w:r>
      <w:r>
        <w:t xml:space="preserve"> </w:t>
      </w:r>
      <w:r>
        <w:t xml:space="preserve">sur un territoire de plus de 2,3 millions de km², mais des disparités provinciales considérables.</w:t>
      </w:r>
    </w:p>
    <w:bookmarkEnd w:id="39"/>
    <w:bookmarkStart w:id="40" w:name="X912a58608aab668871cff6cc7049525fa97ac19"/>
    <w:p>
      <w:pPr>
        <w:pStyle w:val="Heading3"/>
      </w:pPr>
      <w:r>
        <w:t xml:space="preserve">Premiers enseignements pour la protection sociale</w:t>
      </w:r>
    </w:p>
    <w:p>
      <w:pPr>
        <w:pStyle w:val="Normal"/>
      </w:pPr>
      <w:r>
        <w:t xml:space="preserve">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considérable, tandis que la dispersion géographique de la population complique l'accès aux prestations et l'enregistrement des bénéficiaires. Ces constats, combinés aux données économiques présentées dans la section suivante, permettront d'apprécier plus finement les conditions dans lesquelles l'extension de la couverture devra se réaliser.</w:t>
      </w:r>
    </w:p>
    <w:bookmarkEnd w:id="40"/>
    <w:bookmarkEnd w:id="41"/>
    <w:bookmarkStart w:id="71" w:name="X875bd217f609cd4b0efe41cdc0493e4b94e2a8f"/>
    <w:p>
      <w:pPr>
        <w:pStyle w:val="Heading2"/>
      </w:pPr>
      <w:r>
        <w:t xml:space="preserve">1.2 Contexte économique, emploi et enjeux d'extension de la couverture</w:t>
      </w:r>
    </w:p>
    <w:bookmarkStart w:id="53" w:name="X9430b9601170a57d5f0d0a76d4bc515d36baad3"/>
    <w:p>
      <w:pPr>
        <w:pStyle w:val="Heading3"/>
      </w:pPr>
      <w:r>
        <w:t xml:space="preserve">Une croissance soutenue sur fond de fragilité économique</w:t>
      </w:r>
    </w:p>
    <w:p>
      <w:pPr>
        <w:pStyle w:val="Normal"/>
      </w:pPr>
      <w:r>
        <w:t xml:space="preserve">La République Démocratique du Congo a enregistré des taux de croissance économique élevés au cours des dernières années : +6,4 % en 2021</w:t>
      </w:r>
      <w:r>
        <w:rPr>
          <w:rStyle w:val="FootnoteReference"/>
        </w:rPr>
        <w:footnoteReference w:id="42"/>
      </w:r>
      <w:r>
        <w:t xml:space="preserve">, +9,3 % en 2022</w:t>
      </w:r>
      <w:r>
        <w:rPr>
          <w:rStyle w:val="FootnoteReference"/>
        </w:rPr>
        <w:footnoteReference w:id="43"/>
      </w:r>
      <w:r>
        <w:t xml:space="preserve">, +8,5 % en 2023</w:t>
      </w:r>
      <w:r>
        <w:rPr>
          <w:rStyle w:val="FootnoteReference"/>
        </w:rPr>
        <w:footnoteReference w:id="44"/>
      </w:r>
      <w:r>
        <w:t xml:space="preserve"> </w:t>
      </w:r>
      <w:r>
        <w:t xml:space="preserve">et +6,1 % en 2024</w:t>
      </w:r>
      <w:r>
        <w:rPr>
          <w:rStyle w:val="FootnoteReference"/>
        </w:rPr>
        <w:footnoteReference w:id="45"/>
      </w:r>
      <w:r>
        <w:t xml:space="preserve"> </w:t>
      </w:r>
      <w:r>
        <w:rPr>
          <w:i/>
          <w:iCs/>
        </w:rPr>
        <w:t xml:space="preserve">(Banque mondiale, WDI 2026)</w:t>
      </w:r>
      <w:r>
        <w:t xml:space="preserve">. Cette dynamique est largement portée par le secteur minier, qui concentre d'importants gisements de cuivre, cobalt, or, diamants et coltan. Elle ne se traduit cependant pas par une amélioration sensible du niveau de vie moyen : le PIB par habitant s'établissait à 649 USD en 2024</w:t>
      </w:r>
      <w:r>
        <w:rPr>
          <w:rStyle w:val="FootnoteReference"/>
        </w:rPr>
        <w:footnoteReference w:id="46"/>
      </w:r>
      <w:r>
        <w:t xml:space="preserve"> </w:t>
      </w:r>
      <w:r>
        <w:t xml:space="preserve">(USD courants), parmi les plus bas du continent. Les inégalités restent marquées — l'indice de Gini s'établissait à 0,447 en 2020</w:t>
      </w:r>
      <w:r>
        <w:rPr>
          <w:rStyle w:val="FootnoteReference"/>
        </w:rPr>
        <w:footnoteReference w:id="47"/>
      </w:r>
      <w:r>
        <w:t xml:space="preserve"> </w:t>
      </w:r>
      <w:r>
        <w:rPr>
          <w:i/>
          <w:iCs/>
        </w:rPr>
        <w:t xml:space="preserve">(Banque mondiale, WDI — enquête ménages 2020 ; l'enquête INS 2024 indique une valeur de 0,381, non encore intégrée dans les bases internationales)</w:t>
      </w:r>
      <w:r>
        <w:t xml:space="preserve"> </w:t>
      </w:r>
      <w:r>
        <w:t xml:space="preserve">— et le taux de pauvreté atteignait 69 % de la population</w:t>
      </w:r>
      <w:r>
        <w:rPr>
          <w:rStyle w:val="FootnoteReference"/>
        </w:rPr>
        <w:footnoteReference w:id="48"/>
      </w:r>
      <w:r>
        <w:t xml:space="preserve"> </w:t>
      </w:r>
      <w:r>
        <w:t xml:space="preserve">selon le seuil national</w:t>
      </w:r>
      <w:r>
        <w:t xml:space="preserve"> </w:t>
      </w:r>
      <w:r>
        <w:rPr>
          <w:i/>
          <w:iCs/>
        </w:rPr>
        <w:t xml:space="preserve">(Banque mondiale, mars 2026, citant enquête INS 2024)</w:t>
      </w:r>
      <w:r>
        <w:t xml:space="preserve">. Ces données soulignent la persistance d'une vulnérabilité économique structurelle.</w:t>
      </w:r>
    </w:p>
    <w:p>
      <w:pPr>
        <w:pStyle w:val="GraphicTitle"/>
      </w:pPr>
      <w:r>
        <w:rPr>
          <w:b/>
          <w:bCs/>
        </w:rPr>
        <w:t xml:space="preserve">Figure 4</w:t>
      </w:r>
      <w:r>
        <w:t xml:space="preserve"> </w:t>
      </w:r>
      <w:r>
        <w:t xml:space="preserve">— Évolution du taux de croissance annuel du PIB en RDC (2000–2024)</w:t>
      </w:r>
    </w:p>
    <w:p>
      <w:pPr>
        <w:pStyle w:val="Normal"/>
      </w:pPr>
      <w:r>
        <w:drawing>
          <wp:inline>
            <wp:extent cx="5753100" cy="2452872"/>
            <wp:effectExtent b="0" l="0" r="0" t="0"/>
            <wp:docPr descr="Évolution du taux de croissance annuel du PIB en RDC (2000–2024)" title="" id="50" name="Picture"/>
            <a:graphic>
              <a:graphicData uri="http://schemas.openxmlformats.org/drawingml/2006/picture">
                <pic:pic>
                  <pic:nvPicPr>
                    <pic:cNvPr descr="C:/Users/M.Diouf/OneDrive/Bureau/RDC%20Bulletin%20V1/Bulletin_rdc_2026_agents/08_figures/exports/FIG_4_croissance_PIB_2000_2024.png" id="51" name="Picture"/>
                    <pic:cNvPicPr>
                      <a:picLocks noChangeArrowheads="1" noChangeAspect="1"/>
                    </pic:cNvPicPr>
                  </pic:nvPicPr>
                  <pic:blipFill>
                    <a:blip r:embed="rId49"/>
                    <a:stretch>
                      <a:fillRect/>
                    </a:stretch>
                  </pic:blipFill>
                  <pic:spPr bwMode="auto">
                    <a:xfrm>
                      <a:off x="0" y="0"/>
                      <a:ext cx="5753100" cy="2452872"/>
                    </a:xfrm>
                    <a:prstGeom prst="rect">
                      <a:avLst/>
                    </a:prstGeom>
                    <a:noFill/>
                    <a:ln w="9525">
                      <a:noFill/>
                      <a:headEnd/>
                      <a:tailEnd/>
                    </a:ln>
                  </pic:spPr>
                </pic:pic>
              </a:graphicData>
            </a:graphic>
          </wp:inline>
        </w:drawing>
      </w:r>
    </w:p>
    <w:p>
      <w:pPr>
        <w:pStyle w:val="Source-GraphicPicture"/>
      </w:pPr>
      <w:r>
        <w:rPr>
          <w:i/>
          <w:iCs/>
        </w:rPr>
        <w:t xml:space="preserve">Source : Banque mondiale, World Development Indicators (WDI, avril 2026)</w:t>
      </w:r>
      <w:r>
        <w:rPr>
          <w:rStyle w:val="FootnoteReference"/>
        </w:rPr>
        <w:footnoteReference w:id="52"/>
      </w:r>
      <w:r>
        <w:rPr>
          <w:i/>
          <w:iCs/>
        </w:rPr>
        <w:t xml:space="preserve">.</w:t>
      </w:r>
    </w:p>
    <w:bookmarkEnd w:id="53"/>
    <w:bookmarkStart w:id="64" w:name="X4a9dc27c2bcb00ce2a49728742e4b47b9e11392"/>
    <w:p>
      <w:pPr>
        <w:pStyle w:val="Heading3"/>
      </w:pPr>
      <w:r>
        <w:t xml:space="preserve">Un marché du travail dominé par l'informalité</w:t>
      </w:r>
    </w:p>
    <w:p>
      <w:pPr>
        <w:pStyle w:val="Normal"/>
      </w:pPr>
      <w:r>
        <w:t xml:space="preserve">La population active — c'est-à-dire les personnes de 15 ans et plus qui travaillent ou qui recherchent un emploi — représente environ 70,9 % de la population en âge de travailler en RDC</w:t>
      </w:r>
      <w:r>
        <w:t xml:space="preserve"> </w:t>
      </w:r>
      <w:r>
        <w:rPr>
          <w:i/>
          <w:iCs/>
        </w:rPr>
        <w:t xml:space="preserve">(OIT, ILOSTAT, estimations modélisées, 2023)</w:t>
      </w:r>
      <w:r>
        <w:t xml:space="preserve">. Ce taux d'activité masque cependant une forte disparité entre les sexes : il atteint 78,5 % chez les hommes, contre 63,5 % chez les femmes, ces dernières étant plus fréquemment maintenues hors du marché du travail visible du fait de responsabilités familiales et de barrières d'accès à l'emploi.</w:t>
      </w:r>
    </w:p>
    <w:p>
      <w:pPr>
        <w:pStyle w:val="Normal"/>
      </w:pPr>
      <w:r>
        <w:t xml:space="preserve">Au sein de cette population active, la structure du marché du travail est marquée par la prédominance écrasante de l'emploi informel et de l'agriculture de subsistance. Selon les estimations modélisées de l'OIT (ILOEST) relayées par la Banque mondiale, environ 59 % de la population active</w:t>
      </w:r>
      <w:r>
        <w:rPr>
          <w:rStyle w:val="FootnoteReference"/>
        </w:rPr>
        <w:footnoteReference w:id="54"/>
      </w:r>
      <w:r>
        <w:t xml:space="preserve"> </w:t>
      </w:r>
      <w:r>
        <w:t xml:space="preserve">travaille dans l'agriculture en 2024, avec une part nettement plus élevée chez les femmes (68 %) que chez les hommes (50 %)</w:t>
      </w:r>
      <w:r>
        <w:t xml:space="preserve"> </w:t>
      </w:r>
      <w:r>
        <w:rPr>
          <w:i/>
          <w:iCs/>
        </w:rPr>
        <w:t xml:space="preserve">(Banque mondiale WDI, indicateur ILOEST, 2024)</w:t>
      </w:r>
      <w:r>
        <w:t xml:space="preserve">. Malgré un taux de chômage officiel relativement faible — estimé à 4,4 %</w:t>
      </w:r>
      <w:r>
        <w:rPr>
          <w:rStyle w:val="FootnoteReference"/>
        </w:rPr>
        <w:footnoteReference w:id="55"/>
      </w:r>
      <w:r>
        <w:t xml:space="preserve"> </w:t>
      </w:r>
      <w:r>
        <w:t xml:space="preserve">en 2024</w:t>
      </w:r>
      <w:r>
        <w:t xml:space="preserve"> </w:t>
      </w:r>
      <w:r>
        <w:rPr>
          <w:i/>
          <w:iCs/>
        </w:rPr>
        <w:t xml:space="preserve">(Banque mondiale WDI, modèle ILO)</w:t>
      </w:r>
      <w:r>
        <w:t xml:space="preserve"> </w:t>
      </w:r>
      <w:r>
        <w:t xml:space="preserve">—, la grande majorité des actifs occupés exercent dans des conditions précaires : le taux d'emploi informel est estimé à environ 96 %</w:t>
      </w:r>
      <w:r>
        <w:rPr>
          <w:rStyle w:val="FootnoteReference"/>
        </w:rPr>
        <w:footnoteReference w:id="56"/>
      </w:r>
      <w:r>
        <w:t xml:space="preserve"> </w:t>
      </w:r>
      <w:r>
        <w:t xml:space="preserve">selon les estimations modélisées de l'OIT</w:t>
      </w:r>
      <w:r>
        <w:t xml:space="preserve"> </w:t>
      </w:r>
      <w:r>
        <w:rPr>
          <w:i/>
          <w:iCs/>
        </w:rPr>
        <w:t xml:space="preserve">(ILOSTAT, données 2020)</w:t>
      </w:r>
      <w:r>
        <w:t xml:space="preserve">, avec une légère prépondérance chez les femmes (97,8 %</w:t>
      </w:r>
      <w:r>
        <w:rPr>
          <w:rStyle w:val="FootnoteReference"/>
        </w:rPr>
        <w:footnoteReference w:id="57"/>
      </w:r>
      <w:r>
        <w:t xml:space="preserve">) par rapport aux hommes (95,7 %</w:t>
      </w:r>
      <w:r>
        <w:rPr>
          <w:rStyle w:val="FootnoteReference"/>
        </w:rPr>
        <w:footnoteReference w:id="58"/>
      </w:r>
      <w:r>
        <w:t xml:space="preserve">). Cette informalité concerne toutes les catégories de statut dans l'emploi : travailleurs indépendants, employés et employeurs. La combinaison d'un taux d'activité inférieur chez les femmes et d'une informalité légèrement plus élevée explique leur moindre représentation dans les régimes contributifs de protection sociale.</w:t>
      </w:r>
    </w:p>
    <w:p>
      <w:pPr>
        <w:pStyle w:val="GraphicTitle"/>
      </w:pPr>
      <w:r>
        <w:rPr>
          <w:b/>
          <w:bCs/>
        </w:rPr>
        <w:t xml:space="preserve">Figure 5</w:t>
      </w:r>
      <w:r>
        <w:t xml:space="preserve"> </w:t>
      </w:r>
      <w:r>
        <w:t xml:space="preserve">— Marché du travail en RDC : taux d'activité et emploi informel par sexe</w:t>
      </w:r>
    </w:p>
    <w:p>
      <w:pPr>
        <w:pStyle w:val="Normal"/>
      </w:pPr>
      <w:r>
        <w:drawing>
          <wp:inline>
            <wp:extent cx="5753100" cy="2473913"/>
            <wp:effectExtent b="0" l="0" r="0" t="0"/>
            <wp:docPr descr="Marché du travail en RDC : taux d'activité (15+) et emploi informel par sexe" title="" id="60" name="Picture"/>
            <a:graphic>
              <a:graphicData uri="http://schemas.openxmlformats.org/drawingml/2006/picture">
                <pic:pic>
                  <pic:nvPicPr>
                    <pic:cNvPr descr="C:/Users/M.Diouf/OneDrive/Bureau/RDC%20Bulletin%20V1/Bulletin_rdc_2026_agents/08_figures/exports/FIG_5_emploi_informel_par_sexe.png" id="61" name="Picture"/>
                    <pic:cNvPicPr>
                      <a:picLocks noChangeArrowheads="1" noChangeAspect="1"/>
                    </pic:cNvPicPr>
                  </pic:nvPicPr>
                  <pic:blipFill>
                    <a:blip r:embed="rId59"/>
                    <a:stretch>
                      <a:fillRect/>
                    </a:stretch>
                  </pic:blipFill>
                  <pic:spPr bwMode="auto">
                    <a:xfrm>
                      <a:off x="0" y="0"/>
                      <a:ext cx="5753100" cy="2473913"/>
                    </a:xfrm>
                    <a:prstGeom prst="rect">
                      <a:avLst/>
                    </a:prstGeom>
                    <a:noFill/>
                    <a:ln w="9525">
                      <a:noFill/>
                      <a:headEnd/>
                      <a:tailEnd/>
                    </a:ln>
                  </pic:spPr>
                </pic:pic>
              </a:graphicData>
            </a:graphic>
          </wp:inline>
        </w:drawing>
      </w:r>
    </w:p>
    <w:p>
      <w:pPr>
        <w:pStyle w:val="Source-GraphicPicture"/>
      </w:pPr>
      <w:r>
        <w:rPr>
          <w:i/>
          <w:iCs/>
        </w:rPr>
        <w:t xml:space="preserve">Source : OIT, ILOSTAT — estimations modélisées (ILOEST). Taux d'activité (15+) : indicateur EAP_DWAP_SEX_AGE_RT_A, 2023.</w:t>
      </w:r>
      <w:r>
        <w:rPr>
          <w:rStyle w:val="FootnoteReference"/>
        </w:rPr>
        <w:footnoteReference w:id="62"/>
      </w:r>
      <w:r>
        <w:rPr>
          <w:i/>
          <w:iCs/>
        </w:rPr>
        <w:t xml:space="preserve"> </w:t>
      </w:r>
      <w:r>
        <w:rPr>
          <w:i/>
          <w:iCs/>
        </w:rPr>
        <w:t xml:space="preserve">Emploi informel : indicateur INF_2INF_NOC_RT_A, 2020.</w:t>
      </w:r>
      <w:r>
        <w:rPr>
          <w:rStyle w:val="FootnoteReference"/>
        </w:rPr>
        <w:footnoteReference w:id="63"/>
      </w:r>
    </w:p>
    <w:bookmarkEnd w:id="64"/>
    <w:bookmarkStart w:id="69" w:name="X715cb2b842b1fbda7ec037084f392878b78425b"/>
    <w:p>
      <w:pPr>
        <w:pStyle w:val="Heading3"/>
      </w:pPr>
      <w:r>
        <w:t xml:space="preserve">Des secteurs exposés à des risques professionnels spécifiques</w:t>
      </w:r>
    </w:p>
    <w:p>
      <w:pPr>
        <w:pStyle w:val="Normal"/>
      </w:pPr>
      <w:r>
        <w:t xml:space="preserve">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 Ces réalités renforcent l'importance d'un suivi statistique rigoureux des affiliés, des cotisants actifs et des victimes d'accidents du travail — données au cœur du présent bulletin.</w:t>
      </w:r>
    </w:p>
    <w:p>
      <w:pPr>
        <w:pStyle w:val="GraphicTitle"/>
      </w:pPr>
      <w:r>
        <w:rPr>
          <w:b/>
          <w:bCs/>
        </w:rPr>
        <w:t xml:space="preserve">Figure 6</w:t>
      </w:r>
      <w:r>
        <w:t xml:space="preserve"> </w:t>
      </w:r>
      <w:r>
        <w:t xml:space="preserve">— Structure de l'emploi par grand secteur d'activité (agriculture, industrie, services), RDC</w:t>
      </w:r>
    </w:p>
    <w:p>
      <w:pPr>
        <w:pStyle w:val="Normal"/>
      </w:pPr>
      <w:r>
        <w:drawing>
          <wp:inline>
            <wp:extent cx="5753100" cy="3081931"/>
            <wp:effectExtent b="0" l="0" r="0" t="0"/>
            <wp:docPr descr="Structure de l'emploi par grand secteur d'activité, RDC" title="" id="66" name="Picture"/>
            <a:graphic>
              <a:graphicData uri="http://schemas.openxmlformats.org/drawingml/2006/picture">
                <pic:pic>
                  <pic:nvPicPr>
                    <pic:cNvPr descr="C:/Users/M.Diouf/OneDrive/Bureau/RDC%20Bulletin%20V1/Bulletin_rdc_2026_agents/08_figures/exports/FIG_6_structure_emploi_secteurs.png" id="67" name="Picture"/>
                    <pic:cNvPicPr>
                      <a:picLocks noChangeArrowheads="1" noChangeAspect="1"/>
                    </pic:cNvPicPr>
                  </pic:nvPicPr>
                  <pic:blipFill>
                    <a:blip r:embed="rId65"/>
                    <a:stretch>
                      <a:fillRect/>
                    </a:stretch>
                  </pic:blipFill>
                  <pic:spPr bwMode="auto">
                    <a:xfrm>
                      <a:off x="0" y="0"/>
                      <a:ext cx="5753100" cy="3081931"/>
                    </a:xfrm>
                    <a:prstGeom prst="rect">
                      <a:avLst/>
                    </a:prstGeom>
                    <a:noFill/>
                    <a:ln w="9525">
                      <a:noFill/>
                      <a:headEnd/>
                      <a:tailEnd/>
                    </a:ln>
                  </pic:spPr>
                </pic:pic>
              </a:graphicData>
            </a:graphic>
          </wp:inline>
        </w:drawing>
      </w:r>
    </w:p>
    <w:p>
      <w:pPr>
        <w:pStyle w:val="Source-GraphicPicture"/>
      </w:pPr>
      <w:r>
        <w:rPr>
          <w:i/>
          <w:iCs/>
        </w:rPr>
        <w:t xml:space="preserve">Source : Banque mondiale, WDI (indicateur ILOEST, 2024). Industrie et services : parts résiduelles estimées.</w:t>
      </w:r>
      <w:r>
        <w:rPr>
          <w:rStyle w:val="FootnoteReference"/>
        </w:rPr>
        <w:footnoteReference w:id="68"/>
      </w:r>
    </w:p>
    <w:bookmarkEnd w:id="69"/>
    <w:bookmarkStart w:id="70" w:name="Xd7c73b019aafacd98f641e17bbb1f947657ec23"/>
    <w:p>
      <w:pPr>
        <w:pStyle w:val="Heading3"/>
      </w:pPr>
      <w:r>
        <w:t xml:space="preserve">Les enjeux d'extension de la couverture contributive</w:t>
      </w:r>
    </w:p>
    <w:p>
      <w:pPr>
        <w:pStyle w:val="Normal"/>
      </w:pPr>
      <w:r>
        <w:t xml:space="preserve">Dans ce contexte — forte informalité, bas revenus, vulnérabilité persistante —, l'extension de la protection sociale se heurte à des contraintes structurelles importantes. La majorité des travailleurs n'est pas enregistrée auprès des régimes contributifs formels, ce qui limite à la fois l'assiette de cotisation des institutions et l'accès effectif aux prestations pour les assurés potentiels. Ces constats, croisés avec les données démographiques de la section précédente, éclairent les orientations stratégiques que la RDC s'est données pour répondre à ces défis, présentées dans la section suivante.</w:t>
      </w:r>
    </w:p>
    <w:bookmarkEnd w:id="70"/>
    <w:bookmarkEnd w:id="71"/>
    <w:bookmarkStart w:id="80" w:name="X9525585a82bf70263e12a782584206f6e266557"/>
    <w:p>
      <w:pPr>
        <w:pStyle w:val="Heading2"/>
      </w:pPr>
      <w:r>
        <w:t xml:space="preserve">1.3 Protection sociale, stratégie nationale et besoin de données statistiques</w:t>
      </w:r>
    </w:p>
    <w:bookmarkStart w:id="75" w:name="X2c0cd32e4591787bd80c74eed82bb28b835b26e"/>
    <w:p>
      <w:pPr>
        <w:pStyle w:val="Heading3"/>
      </w:pPr>
      <w:r>
        <w:t xml:space="preserve">La protection sociale face aux risques et vulnérabilités</w:t>
      </w:r>
    </w:p>
    <w:p>
      <w:pPr>
        <w:pStyle w:val="Normal"/>
      </w:pPr>
      <w:r>
        <w:t xml:space="preserve">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vulnérabilité</w:t>
      </w:r>
      <w:r>
        <w:rPr>
          <w:rStyle w:val="FootnoteReference"/>
        </w:rPr>
        <w:footnoteReference w:id="72"/>
      </w:r>
      <w:r>
        <w:t xml:space="preserve"> </w:t>
      </w:r>
      <w:r>
        <w:rPr>
          <w:i/>
          <w:iCs/>
        </w:rPr>
        <w:t xml:space="preserve">(BIT, 2024)</w:t>
      </w:r>
      <w:r>
        <w:t xml:space="preserve">, constitue dans ce cadre une réponse structurelle dont l'organisation et l'extension sont des enjeux prioritaires pour la RDC. À l'échelle mondiale, seulement 52,4 % de la population mondiale</w:t>
      </w:r>
      <w:r>
        <w:rPr>
          <w:rStyle w:val="FootnoteReference"/>
        </w:rPr>
        <w:footnoteReference w:id="73"/>
      </w:r>
      <w:r>
        <w:t xml:space="preserve"> </w:t>
      </w:r>
      <w:r>
        <w:t xml:space="preserve">bénéficient d'au moins une prestation de protection sociale, et ce taux tombe à 19,1 % en Afrique</w:t>
      </w:r>
      <w:r>
        <w:rPr>
          <w:rStyle w:val="FootnoteReference"/>
        </w:rPr>
        <w:footnoteReference w:id="74"/>
      </w:r>
      <w:r>
        <w:t xml:space="preserve"> </w:t>
      </w:r>
      <w:r>
        <w:rPr>
          <w:i/>
          <w:iCs/>
        </w:rPr>
        <w:t xml:space="preserve">(BIT, 2024)</w:t>
      </w:r>
      <w:r>
        <w:t xml:space="preserve">, soulignant l'ampleur des défis communs à la RDC et à son environnement régional.</w:t>
      </w:r>
    </w:p>
    <w:bookmarkEnd w:id="75"/>
    <w:bookmarkStart w:id="77" w:name="Xbc554c6ed16623ce9e774a636bc7c13010bd3d7"/>
    <w:p>
      <w:pPr>
        <w:pStyle w:val="Heading3"/>
      </w:pPr>
      <w:r>
        <w:t xml:space="preserve">Les engagements stratégiques de la RDC</w:t>
      </w:r>
    </w:p>
    <w:p>
      <w:pPr>
        <w:pStyle w:val="Normal"/>
      </w:pPr>
      <w:r>
        <w:t xml:space="preserve">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76"/>
      </w:r>
      <w:r>
        <w:t xml:space="preserve"> </w:t>
      </w:r>
      <w:r>
        <w:rPr>
          <w:i/>
          <w:iCs/>
        </w:rPr>
        <w:t xml:space="preserve">(RDC, 2016)</w:t>
      </w:r>
      <w:r>
        <w:t xml:space="preserve">.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même élan. Ces engagements rejoignent les normes internationales auxquelles la RDC a souscrit, notamment la Convention n°102 de l'OIT sur la sécurité sociale</w:t>
      </w:r>
      <w:r>
        <w:t xml:space="preserve"> </w:t>
      </w:r>
      <w:r>
        <w:rPr>
          <w:i/>
          <w:iCs/>
        </w:rPr>
        <w:t xml:space="preserve">(ratifiée en 1987)</w:t>
      </w:r>
      <w:r>
        <w:t xml:space="preserve"> </w:t>
      </w:r>
      <w:r>
        <w:t xml:space="preserve">et la Recommandation n°202 sur les socles de protection sociale</w:t>
      </w:r>
      <w:r>
        <w:t xml:space="preserve"> </w:t>
      </w:r>
      <w:r>
        <w:rPr>
          <w:i/>
          <w:iCs/>
        </w:rPr>
        <w:t xml:space="preserve">(OIT, 2012)</w:t>
      </w:r>
      <w:r>
        <w:t xml:space="preserve">.</w:t>
      </w:r>
    </w:p>
    <w:bookmarkEnd w:id="77"/>
    <w:bookmarkStart w:id="78" w:name="X61d7077ac9a8204b4462f3d957fd596f38bb028"/>
    <w:p>
      <w:pPr>
        <w:pStyle w:val="Heading3"/>
      </w:pPr>
      <w:r>
        <w:t xml:space="preserve">Des contraintes structurelles à prendre en compte</w:t>
      </w:r>
    </w:p>
    <w:p>
      <w:pPr>
        <w:pStyle w:val="Normal"/>
      </w:pPr>
      <w:r>
        <w:t xml:space="preserve">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collecte des données. Ces contraintes ne remettent pas en cause la pertinence de la stratégie nationale, mais elles en conditionnent le rythme et les modalités de mise en œuvre.</w:t>
      </w:r>
    </w:p>
    <w:bookmarkEnd w:id="78"/>
    <w:bookmarkStart w:id="79" w:name="Xbfcecd41b026061d26aa6abbb50857e9b9c864a"/>
    <w:p>
      <w:pPr>
        <w:pStyle w:val="Heading3"/>
      </w:pPr>
      <w:r>
        <w:t xml:space="preserve">Le bulletin comme instrument d'aide à la décision</w:t>
      </w:r>
    </w:p>
    <w:p>
      <w:pPr>
        <w:pStyle w:val="Normal"/>
      </w:pPr>
      <w:r>
        <w:t xml:space="preserve">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devront être prises en compte dans l'élaboration et le suivi de la stratégie nationale. Il couvre la période jusqu'à décembre 2025 et s'appuie sur les données transmises par les institutions nationales, les publications des organisations internationales et les registres administratifs disponibles. Le chapitre 1 présente le cadre conceptuel et les choix méthodologiques qui fondent cette démarche.</w:t>
      </w:r>
    </w:p>
    <w:bookmarkEnd w:id="79"/>
    <w:bookmarkEnd w:id="80"/>
    <w:bookmarkEnd w:id="81"/>
    <w:bookmarkStart w:id="97" w:name="X101ffbd1ca7686cb5d65df408d79fa3b64745ae"/>
    <w:p>
      <w:pPr>
        <w:pStyle w:val="Heading1"/>
      </w:pPr>
      <w:r>
        <w:t xml:space="preserve">Chapitre 2 — Cadre conceptuel et périmètre statistique</w:t>
      </w:r>
    </w:p>
    <w:bookmarkStart w:id="88" w:name="Xb5de44341d3431b4058dcfcfb2191280a9838ee"/>
    <w:p>
      <w:pPr>
        <w:pStyle w:val="Heading2"/>
      </w:pPr>
      <w:r>
        <w:t xml:space="preserve">2.1 Définitions et approches de la protection sociale</w:t>
      </w:r>
    </w:p>
    <w:bookmarkStart w:id="84" w:name="X8e09a1b3b26070c5a9eb97c5b40883aaaee8d58"/>
    <w:p>
      <w:pPr>
        <w:pStyle w:val="Heading3"/>
      </w:pPr>
      <w:r>
        <w:t xml:space="preserve">La protection sociale comme droit fondamental</w:t>
      </w:r>
    </w:p>
    <w:p>
      <w:pPr>
        <w:pStyle w:val="Normal"/>
      </w:pPr>
      <w:r>
        <w:t xml:space="preserve">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82"/>
      </w:r>
      <w:r>
        <w:t xml:space="preserve">,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83"/>
      </w:r>
    </w:p>
    <w:bookmarkEnd w:id="84"/>
    <w:bookmarkStart w:id="87" w:name="Xbb3fd8961a6b86ee5b99031747c635d7a9634c9"/>
    <w:p>
      <w:pPr>
        <w:pStyle w:val="Heading3"/>
      </w:pPr>
      <w:r>
        <w:t xml:space="preserve">Trois approches complémentaires</w:t>
      </w:r>
    </w:p>
    <w:p>
      <w:pPr>
        <w:pStyle w:val="Normal"/>
      </w:pPr>
      <w:r>
        <w:t xml:space="preserve">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85"/>
      </w:r>
      <w:r>
        <w:t xml:space="preserve">.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pPr>
        <w:pStyle w:val="Normal"/>
      </w:pPr>
      <w:r>
        <w:t xml:space="preserve">La deuxième approche, complémentaire de la première, est celle des socles de protection sociale, formalisée par la Recommandation no 202 de l'OIT, adoptée à l'unanimité en 2012</w:t>
      </w:r>
      <w:r>
        <w:rPr>
          <w:rStyle w:val="FootnoteReference"/>
        </w:rPr>
        <w:footnoteReference w:id="86"/>
      </w:r>
      <w:r>
        <w:t xml:space="preserve">.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protection peuvent être progressivement construits, en cohérence avec les ressources et les priorités de chaque pays.</w:t>
      </w:r>
    </w:p>
    <w:p>
      <w:pPr>
        <w:pStyle w:val="Normal"/>
      </w:pPr>
      <w:r>
        <w:t xml:space="preserve">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systèmes de protection sociale.</w:t>
      </w:r>
    </w:p>
    <w:bookmarkEnd w:id="87"/>
    <w:bookmarkEnd w:id="88"/>
    <w:bookmarkStart w:id="94" w:name="X1ab6219a882291178bcfc20cbc2711226a7d9c6"/>
    <w:p>
      <w:pPr>
        <w:pStyle w:val="Heading2"/>
      </w:pPr>
      <w:r>
        <w:t xml:space="preserve">2.2 Approche retenue pour le bulletin : cadre BIT/OIT et indicateurs de couverture effective</w:t>
      </w:r>
    </w:p>
    <w:bookmarkStart w:id="92" w:name="X02846e4591a0892af690e07158037a5cabc0ce1"/>
    <w:p>
      <w:pPr>
        <w:pStyle w:val="Heading3"/>
      </w:pPr>
      <w:r>
        <w:t xml:space="preserve">L'approche BIT/OIT : une grille normative et statistique</w:t>
      </w:r>
    </w:p>
    <w:p>
      <w:pPr>
        <w:pStyle w:val="Normal"/>
      </w:pPr>
      <w:r>
        <w:t xml:space="preserve">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89"/>
      </w:r>
      <w:r>
        <w:t xml:space="preserve"> </w:t>
      </w:r>
      <w:r>
        <w:t xml:space="preserve">—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1987)</w:t>
      </w:r>
      <w:r>
        <w:rPr>
          <w:rStyle w:val="FootnoteReference"/>
        </w:rPr>
        <w:footnoteReference w:id="90"/>
      </w:r>
      <w:r>
        <w:t xml:space="preserve"> </w:t>
      </w:r>
      <w:r>
        <w:t xml:space="preserve">et indicateur ODD 1.3.1, dont la méthodologie est harmonisée par le BIT</w:t>
      </w:r>
      <w:r>
        <w:rPr>
          <w:rStyle w:val="FootnoteReference"/>
        </w:rPr>
        <w:footnoteReference w:id="91"/>
      </w:r>
      <w:r>
        <w:t xml:space="preserve">.</w:t>
      </w:r>
    </w:p>
    <w:bookmarkEnd w:id="92"/>
    <w:bookmarkStart w:id="93" w:name="X58f988e2d4a374c4d10014b38f42ba100a75356"/>
    <w:p>
      <w:pPr>
        <w:pStyle w:val="Heading3"/>
      </w:pPr>
      <w:r>
        <w:t xml:space="preserve">Ce que le bulletin mesure et ce qu'il documente sans mesurer</w:t>
      </w:r>
    </w:p>
    <w:p>
      <w:pPr>
        <w:pStyle w:val="Normal"/>
      </w:pPr>
      <w:r>
        <w:t xml:space="preserve">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dispositifs.</w:t>
      </w:r>
    </w:p>
    <w:bookmarkEnd w:id="93"/>
    <w:bookmarkEnd w:id="94"/>
    <w:bookmarkStart w:id="95" w:name="Xd67dbdbe4284bfbd7d5a725fbe16010e3707dc7"/>
    <w:p>
      <w:pPr>
        <w:pStyle w:val="Heading2"/>
      </w:pPr>
      <w:r>
        <w:t xml:space="preserve">2.4 Grilles de lecture : classification des régimes, programmes et prestations</w:t>
      </w:r>
    </w:p>
    <w:p>
      <w:pPr>
        <w:pStyle w:val="Normal"/>
      </w:pPr>
      <w:r>
        <w:t xml:space="preserve">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pPr>
        <w:pStyle w:val="Normal"/>
      </w:pPr>
      <w:r>
        <w:t xml:space="preserve">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précisées pour chaque dispositif.</w:t>
      </w:r>
    </w:p>
    <w:p>
      <w:pPr>
        <w:pStyle w:val="Normal"/>
      </w:pPr>
      <w:r>
        <w:rPr>
          <w:i/>
          <w:iCs/>
        </w:rPr>
        <w:t xml:space="preserve">→ Les définitions complètes et les grilles de classification détaillées sont développées en Annexe A.2 — Classification des régimes, programmes et prestations.</w:t>
      </w:r>
    </w:p>
    <w:bookmarkEnd w:id="95"/>
    <w:bookmarkStart w:id="96" w:name="X323c4f22bad9d26e731773e1bb5ec18c2dc8d6f"/>
    <w:p>
      <w:pPr>
        <w:pStyle w:val="Heading2"/>
      </w:pPr>
      <w:r>
        <w:t xml:space="preserve">2.5 Précautions de lecture : distinctions statistiques et limites méthodologiques</w:t>
      </w:r>
    </w:p>
    <w:p>
      <w:pPr>
        <w:pStyle w:val="Normal"/>
      </w:pPr>
      <w:r>
        <w:t xml:space="preserve">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pPr>
        <w:pStyle w:val="Normal"/>
      </w:pPr>
      <w:r>
        <w:t xml:space="preserve">Les limites générales du bulletin sont de trois ordres. La disponibilité des données administratives reste inégale selon les institutions et les périodes. La complétude des données transmises peut varier selon les exercices. La désagrégation — par sexe, âge, province ou secteur — n'est pas systématiquement disponible et est indiquée au cas par cas.</w:t>
      </w:r>
    </w:p>
    <w:p>
      <w:pPr>
        <w:pStyle w:val="Normal"/>
      </w:pPr>
      <w:r>
        <w:rPr>
          <w:i/>
          <w:iCs/>
        </w:rPr>
        <w:t xml:space="preserve">→ Les définitions opérationnelles complètes figurent dans le Glossaire.</w:t>
      </w:r>
    </w:p>
    <w:bookmarkEnd w:id="96"/>
    <w:bookmarkEnd w:id="97"/>
    <w:bookmarkStart w:id="148" w:name="X5f1b84ce5a1e87a4731e51491ddbc71a2f4a872"/>
    <w:p>
      <w:pPr>
        <w:pStyle w:val="Heading1"/>
      </w:pPr>
      <w:r>
        <w:t xml:space="preserve">Chapitre 3 — Cartographie institutionnelle de la protection sociale en RDC</w:t>
      </w:r>
    </w:p>
    <w:bookmarkStart w:id="147" w:name="X27535e0f9de3278860b155ee257df3da6e7665e"/>
    <w:p>
      <w:pPr>
        <w:pStyle w:val="Heading2"/>
      </w:pPr>
      <w:r>
        <w:t xml:space="preserve">3.1 Panorama des régimes et programmes de protection sociale en RDC</w:t>
      </w:r>
    </w:p>
    <w:bookmarkStart w:id="98" w:name="vue-densemble-non-valide"/>
    <w:p>
      <w:pPr>
        <w:pStyle w:val="Heading3"/>
      </w:pPr>
      <w:r>
        <w:t xml:space="preserve">Vue d'ensemble</w:t>
      </w:r>
    </w:p>
    <w:p>
      <w:pPr>
        <w:pStyle w:val="Normal"/>
      </w:pPr>
      <w:r>
        <w:t xml:space="preserve">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pPr>
        <w:pStyle w:val="Normal"/>
      </w:pPr>
      <w:r>
        <w:t xml:space="preserve">Cette cartographie distingue quatre grandes catégories : la sécurité sociale contributive obligatoire, qui couvre les travailleurs du secteur formel selon leurs catégories (Tableaux 2.1 et 2.2) ; la protection de la santé, organisée par segment de population (Tableau 2.3) ; les programmes d'assistance sociale et initiatives non contributives destinés aux populations non couvertes par les régimes formels (Tableau 2.4) ; enfin, un ensemble de politiques sectorielles à dimension protectrice — gratuités, programmes d'activation par l'emploi, accès subventionné aux services de base — dont la finalité sociale est établie mais qui ne relèvent pas à proprement parler de l'assistance sociale (Tableau 2.5, mention contextuelle).</w:t>
      </w:r>
    </w:p>
    <w:bookmarkEnd w:id="98"/>
    <w:bookmarkStart w:id="111" w:name="Xbd772998dce239fbe32d94c283e30eed6cb5291"/>
    <w:p>
      <w:pPr>
        <w:pStyle w:val="Heading3"/>
      </w:pPr>
      <w:r>
        <w:t xml:space="preserve">Sécurité sociale contributive obligatoire</w:t>
      </w:r>
    </w:p>
    <w:p>
      <w:pPr>
        <w:pStyle w:val="Normal"/>
      </w:pPr>
      <w:r>
        <w:t xml:space="preserve">Les neuf branches de la Convention no 102 de l'OIT</w:t>
      </w:r>
      <w:r>
        <w:rPr>
          <w:rStyle w:val="FootnoteReference"/>
        </w:rPr>
        <w:footnoteReference w:id="99"/>
      </w:r>
      <w:r>
        <w:t xml:space="preserve"> </w:t>
      </w:r>
      <w:r>
        <w:t xml:space="preserve">servent de grille de lecture pour situer chaque institution dans le panorama de la protection sociale.</w:t>
      </w:r>
    </w:p>
    <w:p>
      <w:pPr>
        <w:pStyle w:val="TableTitle"/>
      </w:pPr>
      <w:r>
        <w:rPr>
          <w:b/>
          <w:bCs/>
        </w:rPr>
        <w:t xml:space="preserve">Tableau 2.1</w:t>
      </w:r>
      <w:r>
        <w:t xml:space="preserve"> </w:t>
      </w:r>
      <w:r>
        <w:t xml:space="preserve">— Sécurité sociale contributive obligatoire : CNSS et CNSSAP</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CNSS</w:t>
            </w:r>
            <w:r>
              <w:rPr>
                <w:rStyle w:val="FootnoteReference"/>
              </w:rPr>
              <w:footnoteReference w:id="100"/>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CNSSAP</w:t>
            </w:r>
            <w:r>
              <w:rPr>
                <w:rStyle w:val="FootnoteReference"/>
              </w:rPr>
              <w:footnoteReference w:id="101"/>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Population assujettie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Travailleurs du secteur privé formel et assimilés [1]</w:t>
            </w:r>
            <w:r>
              <w:rPr>
                <w:rStyle w:val="FootnoteReference"/>
              </w:rPr>
              <w:footnoteReference w:id="102"/>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Agents de carrière, militaires, policiers, enseignants, contractuels de l'État [2]</w:t>
            </w:r>
            <w:r>
              <w:rPr>
                <w:rStyle w:val="FootnoteReference"/>
              </w:rPr>
              <w:footnoteReference w:id="103"/>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employeur + salarié [1]</w:t>
            </w:r>
            <w:r>
              <w:rPr>
                <w:rStyle w:val="FootnoteReference"/>
              </w:rPr>
              <w:footnoteReference w:id="104"/>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État employeur + agent [2]</w:t>
            </w:r>
            <w:r>
              <w:rPr>
                <w:rStyle w:val="FootnoteReference"/>
              </w:rPr>
              <w:footnoteReference w:id="105"/>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Base légale principale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Loi n°16/009 du 15 juillet 2016 [1]</w:t>
            </w:r>
            <w:r>
              <w:rPr>
                <w:rStyle w:val="FootnoteReference"/>
              </w:rPr>
              <w:footnoteReference w:id="106"/>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Décret n°15/031 du 14 déc. 2015 ; Loi n°22/031 du 15 juil. 2022 [2]</w:t>
            </w:r>
            <w:r>
              <w:rPr>
                <w:rStyle w:val="FootnoteReference"/>
              </w:rPr>
              <w:footnoteReference w:id="107"/>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Branche C102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médicaux (Partie 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Indemnités de maladie (Partie III)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Chômage (Partie IV)</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(Partie V)</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 prof. (Partie VI)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 (Partie VII)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(Partie VIII)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 (Partie IX)</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Survivants (Partie X)</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bl>
    <w:p>
      <w:pPr>
        <w:pStyle w:val="TableNoteSource"/>
      </w:pPr>
      <w:r>
        <w:rPr>
          <w:i/>
          <w:iCs/>
        </w:rPr>
        <w:t xml:space="preserve">Légende :</w:t>
      </w:r>
      <w:r>
        <w:rPr>
          <w:i/>
          <w:iCs/>
        </w:rPr>
        <w:t xml:space="preserve"> </w:t>
      </w:r>
      <w:r>
        <w:rPr>
          <w:i/>
          <w:iCs/>
        </w:rPr>
        <w:t xml:space="preserve">✓</w:t>
      </w:r>
      <w:r>
        <w:rPr>
          <w:i/>
          <w:iCs/>
        </w:rPr>
        <w:t xml:space="preserve"> </w:t>
      </w:r>
      <w:r>
        <w:rPr>
          <w:i/>
          <w:iCs/>
        </w:rPr>
        <w:t xml:space="preserve">= branche couverte de façon effective (données disponibles) —</w:t>
      </w:r>
      <w:r>
        <w:rPr>
          <w:i/>
          <w:iCs/>
        </w:rPr>
        <w:t xml:space="preserve"> </w:t>
      </w:r>
      <w:r>
        <w:rPr>
          <w:i/>
          <w:iCs/>
        </w:rPr>
        <w:t xml:space="preserve">✓</w:t>
      </w:r>
      <w:r>
        <w:rPr>
          <w:i/>
          <w:iCs/>
        </w:rPr>
        <w:t xml:space="preserve"> </w:t>
      </w:r>
      <w:r>
        <w:rPr>
          <w:i/>
          <w:iCs/>
        </w:rPr>
        <w:t xml:space="preserve">= branche prévue légalement, données non encore consolidées — — = branche non prévue dans le régime.</w:t>
      </w:r>
    </w:p>
    <w:p>
      <w:pPr>
        <w:pStyle w:val="TableNoteSource"/>
      </w:pPr>
      <w:r>
        <w:t xml:space="preserve">Sources : CNSS (cnss.cd, 2026)</w:t>
      </w:r>
      <w:r>
        <w:rPr>
          <w:rStyle w:val="FootnoteReference"/>
        </w:rPr>
        <w:footnoteReference w:id="108"/>
      </w:r>
      <w:r>
        <w:t xml:space="preserve"> </w:t>
      </w:r>
      <w:r>
        <w:t xml:space="preserve">· CNSSAP (cnssap.cd, 2026)</w:t>
      </w:r>
      <w:r>
        <w:rPr>
          <w:rStyle w:val="FootnoteReference"/>
        </w:rPr>
        <w:footnoteReference w:id="109"/>
      </w:r>
      <w:r>
        <w:t xml:space="preserve"> </w:t>
      </w:r>
      <w:r>
        <w:t xml:space="preserve">· Premier bulletin RDC (2023)</w:t>
      </w:r>
      <w:r>
        <w:rPr>
          <w:rStyle w:val="FootnoteReference"/>
        </w:rPr>
        <w:footnoteReference w:id="110"/>
      </w:r>
    </w:p>
    <w:bookmarkEnd w:id="111"/>
    <w:bookmarkStart w:id="113" w:name="regimes-speciaux-non-valide"/>
    <w:p>
      <w:pPr>
        <w:pStyle w:val="Heading3"/>
      </w:pPr>
      <w:r>
        <w:t xml:space="preserve">Régimes spéciaux</w:t>
      </w:r>
    </w:p>
    <w:p>
      <w:pPr>
        <w:pStyle w:val="Normal"/>
      </w:pPr>
      <w:r>
        <w:t xml:space="preserve">Les régimes spéciaux couvrent des catégories professionnelles spécifiques de l'État. À l'exception du régime des parlementaires, ces régimes sont en grande partie financés par allocation budgétaire du Trésor public et non par cotisations.</w:t>
      </w:r>
    </w:p>
    <w:p>
      <w:pPr>
        <w:pStyle w:val="TableTitle"/>
      </w:pPr>
      <w:r>
        <w:rPr>
          <w:b/>
          <w:bCs/>
        </w:rPr>
        <w:t xml:space="preserve">Tableau 2.2</w:t>
      </w:r>
      <w:r>
        <w:t xml:space="preserve"> </w:t>
      </w:r>
      <w:r>
        <w:t xml:space="preserve">— Régimes spéciaux (financement par allocation budgétaire)</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couverte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Branches C102 prévues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militaires (FAC, PNC)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Forces armées, Police nationale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magistrats civils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Magistrats du siège et du parquet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Membres de l'Assemblée nationale et du Sénat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 dotation</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Mixte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Autres régimes budgétaires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Autres catégories spécifiques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À préciser</w:t>
            </w:r>
          </w:p>
        </w:tc>
      </w:tr>
    </w:tbl>
    <w:p>
      <w:pPr>
        <w:pStyle w:val="TableNoteSource"/>
      </w:pPr>
      <w:r>
        <w:t xml:space="preserve">Légende :</w:t>
      </w:r>
      <w:r>
        <w:t xml:space="preserve"> </w:t>
      </w:r>
      <w:r>
        <w:t xml:space="preserve">✓</w:t>
      </w:r>
      <w:r>
        <w:t xml:space="preserve"> </w:t>
      </w:r>
      <w:r>
        <w:t xml:space="preserve">= branche couverte de façon effective.</w:t>
      </w:r>
      <w:r>
        <w:br/>
      </w:r>
      <w:r>
        <w:t xml:space="preserve">Note : les branches couvertes par les régimes spéciaux sont identifiées sur base du premier bulletin (2023). La collecte des données effectives fera l'objet de démarches spécifiques dans le cadre du présent bulletin.</w:t>
      </w:r>
      <w:r>
        <w:br/>
      </w:r>
      <w:r>
        <w:t xml:space="preserve">Source : Premier bulletin RDC (2023)</w:t>
      </w:r>
      <w:r>
        <w:rPr>
          <w:rStyle w:val="FootnoteReference"/>
        </w:rPr>
        <w:footnoteReference w:id="112"/>
      </w:r>
    </w:p>
    <w:bookmarkEnd w:id="113"/>
    <w:bookmarkStart w:id="123" w:name="protection-de-la-sante-non-valide"/>
    <w:p>
      <w:pPr>
        <w:pStyle w:val="Heading3"/>
      </w:pPr>
      <w:r>
        <w:t xml:space="preserve">Protection de la santé</w:t>
      </w:r>
    </w:p>
    <w:p>
      <w:pPr>
        <w:pStyle w:val="Normal"/>
      </w:pPr>
      <w:r>
        <w:t xml:space="preserve">La protection de la santé est organisée par segment de population. L'axe principal est la</w:t>
      </w:r>
      <w:r>
        <w:t xml:space="preserve"> </w:t>
      </w:r>
      <w:r>
        <w:rPr>
          <w:b/>
          <w:bCs/>
        </w:rPr>
        <w:t xml:space="preserve">population bénéficiaire</w:t>
      </w:r>
      <w:r>
        <w:t xml:space="preserve">, ce qui permet de visualiser les lacunes de couverture entre segments.</w:t>
      </w:r>
    </w:p>
    <w:p>
      <w:pPr>
        <w:pStyle w:val="TableTitle"/>
      </w:pPr>
      <w:r>
        <w:rPr>
          <w:b/>
          <w:bCs/>
        </w:rPr>
        <w:t xml:space="preserve">Tableau 2.3</w:t>
      </w:r>
      <w:r>
        <w:t xml:space="preserve"> </w:t>
      </w:r>
      <w:r>
        <w:t xml:space="preserve">— Protection de la santé par segment de population</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Segment de population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du dispositif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Travailleurs privé formel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Afia Bora (paquet de base obligatoire)</w:t>
            </w:r>
            <w:r>
              <w:rPr>
                <w:rStyle w:val="FootnoteReference"/>
              </w:rPr>
              <w:footnoteReference w:id="114"/>
            </w:r>
            <w:r>
              <w:t xml:space="preserve"> </w:t>
            </w:r>
            <w:r>
              <w:t xml:space="preserve">[1]</w:t>
            </w:r>
            <w:r>
              <w:rPr>
                <w:rStyle w:val="FootnoteReference"/>
              </w:rPr>
              <w:footnoteReference w:id="115"/>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employeur/salarié</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Travailleurs informels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régime informel [1]</w:t>
            </w:r>
            <w:r>
              <w:rPr>
                <w:rStyle w:val="FootnoteReference"/>
              </w:rPr>
              <w:footnoteReference w:id="116"/>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En déploiement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Mères et nouveau-nés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Kobota Ofele (gratuité maternité) [1]</w:t>
            </w:r>
            <w:r>
              <w:rPr>
                <w:rStyle w:val="FootnoteReference"/>
              </w:rPr>
              <w:footnoteReference w:id="117"/>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Financement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Couverture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Afia Bora Prime [1]</w:t>
            </w:r>
            <w:r>
              <w:rPr>
                <w:rStyle w:val="FootnoteReference"/>
              </w:rPr>
              <w:footnoteReference w:id="118"/>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Enseignants EPST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 (Mutuelle agréée) [2]</w:t>
            </w:r>
            <w:r>
              <w:rPr>
                <w:rStyle w:val="FootnoteReference"/>
              </w:rPr>
              <w:footnoteReference w:id="119"/>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membres +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générale (volontaire)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Mutuelles de santé volontaires (&gt; 200)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Diverses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membres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non consolidé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Militaires, magistrats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d'assistance médicale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compétent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bl>
    <w:p>
      <w:pPr>
        <w:pStyle w:val="TableNoteSource"/>
      </w:pPr>
      <w:r>
        <w:rPr>
          <w:i/>
          <w:iCs/>
        </w:rPr>
        <w:t xml:space="preserve">Légende : Opérationnel = dispositif juridiquement institué et fonctionnant à la date de rédaction — En déploiement = cadre légal adopté, mise en œuvre en cours — Actif = dispositif en activité, données non consolidées au niveau national.</w:t>
      </w:r>
    </w:p>
    <w:p>
      <w:pPr>
        <w:pStyle w:val="TableNoteSource"/>
      </w:pPr>
      <w:r>
        <w:t xml:space="preserve">Sources : FSS (fss.cd, juin 2026)</w:t>
      </w:r>
      <w:r>
        <w:rPr>
          <w:rStyle w:val="FootnoteReference"/>
        </w:rPr>
        <w:footnoteReference w:id="120"/>
      </w:r>
      <w:r>
        <w:t xml:space="preserve"> </w:t>
      </w:r>
      <w:r>
        <w:t xml:space="preserve">· Premier bulletin RDC (2023), tableau 9</w:t>
      </w:r>
      <w:r>
        <w:rPr>
          <w:rStyle w:val="FootnoteReference"/>
        </w:rPr>
        <w:footnoteReference w:id="121"/>
      </w:r>
      <w:r>
        <w:t xml:space="preserve"> </w:t>
      </w:r>
      <w:r>
        <w:t xml:space="preserve">· Loi n°18/035 (2018) / Décret n°22/13 (2022)</w:t>
      </w:r>
      <w:r>
        <w:rPr>
          <w:rStyle w:val="FootnoteReference"/>
        </w:rPr>
        <w:footnoteReference w:id="122"/>
      </w:r>
      <w:r>
        <w:br/>
      </w:r>
      <w:r>
        <w:t xml:space="preserve">Note : Les mutuelles volontaires ne sont pas incluses dans les indicateurs de couverture du présent bulletin, conformément aux critères définis en section 2.3.</w:t>
      </w:r>
    </w:p>
    <w:bookmarkEnd w:id="123"/>
    <w:bookmarkStart w:id="136" w:name="Xaba88f253074b18ed779c93f80f71a3cba53fb6"/>
    <w:p>
      <w:pPr>
        <w:pStyle w:val="Heading3"/>
      </w:pPr>
      <w:r>
        <w:t xml:space="preserve">Programmes d'assistance sociale et initiatives non contributives</w:t>
      </w:r>
    </w:p>
    <w:p>
      <w:pPr>
        <w:pStyle w:val="Normal"/>
      </w:pPr>
      <w:r>
        <w:t xml:space="preserve">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pPr>
        <w:pStyle w:val="Normal"/>
      </w:pPr>
      <w:r>
        <w:t xml:space="preserve">La Recommandation no 202 de l'OIT (2012)</w:t>
      </w:r>
      <w:r>
        <w:rPr>
          <w:rStyle w:val="FootnoteReference"/>
        </w:rPr>
        <w:footnoteReference w:id="124"/>
      </w:r>
      <w:r>
        <w:t xml:space="preserve"> </w:t>
      </w:r>
      <w:r>
        <w:t xml:space="preserve">définit les</w:t>
      </w:r>
      <w:r>
        <w:t xml:space="preserve"> </w:t>
      </w:r>
      <w:r>
        <w:rPr>
          <w:b/>
          <w:bCs/>
        </w:rPr>
        <w:t xml:space="preserve">socles de protection sociale</w:t>
      </w:r>
      <w:r>
        <w:t xml:space="preserve"> </w:t>
      </w:r>
      <w:r>
        <w:t xml:space="preserve">comme des garanties élémentaires devant couvrir toute la population, y compris ceux qui ne participent à aucun régime contributif. En RDC, cette fonction est partiellement assurée par un ensemble de</w:t>
      </w:r>
      <w:r>
        <w:t xml:space="preserve"> </w:t>
      </w:r>
      <w:r>
        <w:rPr>
          <w:b/>
          <w:bCs/>
        </w:rPr>
        <w:t xml:space="preserve">programmes non contributifs et d'initiatives sectorielles</w:t>
      </w:r>
      <w:r>
        <w:t xml:space="preserve">, portés soit par le gouvernement, soit par des partenaires techniques et financiers. [Premier bulletin 2023]</w:t>
      </w:r>
      <w:r>
        <w:rPr>
          <w:rStyle w:val="FootnoteReference"/>
        </w:rPr>
        <w:footnoteReference w:id="125"/>
      </w:r>
    </w:p>
    <w:p>
      <w:pPr>
        <w:pStyle w:val="Normal"/>
      </w:pPr>
      <w:r>
        <w:t xml:space="preserve">Ces programmes se distinguent des régimes précédents par trois caractéristiques structurelles : ils sont entièrement</w:t>
      </w:r>
      <w:r>
        <w:t xml:space="preserve"> </w:t>
      </w:r>
      <w:r>
        <w:rPr>
          <w:b/>
          <w:bCs/>
        </w:rPr>
        <w:t xml:space="preserve">financés par des ressources publiques ou des contributions extérieures</w:t>
      </w:r>
      <w:r>
        <w:t xml:space="preserve">, sans cotisation des bénéficiaires ; ils ne confèrent généralement</w:t>
      </w:r>
      <w:r>
        <w:t xml:space="preserve"> </w:t>
      </w:r>
      <w:r>
        <w:rPr>
          <w:b/>
          <w:bCs/>
        </w:rPr>
        <w:t xml:space="preserve">aucun droit statutaire permanent</w:t>
      </w:r>
      <w:r>
        <w:t xml:space="preserve"> </w:t>
      </w:r>
      <w:r>
        <w:t xml:space="preserve">susceptible d'être invoqué par les intéressés ; et leur pérennité dépend des décisions budgétaires annuelles ou des cycles de financement des bailleurs. Cette fragilité institutionnelle est une limite importante à leur intégration dans les indicateurs de couverture ; ils sont néanmoins recensés ici car ils constituent, pour les populations concernées, la seule forme de protection sociale accessible.</w:t>
      </w:r>
    </w:p>
    <w:p>
      <w:pPr>
        <w:pStyle w:val="TableTitle"/>
      </w:pPr>
      <w:r>
        <w:rPr>
          <w:b/>
          <w:bCs/>
        </w:rPr>
        <w:t xml:space="preserve">Tableau 2.4</w:t>
      </w:r>
      <w:r>
        <w:t xml:space="preserve"> </w:t>
      </w:r>
      <w:r>
        <w:t xml:space="preserve">— Programmes d'assistance sociale et initiatives non contributives (actifs au 31.12.2025)</w:t>
      </w:r>
    </w:p>
    <w:tbl>
      <w:tblPr>
        <w:tblStyle w:val="ILO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d'intervention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cible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Bailleur principal</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Responsable mise en œuvre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Transferts de ressources sans conditions</w:t>
            </w:r>
            <w:r>
              <w:rPr>
                <w:rStyle w:val="FootnoteReference"/>
              </w:rPr>
              <w:footnoteReference w:id="126"/>
            </w:r>
            <w:r>
              <w:br/>
            </w:r>
            <w:r>
              <w:rPr>
                <w:i/>
                <w:iCs/>
              </w:rPr>
              <w:t xml:space="preserve">Début : continu (2000s) — Actif au 31.12.2025</w:t>
            </w:r>
            <w:r>
              <w:t xml:space="preserve"> </w:t>
            </w:r>
            <w:r>
              <w:t xml:space="preserve">[1]</w:t>
            </w:r>
            <w:r>
              <w:rPr>
                <w:rStyle w:val="FootnoteReference"/>
              </w:rPr>
              <w:footnoteReference w:id="127"/>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monétaires et alimentaires inconditionnels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Ménages en insécurité alimentaire ; déplacés internes ; zones de conflit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Donateurs internationaux (UE, USAID, RU…)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Est DRC (prioritaire) ; 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Cantines scolaires</w:t>
            </w:r>
            <w:r>
              <w:rPr>
                <w:rStyle w:val="FootnoteReference"/>
              </w:rPr>
              <w:footnoteReference w:id="128"/>
            </w:r>
            <w:r>
              <w:br/>
            </w:r>
            <w:r>
              <w:rPr>
                <w:i/>
                <w:iCs/>
              </w:rPr>
              <w:t xml:space="preserve">Début : 2023 (pilote) — Statut 2025 : en cours (données non consolidées)</w:t>
            </w:r>
            <w:r>
              <w:t xml:space="preserve"> </w:t>
            </w:r>
            <w:r>
              <w:t xml:space="preserve">[1]</w:t>
            </w:r>
            <w:r>
              <w:rPr>
                <w:rStyle w:val="FootnoteReference"/>
              </w:rPr>
              <w:footnoteReference w:id="129"/>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en nature (repas nutritifs en milieu scolaire)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scolarisés dans les écoles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donateurs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MEPST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Phase pilote (périmètre à préciser)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(pilote)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Cash + Nutrition</w:t>
            </w:r>
            <w:r>
              <w:rPr>
                <w:rStyle w:val="FootnoteReference"/>
              </w:rPr>
              <w:footnoteReference w:id="130"/>
            </w:r>
            <w:r>
              <w:br/>
            </w:r>
            <w:r>
              <w:rPr>
                <w:i/>
                <w:iCs/>
              </w:rPr>
              <w:t xml:space="preserve">Début : 2021 (données disponibles) — Actif (intermittent) au 31.12.2025</w:t>
            </w:r>
            <w:r>
              <w:t xml:space="preserve"> </w:t>
            </w:r>
            <w:r>
              <w:t xml:space="preserve">[2]</w:t>
            </w:r>
            <w:r>
              <w:rPr>
                <w:rStyle w:val="FootnoteReference"/>
              </w:rPr>
              <w:footnoteReference w:id="131"/>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monétaires + soutien nutritionnel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malnutris ; ménages vulnérables (urgence humanitaire)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donateurs institutionnels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partenaires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Tanganyika (et autres provinces)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(intermittent)</w:t>
            </w:r>
          </w:p>
        </w:tc>
      </w:tr>
    </w:tbl>
    <w:p>
      <w:pPr>
        <w:pStyle w:val="TableNoteSource"/>
      </w:pPr>
      <w:r>
        <w:rPr>
          <w:i/>
          <w:iCs/>
        </w:rPr>
        <w:t xml:space="preserve">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pPr>
        <w:pStyle w:val="TableNoteSource"/>
      </w:pPr>
      <w:r>
        <w:t xml:space="preserve">Sources : Premier bulletin RDC (2023), ch. 2.3</w:t>
      </w:r>
      <w:r>
        <w:rPr>
          <w:rStyle w:val="FootnoteReference"/>
        </w:rPr>
        <w:footnoteReference w:id="132"/>
      </w:r>
      <w:r>
        <w:t xml:space="preserve"> </w:t>
      </w:r>
      <w:r>
        <w:t xml:space="preserve">· PAM (wfp.org, 2026)</w:t>
      </w:r>
      <w:r>
        <w:rPr>
          <w:rStyle w:val="FootnoteReference"/>
        </w:rPr>
        <w:footnoteReference w:id="133"/>
      </w:r>
      <w:r>
        <w:t xml:space="preserve"> </w:t>
      </w:r>
      <w:r>
        <w:t xml:space="preserve">· UNICEF RDC (2021–2025)</w:t>
      </w:r>
      <w:r>
        <w:rPr>
          <w:rStyle w:val="FootnoteReference"/>
        </w:rPr>
        <w:footnoteReference w:id="134"/>
      </w:r>
      <w:r>
        <w:t xml:space="preserve"> </w:t>
      </w:r>
      <w:r>
        <w:t xml:space="preserve">· R202 (OIT, 2012)</w:t>
      </w:r>
      <w:r>
        <w:rPr>
          <w:rStyle w:val="FootnoteReference"/>
        </w:rPr>
        <w:footnoteReference w:id="135"/>
      </w:r>
      <w:r>
        <w:br/>
      </w:r>
      <w:r>
        <w:rPr>
          <w:i/>
          <w:iCs/>
        </w:rPr>
        <w:t xml:space="preserve">La liste est indicative et non exhaustive. Une cartographie complète des initiatives actives en 2025 dépasse le périmètre du présent chapitre.</w:t>
      </w:r>
    </w:p>
    <w:bookmarkEnd w:id="136"/>
    <w:bookmarkStart w:id="146" w:name="X54050956f8d7348d1ef7368b9706f9b1ebc5d30"/>
    <w:p>
      <w:pPr>
        <w:pStyle w:val="Heading3"/>
      </w:pPr>
      <w:r>
        <w:t xml:space="preserve">Politiques sectorielles à dimension protectrice</w:t>
      </w:r>
    </w:p>
    <w:p>
      <w:pPr>
        <w:pStyle w:val="Normal"/>
      </w:pPr>
      <w:r>
        <w:t xml:space="preserve">Au-delà des régimes contributifs et des programmes d'assistance sociale décrits dans les tableaux précédents, le paysage de la protection sociale en RDC comprend un ensemble de dispositifs dont la finalité protectrice est établie, mais qui ne relèvent pas à proprement parler de l'assistance sociale — c'est-à-dire qu'ils n'opèrent pas par transferts individuels ciblés vers des bénéficiaires identifiés. Il s'agit de</w:t>
      </w:r>
      <w:r>
        <w:t xml:space="preserve"> </w:t>
      </w:r>
      <w:r>
        <w:rPr>
          <w:b/>
          <w:bCs/>
        </w:rPr>
        <w:t xml:space="preserve">politiques sectorielles à dimension protectrice</w:t>
      </w:r>
      <w:r>
        <w:t xml:space="preserve"> </w:t>
      </w:r>
      <w:r>
        <w:t xml:space="preserve">: politiques de gratuité d'accès à un service public, soins préventifs à portée universelle, et programmes d'activation par l'emploi.</w:t>
      </w:r>
    </w:p>
    <w:p>
      <w:pPr>
        <w:pStyle w:val="Normal"/>
      </w:pPr>
      <w:r>
        <w:t xml:space="preserve">Conformément au cadre méthodologique du présent bulletin (Annexe A.1, Niveau 3), ces dispositifs sont mentionnés à titre contextuel. Leur finalité protectrice est reconnue : ils réduisent une vulnérabilité — éducative, sanitaire ou économique — en supprimant un obstacle financier d'accès ou en créant un revenu transitoire. Ils ne sont cependant pas agrégés dans les indicateurs de couverture car ils ne donnent pas lieu, dans l'état actuel des données disponibles, à des mesures individualisables de personnes protégées.</w:t>
      </w:r>
    </w:p>
    <w:p>
      <w:pPr>
        <w:pStyle w:val="TableTitle"/>
      </w:pPr>
      <w:r>
        <w:rPr>
          <w:b/>
          <w:bCs/>
        </w:rPr>
        <w:t xml:space="preserve">Tableau 2.5</w:t>
      </w:r>
      <w:r>
        <w:t xml:space="preserve"> </w:t>
      </w:r>
      <w:r>
        <w:t xml:space="preserve">— Politiques sectorielles à dimension protectrice — mention contextuelle (Niveau 3)</w:t>
      </w:r>
    </w:p>
    <w:tbl>
      <w:tblPr>
        <w:tblStyle w:val="ILOTable"/>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Nature de l'effet protecteur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visée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Responsable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Gratuité de l'enseignement primaire public</w:t>
            </w:r>
            <w:r>
              <w:rPr>
                <w:rStyle w:val="FootnoteReference"/>
              </w:rPr>
              <w:footnoteReference w:id="137"/>
            </w:r>
            <w:r>
              <w:br/>
            </w:r>
            <w:r>
              <w:rPr>
                <w:i/>
                <w:iCs/>
              </w:rPr>
              <w:t xml:space="preserve">Depuis rentrée sept. 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Suppression des frais de scolarité — réduction de la vulnérabilité éducative des ménages pauvres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en âge scolaire (écoles primaires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MEPST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Gratuité de l'accouchement en formations sanitaires publiques</w:t>
            </w:r>
            <w:r>
              <w:rPr>
                <w:rStyle w:val="FootnoteReference"/>
              </w:rPr>
              <w:footnoteReference w:id="138"/>
            </w:r>
            <w:r>
              <w:br/>
            </w:r>
            <w:r>
              <w:rPr>
                <w:i/>
                <w:iCs/>
              </w:rPr>
              <w:t xml:space="preserve">Cadre légal antérieur à 2019 — dispositif distinct du FSS Kobota Ofele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Suppression des frais d'accouchement — réduction de la mortalité maternelle et du risque financier lié à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enceintes (formations sanitaires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MSPHPS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 (application variable)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Partiellement opérationnel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préventifs et vaccination (programmes MSPHPS)</w:t>
            </w:r>
            <w:r>
              <w:rPr>
                <w:rStyle w:val="FootnoteReference"/>
              </w:rPr>
              <w:footnoteReference w:id="139"/>
            </w:r>
            <w:r>
              <w:br/>
            </w:r>
            <w:r>
              <w:rPr>
                <w:i/>
                <w:iCs/>
              </w:rPr>
              <w:t xml:space="preserve">Vaccinations, moustiquaires, kits médicaux, dépistage VIH/TB — continu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Prévention des risques sanitaires — réduction de la vulnérabilité morbide des populations non couvertes par une assurance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de moins de 5 ans, PVVIH,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MSPHPS + partenaires (OMS, UNICEF, GAVI)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(données non consolidées)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Programmes de travaux à Haute Intensité de Main d'Œuvre (HIMO / THIMO)</w:t>
            </w:r>
            <w:r>
              <w:rPr>
                <w:rStyle w:val="FootnoteReference"/>
              </w:rPr>
              <w:footnoteReference w:id="140"/>
            </w:r>
            <w:r>
              <w:br/>
            </w:r>
            <w:r>
              <w:rPr>
                <w:i/>
                <w:iCs/>
              </w:rPr>
              <w:t xml:space="preserve">Référence principale : composante THIMO du projet STEP — clôturé fév. 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Création temporaire d'emplois et de revenus — activation économique des ménages vulnérables en zone de conflit ou post-conflit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Communautés vulnérables accueillant des personnes déplacées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Social de la RDC + bailleurs (BM / IDA)</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Est DRC (provinces de l'Est)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Clôturé (STEP fév. 2024) — successeurs non documentés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Centres de promotion sociale et d'apprentissage professionnel (MINAS)</w:t>
            </w:r>
            <w:r>
              <w:rPr>
                <w:rStyle w:val="FootnoteReference"/>
              </w:rPr>
              <w:footnoteReference w:id="141"/>
            </w:r>
            <w:r>
              <w:br/>
            </w:r>
            <w:r>
              <w:rPr>
                <w:i/>
                <w:iCs/>
              </w:rPr>
              <w:t xml:space="preserve">Continu — cadre légal : Décret n°05/176 du 24 nov. 2005 (PNPS)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Insertion sociale et professionnelle — réduction de la vulnérabilité des jeunes, personnes handicapées et groupes en situation précaire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Jeunes 9–24 ans ; personnes vivant avec un handicap ; groupes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MINAS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bl>
    <w:p>
      <w:pPr>
        <w:pStyle w:val="TableNoteSource"/>
      </w:pPr>
      <w:r>
        <w:rPr>
          <w:i/>
          <w:iCs/>
        </w:rPr>
        <w:t xml:space="preserve">Légende : les dispositifs de ce tableau ne sont pas intégrés dans les indicateurs de couverture ODD 1.3.1 du présent bulletin. Leur inscription ici répond à un souci de complétude institutionnelle. Les données chiffrées mentionnées en note sont indicatives ; elles ne constituent pas des indicateurs de couverture effective comparables à ceux du Chapitre 4.</w:t>
      </w:r>
    </w:p>
    <w:p>
      <w:pPr>
        <w:pStyle w:val="TableNoteSource"/>
      </w:pPr>
      <w:r>
        <w:t xml:space="preserve">Sources : Premier bulletin RDC (2023), tableaux 10–12</w:t>
      </w:r>
      <w:r>
        <w:rPr>
          <w:rStyle w:val="FootnoteReference"/>
        </w:rPr>
        <w:footnoteReference w:id="142"/>
      </w:r>
      <w:r>
        <w:t xml:space="preserve"> </w:t>
      </w:r>
      <w:r>
        <w:t xml:space="preserve">· Programmes gouvernementaux RDC (compilation, juin 2026)</w:t>
      </w:r>
      <w:r>
        <w:rPr>
          <w:rStyle w:val="FootnoteReference"/>
        </w:rPr>
        <w:footnoteReference w:id="143"/>
      </w:r>
      <w:r>
        <w:t xml:space="preserve"> </w:t>
      </w:r>
      <w:r>
        <w:t xml:space="preserve">· SNPS (Gouvernement RDC, 2016)</w:t>
      </w:r>
      <w:r>
        <w:rPr>
          <w:rStyle w:val="FootnoteReference"/>
        </w:rPr>
        <w:footnoteReference w:id="144"/>
      </w:r>
      <w:r>
        <w:t xml:space="preserve"> </w:t>
      </w:r>
      <w:r>
        <w:t xml:space="preserve">· Annexe A.1 du présent bulletin (cadre méthodologique, Niveau 3)</w:t>
      </w:r>
      <w:r>
        <w:rPr>
          <w:rStyle w:val="FootnoteReference"/>
        </w:rPr>
        <w:footnoteReference w:id="145"/>
      </w:r>
    </w:p>
    <w:bookmarkEnd w:id="146"/>
    <w:bookmarkEnd w:id="147"/>
    <w:bookmarkEnd w:id="148"/>
    <w:bookmarkStart w:id="194" w:name="X994a9a602a833b2977f51bdcbbad21ea488e206"/>
    <w:p>
      <w:pPr>
        <w:pStyle w:val="Heading1"/>
      </w:pPr>
      <w:r>
        <w:t xml:space="preserve">Chapitre 4 — Couverture effective et prestations</w:t>
      </w:r>
    </w:p>
    <w:bookmarkStart w:id="153" w:name="Xab89a7b5115dfcc445fe4e333560ece931f48a3"/>
    <w:p>
      <w:pPr>
        <w:pStyle w:val="Heading2"/>
      </w:pPr>
      <w:r>
        <w:t xml:space="preserve">4.2 — Protection dans la vieillesse</w:t>
      </w:r>
    </w:p>
    <w:bookmarkStart w:id="150" w:name="X5142d79ada3de8217c6c24f2e0277835d03e657"/>
    <w:p>
      <w:pPr>
        <w:pStyle w:val="Heading3"/>
      </w:pPr>
      <w:r>
        <w:t xml:space="preserve">Bénéficiaires de pensions de vieillesse</w:t>
      </w:r>
    </w:p>
    <w:p>
      <w:pPr>
        <w:pStyle w:val="Normal"/>
      </w:pPr>
      <w:r>
        <w:t xml:space="preserve">La branche vieillesse constitue la principale branche de long terme des régimes contributifs en RDC. Elle couvre les travailleurs du secteur privé via la CNSS et les agents publics via la CNSSAP. Le tableau suivant retrace l'évolution du nombre de pensionnés de vieillesse sur la période 2019–2025.</w:t>
      </w:r>
    </w:p>
    <w:p>
      <w:pPr>
        <w:pStyle w:val="TableTitle"/>
      </w:pPr>
      <w:r>
        <w:rPr>
          <w:b/>
          <w:bCs/>
        </w:rPr>
        <w:t xml:space="preserve">Tableau 4.1</w:t>
      </w:r>
      <w:r>
        <w:t xml:space="preserve"> </w:t>
      </w:r>
      <w:r>
        <w:t xml:space="preserve">— Bénéficiaires de pensions de vieillesse, CNSS et CNSSAP (2019–2025) [src]</w:t>
      </w:r>
      <w:r>
        <w:rPr>
          <w:rStyle w:val="FootnoteReference"/>
        </w:rPr>
        <w:footnoteReference w:id="149"/>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38 641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39 465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42 407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44 094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1 235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4 982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et CNSSAP (2020–2022). Régimes spéciaux (FARDC, magistrats, parlementaires) : données non disponibles — à instruire. Note : Les valeurs CNSSAP pour 2019 sont indisponibles car l'institution n'avait pas encore transmis d'ESS pour cet exercice. La forte progression entre 2020 (814 pensionnés) et 2022 (4 982) reflète les premières vagues de liquidation de droits à pension depuis la création de la CNSSAP en 2015.</w:t>
      </w:r>
    </w:p>
    <w:bookmarkEnd w:id="150"/>
    <w:bookmarkStart w:id="152" w:name="X139bfc60e109c2dc1f5fecb983cfb68823512ed"/>
    <w:p>
      <w:pPr>
        <w:pStyle w:val="Heading3"/>
      </w:pPr>
      <w:r>
        <w:t xml:space="preserve">Adéquation des pensions de vieillesse</w:t>
      </w:r>
    </w:p>
    <w:p>
      <w:pPr>
        <w:pStyle w:val="Normal"/>
      </w:pPr>
      <w:r>
        <w:t xml:space="preserve">L'adéquation des pensions est appréciée par leur rapport au seuil de pauvreté national. Le tableau présente les montants unitaires de pension et le seuil de pauvreté de référence pour la même période.</w:t>
      </w:r>
    </w:p>
    <w:p>
      <w:pPr>
        <w:pStyle w:val="TableTitle"/>
      </w:pPr>
      <w:r>
        <w:rPr>
          <w:b/>
          <w:bCs/>
        </w:rPr>
        <w:t xml:space="preserve">Tableau 4.2</w:t>
      </w:r>
      <w:r>
        <w:t xml:space="preserve"> </w:t>
      </w:r>
      <w:r>
        <w:t xml:space="preserve">— Adéquation des pensions de vieillesse, CNSS (2019–2025) [src]</w:t>
      </w:r>
      <w:r>
        <w:rPr>
          <w:rStyle w:val="FootnoteReference"/>
        </w:rPr>
        <w:footnoteReference w:id="151"/>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CNSS — montant unitaire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 estimation)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 seuil de pauvreté : estimation à construire à partir des données INS.</w:t>
      </w:r>
    </w:p>
    <w:bookmarkEnd w:id="152"/>
    <w:bookmarkEnd w:id="153"/>
    <w:bookmarkStart w:id="160" w:name="X0ce4a42c0eb9f4e2ccf6bf2efca2ab92e836687"/>
    <w:p>
      <w:pPr>
        <w:pStyle w:val="Heading2"/>
      </w:pPr>
      <w:r>
        <w:t xml:space="preserve">4.3 — Protection des personnes en âge actif</w:t>
      </w:r>
    </w:p>
    <w:bookmarkStart w:id="155" w:name="X073c4f6bcfc66e60ddb8231d622cb5bff802ec5"/>
    <w:p>
      <w:pPr>
        <w:pStyle w:val="Heading3"/>
      </w:pPr>
      <w:r>
        <w:t xml:space="preserve">Couverture des travailleurs — cotisants actifs</w:t>
      </w:r>
    </w:p>
    <w:p>
      <w:pPr>
        <w:pStyle w:val="Normal"/>
      </w:pPr>
      <w:r>
        <w:t xml:space="preserve">Les régimes contributifs couvrent les travailleurs du secteur formel. Le tableau présente l'évolution du nombre d'employeurs enregistrés et de cotisants actifs auprès de la CNSS et de la CNSSAP sur la période 2019–2025.</w:t>
      </w:r>
    </w:p>
    <w:p>
      <w:pPr>
        <w:pStyle w:val="TableTitle"/>
      </w:pPr>
      <w:r>
        <w:rPr>
          <w:b/>
          <w:bCs/>
        </w:rPr>
        <w:t xml:space="preserve">Tableau 4.3</w:t>
      </w:r>
      <w:r>
        <w:t xml:space="preserve"> </w:t>
      </w:r>
      <w:r>
        <w:t xml:space="preserve">— Employeurs enregistrés et cotisants actifs, CNSS et CNSSAP (2019–2025) [src]</w:t>
      </w:r>
      <w:r>
        <w:rPr>
          <w:rStyle w:val="FootnoteReference"/>
        </w:rPr>
        <w:footnoteReference w:id="154"/>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Employeurs enregistrés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613 761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190 545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et CNSSAP (2020–2022). Régimes spéciaux (FARDC, magistrats, parlementaires) : données non disponibles — à instruire.</w:t>
      </w:r>
    </w:p>
    <w:bookmarkEnd w:id="155"/>
    <w:bookmarkStart w:id="157" w:name="protection-maternite-non-valide"/>
    <w:p>
      <w:pPr>
        <w:pStyle w:val="Heading3"/>
      </w:pPr>
      <w:r>
        <w:t xml:space="preserve">Protection maternité</w:t>
      </w:r>
    </w:p>
    <w:p>
      <w:pPr>
        <w:pStyle w:val="Normal"/>
      </w:pPr>
      <w:r>
        <w:t xml:space="preserve">La protection maternité de la CNSS comprend trois prestations distinctes : l'indemnité journalière (compensation du salaire pendant le congé), l'allocation de maternité (forfait à la naissance) et les allocations prénatales (versées avant l'accouchement).</w:t>
      </w:r>
    </w:p>
    <w:p>
      <w:pPr>
        <w:pStyle w:val="TableTitle"/>
      </w:pPr>
      <w:r>
        <w:rPr>
          <w:b/>
          <w:bCs/>
        </w:rPr>
        <w:t xml:space="preserve">Tableau 4.4</w:t>
      </w:r>
      <w:r>
        <w:t xml:space="preserve"> </w:t>
      </w:r>
      <w:r>
        <w:t xml:space="preserve">— Bénéficiaires de prestations maternité, CNSS (2019–2025) [src]</w:t>
      </w:r>
      <w:r>
        <w:rPr>
          <w:rStyle w:val="FootnoteReference"/>
        </w:rPr>
        <w:footnoteReference w:id="156"/>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indemnité journalière maternité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allocation de maternité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allocations prénatales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maternité —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Régimes spéciaux : données non disponibles.</w:t>
      </w:r>
    </w:p>
    <w:p>
      <w:pPr>
        <w:pStyle w:val="Normal"/>
      </w:pPr>
      <w:r>
        <w:rPr>
          <w:b/>
          <w:bCs/>
        </w:rPr>
        <w:t xml:space="preserve">Note méthodologique — faiblesse des chiffres de maternité CNSS :</w:t>
      </w:r>
      <w:r>
        <w:t xml:space="preserve"> </w:t>
      </w:r>
      <w:r>
        <w:t xml:space="preserve">Les effectifs de bénéficiaires de prestations maternité déclarés par la CNSS sont très faibles au regard du nombre de cotisantes actives (moins de 1 % des assurées sur la période). Cette anomalie reflète probablement une sous-déclaration des congés maternité auprès de l'institution, une méconnaissance des droits par les assurées, ou des délais de remboursement qui découragent les demandes. Elle ne doit pas être interprétée comme un faible recours aux soins obstétricaux. Un encadré méthodologique spécifique est prévu dans le bulletin pour documenter cette limite.</w:t>
      </w:r>
    </w:p>
    <w:bookmarkEnd w:id="157"/>
    <w:bookmarkStart w:id="159" w:name="X93d4b188e2d5e1997cc4e0927a4304225310692"/>
    <w:p>
      <w:pPr>
        <w:pStyle w:val="Heading3"/>
      </w:pPr>
      <w:r>
        <w:t xml:space="preserve">Accidents du travail et maladies professionnelles</w:t>
      </w:r>
    </w:p>
    <w:p>
      <w:pPr>
        <w:pStyle w:val="Normal"/>
      </w:pPr>
      <w:r>
        <w:t xml:space="preserve">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p>
      <w:pPr>
        <w:pStyle w:val="TableTitle"/>
      </w:pPr>
      <w:r>
        <w:rPr>
          <w:b/>
          <w:bCs/>
        </w:rPr>
        <w:t xml:space="preserve">Tableau 4.5</w:t>
      </w:r>
      <w:r>
        <w:t xml:space="preserve"> </w:t>
      </w:r>
      <w:r>
        <w:t xml:space="preserve">— Bénéficiaires de rentes d'accidents du travail et maladies professionnelles, CNSS (2019–2025) [src]</w:t>
      </w:r>
      <w:r>
        <w:rPr>
          <w:rStyle w:val="FootnoteReference"/>
        </w:rPr>
        <w:footnoteReference w:id="158"/>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Rentes/allocations incapacité AT/MP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AT/MP —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Frais de réadaptation fonctionnelle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unitaire rente AT/MP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Régimes spéciaux : données non disponibles.</w:t>
      </w:r>
    </w:p>
    <w:bookmarkEnd w:id="159"/>
    <w:bookmarkEnd w:id="160"/>
    <w:bookmarkStart w:id="167" w:name="Xf86aa574e413c13a983826bfc223d8060d7dd61"/>
    <w:p>
      <w:pPr>
        <w:pStyle w:val="Heading2"/>
      </w:pPr>
      <w:r>
        <w:t xml:space="preserve">4.4 — Protection des enfants et des familles</w:t>
      </w:r>
    </w:p>
    <w:bookmarkStart w:id="162" w:name="X7da1873152c1c5eecc3a3af369b66d828b9da00"/>
    <w:p>
      <w:pPr>
        <w:pStyle w:val="Heading3"/>
      </w:pPr>
      <w:r>
        <w:t xml:space="preserve">Allocations familiales — régimes contributifs</w:t>
      </w:r>
    </w:p>
    <w:p>
      <w:pPr>
        <w:pStyle w:val="Normal"/>
      </w:pPr>
      <w:r>
        <w:t xml:space="preserve">Les allocations familiales constituent, en termes de volume de bénéficiaires, la prestation la plus importante de la CNSS. Elles bénéficient aux enfants des travailleurs assurés du secteur privé, sous conditions d'éligibilité définies par la législation nationale.</w:t>
      </w:r>
    </w:p>
    <w:p>
      <w:pPr>
        <w:pStyle w:val="TableTitle"/>
      </w:pPr>
      <w:r>
        <w:rPr>
          <w:b/>
          <w:bCs/>
        </w:rPr>
        <w:t xml:space="preserve">Tableau 4.6</w:t>
      </w:r>
      <w:r>
        <w:t xml:space="preserve"> </w:t>
      </w:r>
      <w:r>
        <w:t xml:space="preserve">— Enfants couverts par les allocations familiales, CNSS et CNSSAP (2019–2025) [src]</w:t>
      </w:r>
      <w:r>
        <w:rPr>
          <w:rStyle w:val="FootnoteReference"/>
        </w:rPr>
        <w:footnoteReference w:id="161"/>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267 445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294 346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396 399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356 423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et CNSSAP (2020–2022). Régimes spéciaux : données non disponibles — à instruire.</w:t>
      </w:r>
    </w:p>
    <w:bookmarkEnd w:id="162"/>
    <w:bookmarkStart w:id="164" w:name="X262bbdddb7cde165cc169afaec4343406c1d826"/>
    <w:p>
      <w:pPr>
        <w:pStyle w:val="Heading3"/>
      </w:pPr>
      <w:r>
        <w:t xml:space="preserve">Adéquation des allocations familiales</w:t>
      </w:r>
    </w:p>
    <w:p>
      <w:pPr>
        <w:pStyle w:val="Normal"/>
      </w:pPr>
      <w:r>
        <w:t xml:space="preserve">L'allocation familiale est versée mensuellement par enfant à charge. Le tableau présente l'évolution du montant unitaire de cette allocation et le seuil de pauvreté par personne pour la même période.</w:t>
      </w:r>
    </w:p>
    <w:p>
      <w:pPr>
        <w:pStyle w:val="TableTitle"/>
      </w:pPr>
      <w:r>
        <w:rPr>
          <w:b/>
          <w:bCs/>
        </w:rPr>
        <w:t xml:space="preserve">Tableau 4.7</w:t>
      </w:r>
      <w:r>
        <w:t xml:space="preserve"> </w:t>
      </w:r>
      <w:r>
        <w:t xml:space="preserve">— Montant de l'allocation familiale CNSS et seuil de pauvreté de référence (2019–2025) [src]</w:t>
      </w:r>
      <w:r>
        <w:rPr>
          <w:rStyle w:val="FootnoteReference"/>
        </w:rPr>
        <w:footnoteReference w:id="163"/>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allocation familiale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par personne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 seuil de pauvreté : estimation à construire à partir des données INS.</w:t>
      </w:r>
    </w:p>
    <w:bookmarkEnd w:id="164"/>
    <w:bookmarkStart w:id="166" w:name="X15ffa240d97e719e2ce640c14414307b19d0b60"/>
    <w:p>
      <w:pPr>
        <w:pStyle w:val="Heading3"/>
      </w:pPr>
      <w:r>
        <w:t xml:space="preserve">Programmes non contributifs ciblant enfants et familles</w:t>
      </w:r>
    </w:p>
    <w:p>
      <w:pPr>
        <w:pStyle w:val="Normal"/>
      </w:pPr>
      <w:r>
        <w:t xml:space="preserve">Le tableau recense les programmes d'assistance sociale non contributifs ciblant les enfants et les ménages, ainsi que les données de couverture disponibles pour la période considérée.</w:t>
      </w:r>
    </w:p>
    <w:p>
      <w:pPr>
        <w:pStyle w:val="TableTitle"/>
      </w:pPr>
      <w:r>
        <w:rPr>
          <w:b/>
          <w:bCs/>
        </w:rPr>
        <w:t xml:space="preserve">Tableau 4.8</w:t>
      </w:r>
      <w:r>
        <w:t xml:space="preserve"> </w:t>
      </w:r>
      <w:r>
        <w:t xml:space="preserve">— Programmes non contributifs ciblant les enfants et les familles [src]</w:t>
      </w:r>
      <w:r>
        <w:rPr>
          <w:rStyle w:val="FootnoteReference"/>
        </w:rPr>
        <w:footnoteReference w:id="165"/>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(dernière année connue)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Montant moyen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 1 — 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 2 — 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r>
    </w:tbl>
    <w:bookmarkEnd w:id="166"/>
    <w:bookmarkEnd w:id="167"/>
    <w:bookmarkStart w:id="174" w:name="Xd94aeefddf9079d02dc0cd4611d38e08d1810d1"/>
    <w:p>
      <w:pPr>
        <w:pStyle w:val="Heading2"/>
      </w:pPr>
      <w:r>
        <w:t xml:space="preserve">4.5 — Protection en cas d'invalidité</w:t>
      </w:r>
    </w:p>
    <w:bookmarkStart w:id="169" w:name="Xf6a4a96f7d72a7a9167f966ddfdd89ca8312eba"/>
    <w:p>
      <w:pPr>
        <w:pStyle w:val="Heading3"/>
      </w:pPr>
      <w:r>
        <w:t xml:space="preserve">Pensions d'invalidité — régimes contributifs</w:t>
      </w:r>
    </w:p>
    <w:p>
      <w:pPr>
        <w:pStyle w:val="Normal"/>
      </w:pPr>
      <w:r>
        <w:t xml:space="preserve">La branche invalidité couvre les assurés reconnus en incapacité permanente de travail, sous conditions de durée de cotisation préalable. Le tableau présente l'évolution du nombre de pensionnés et du montant unitaire de la pension d'invalidité.</w:t>
      </w:r>
    </w:p>
    <w:p>
      <w:pPr>
        <w:pStyle w:val="TableTitle"/>
      </w:pPr>
      <w:r>
        <w:rPr>
          <w:b/>
          <w:bCs/>
        </w:rPr>
        <w:t xml:space="preserve">Tableau 4.9</w:t>
      </w:r>
      <w:r>
        <w:t xml:space="preserve"> </w:t>
      </w:r>
      <w:r>
        <w:t xml:space="preserve">— Bénéficiaires de pensions d'invalidité, CNSS et CNSSAP (2019–2025) [src]</w:t>
      </w:r>
      <w:r>
        <w:rPr>
          <w:rStyle w:val="FootnoteReference"/>
        </w:rPr>
        <w:footnoteReference w:id="168"/>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unitaire pension invalidité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et CNSSAP (2020–2022). Régimes spéciaux : données non disponibles — à instruire.</w:t>
      </w:r>
    </w:p>
    <w:bookmarkEnd w:id="169"/>
    <w:bookmarkStart w:id="171" w:name="Xa0b9a428c2c42df3bcf5a5cf16c93b0ebd6bd27"/>
    <w:p>
      <w:pPr>
        <w:pStyle w:val="Heading3"/>
      </w:pPr>
      <w:r>
        <w:t xml:space="preserve">Adéquation de la pension d'invalidité</w:t>
      </w:r>
    </w:p>
    <w:p>
      <w:pPr>
        <w:pStyle w:val="Normal"/>
      </w:pPr>
      <w:r>
        <w:t xml:space="preserve">Dans les régimes de la CNSS, la pension d'invalidité et la pension de vieillesse sont fixées au même montant unitaire mensuel par arrêté. Le tableau présente ces montants et le seuil de pauvreté de référence pour la même période.</w:t>
      </w:r>
    </w:p>
    <w:p>
      <w:pPr>
        <w:pStyle w:val="TableTitle"/>
      </w:pPr>
      <w:r>
        <w:rPr>
          <w:b/>
          <w:bCs/>
        </w:rPr>
        <w:t xml:space="preserve">Tableau 4.10</w:t>
      </w:r>
      <w:r>
        <w:t xml:space="preserve"> </w:t>
      </w:r>
      <w:r>
        <w:t xml:space="preserve">— Adéquation de la pension d'invalidité CNSS et seuil de pauvreté (2019–2025) [src]</w:t>
      </w:r>
      <w:r>
        <w:rPr>
          <w:rStyle w:val="FootnoteReference"/>
        </w:rPr>
        <w:footnoteReference w:id="170"/>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invalidité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 seuil de pauvreté : estimation à construire à partir des données INS.</w:t>
      </w:r>
    </w:p>
    <w:bookmarkEnd w:id="171"/>
    <w:bookmarkStart w:id="173" w:name="Xf1f5324215226b246dd4c61172bc8a83cc03183"/>
    <w:p>
      <w:pPr>
        <w:pStyle w:val="Heading3"/>
      </w:pPr>
      <w:r>
        <w:t xml:space="preserve">Programmes non contributifs pour les personnes handicapées</w:t>
      </w:r>
    </w:p>
    <w:p>
      <w:pPr>
        <w:pStyle w:val="Normal"/>
      </w:pPr>
      <w:r>
        <w:t xml:space="preserve">Le tableau recense les programmes d'assistance sociale destinés aux personnes handicapées et les données de couverture disponibles pour la période considérée.</w:t>
      </w:r>
    </w:p>
    <w:p>
      <w:pPr>
        <w:pStyle w:val="TableTitle"/>
      </w:pPr>
      <w:r>
        <w:rPr>
          <w:b/>
          <w:bCs/>
        </w:rPr>
        <w:t xml:space="preserve">Tableau 4.11</w:t>
      </w:r>
      <w:r>
        <w:t xml:space="preserve"> </w:t>
      </w:r>
      <w:r>
        <w:t xml:space="preserve">— Programmes non contributifs pour les personnes handicapées [src]</w:t>
      </w:r>
      <w:r>
        <w:rPr>
          <w:rStyle w:val="FootnoteReference"/>
        </w:rPr>
        <w:footnoteReference w:id="172"/>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bookmarkEnd w:id="173"/>
    <w:bookmarkEnd w:id="174"/>
    <w:bookmarkStart w:id="179" w:name="X057254504ffc1e6e9f25b48c36187f1010dd555"/>
    <w:p>
      <w:pPr>
        <w:pStyle w:val="Heading2"/>
      </w:pPr>
      <w:r>
        <w:t xml:space="preserve">4.6 — Protection en cas de décès et prestations de survie</w:t>
      </w:r>
    </w:p>
    <w:bookmarkStart w:id="176" w:name="X9efb38265d5261748fbff61ad39a69b869cdf61"/>
    <w:p>
      <w:pPr>
        <w:pStyle w:val="Heading3"/>
      </w:pPr>
      <w:r>
        <w:t xml:space="preserve">Pensions de survie et prestations aux ayants droit</w:t>
      </w:r>
    </w:p>
    <w:p>
      <w:pPr>
        <w:pStyle w:val="Normal"/>
      </w:pPr>
      <w:r>
        <w:t xml:space="preserve">Les prestations de survie sont versées aux ayants droit d'un assuré décédé — conjoint survivant et orphelins principalement. La CNSS distingue la pension de survie contributive, les rentes liées aux accidents du travail et une allocation pour frais funéraires.</w:t>
      </w:r>
    </w:p>
    <w:p>
      <w:pPr>
        <w:pStyle w:val="TableTitle"/>
      </w:pPr>
      <w:r>
        <w:rPr>
          <w:b/>
          <w:bCs/>
        </w:rPr>
        <w:t xml:space="preserve">Tableau 4.12</w:t>
      </w:r>
      <w:r>
        <w:t xml:space="preserve"> </w:t>
      </w:r>
      <w:r>
        <w:t xml:space="preserve">— Bénéficiaires de prestations de survie, CNSS et CNSSAP (2019–2025) [src]</w:t>
      </w:r>
      <w:r>
        <w:rPr>
          <w:rStyle w:val="FootnoteReference"/>
        </w:rPr>
        <w:footnoteReference w:id="175"/>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24 725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25 720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28 355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31 524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de survivants AT/MP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 frais funéraires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589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6 964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et CNSSAP (2020–2022). Régimes spéciaux : données non disponibles — à instruire.</w:t>
      </w:r>
    </w:p>
    <w:bookmarkEnd w:id="176"/>
    <w:bookmarkStart w:id="178" w:name="Xd71be3d683c1ad96085ac04255a728cd2592a10"/>
    <w:p>
      <w:pPr>
        <w:pStyle w:val="Heading3"/>
      </w:pPr>
      <w:r>
        <w:t xml:space="preserve">Adéquation des pensions de survie</w:t>
      </w:r>
    </w:p>
    <w:p>
      <w:pPr>
        <w:pStyle w:val="Normal"/>
      </w:pPr>
      <w:r>
        <w:t xml:space="preserve">Le tableau présente les montants unitaires de pension de survie et de pension de vieillesse du même régime, ainsi que le seuil de pauvreté de référence pour la même période.</w:t>
      </w:r>
    </w:p>
    <w:p>
      <w:pPr>
        <w:pStyle w:val="TableTitle"/>
      </w:pPr>
      <w:r>
        <w:rPr>
          <w:b/>
          <w:bCs/>
        </w:rPr>
        <w:t xml:space="preserve">Tableau 4.13</w:t>
      </w:r>
      <w:r>
        <w:t xml:space="preserve"> </w:t>
      </w:r>
      <w:r>
        <w:t xml:space="preserve">— Adéquation des pensions de survie CNSS et seuil de pauvreté (2019–2025) [src]</w:t>
      </w:r>
      <w:r>
        <w:rPr>
          <w:rStyle w:val="FootnoteReference"/>
        </w:rPr>
        <w:footnoteReference w:id="177"/>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survie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frais funéraires CNSS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 seuil de pauvreté : estimation à construire à partir des données INS.</w:t>
      </w:r>
    </w:p>
    <w:bookmarkEnd w:id="178"/>
    <w:bookmarkEnd w:id="179"/>
    <w:bookmarkStart w:id="184" w:name="Xd3323ec71ec98b6715241cd498017312ab5420f"/>
    <w:p>
      <w:pPr>
        <w:pStyle w:val="Heading2"/>
      </w:pPr>
      <w:r>
        <w:t xml:space="preserve">4.7 — Protection en matière de santé</w:t>
      </w:r>
    </w:p>
    <w:p>
      <w:pPr>
        <w:pStyle w:val="Normal"/>
      </w:pPr>
      <w:r>
        <w:t xml:space="preserve">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d'en agréger la couverture effective à l'échelle nationale.</w:t>
      </w:r>
    </w:p>
    <w:bookmarkStart w:id="181" w:name="X08a0a04bf2639d136b6490ed382f6c8942c65f3"/>
    <w:p>
      <w:pPr>
        <w:pStyle w:val="Heading3"/>
      </w:pPr>
      <w:r>
        <w:t xml:space="preserve">Le FSS — Fonds de Solidarité de Santé</w:t>
      </w:r>
    </w:p>
    <w:p>
      <w:pPr>
        <w:pStyle w:val="Normal"/>
      </w:pPr>
      <w:r>
        <w:t xml:space="preserve">Institué par la loi n°18/035 du 13 décembre 2018 et organisé par le décret n°22/13 du 9 avril 2022, le FSS est la caisse nationale d'assurance maladie de la RDC.</w:t>
      </w:r>
      <w:r>
        <w:rPr>
          <w:rStyle w:val="FootnoteReference"/>
        </w:rPr>
        <w:footnoteReference w:id="180"/>
      </w:r>
      <w:r>
        <w:t xml:space="preserve"> </w:t>
      </w:r>
      <w:r>
        <w:t xml:space="preserve">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Kobota Ofele (programme d'assistance de l'État pour les mères et les nouveau-nés, financement non contributif).</w:t>
      </w:r>
    </w:p>
    <w:p>
      <w:pPr>
        <w:pStyle w:val="TableTitle"/>
      </w:pPr>
      <w:r>
        <w:rPr>
          <w:b/>
          <w:bCs/>
        </w:rPr>
        <w:t xml:space="preserve">Tableau 4.14</w:t>
      </w:r>
      <w:r>
        <w:t xml:space="preserve"> </w:t>
      </w:r>
      <w:r>
        <w:t xml:space="preserve">— Indicateurs de couverture FSS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FSS — régime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FSS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Afia Bora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Kobota Ofele (non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[N/A] = institution non encore opérationnelle. [N/D] = donnée non disponible — à extraire des ESS ou à collecter auprès du FSS. Source : ESS OIT — FSS 2022 ; FSS, fss.cd, juin 2026.</w:t>
      </w:r>
    </w:p>
    <w:bookmarkEnd w:id="181"/>
    <w:bookmarkStart w:id="182" w:name="X29b285b5ab960f76b2602a425e599f390968e67"/>
    <w:p>
      <w:pPr>
        <w:pStyle w:val="Heading3"/>
      </w:pPr>
      <w:r>
        <w:t xml:space="preserve">La MESP — Mutuelle des Enseignants de l'EPST</w:t>
      </w:r>
    </w:p>
    <w:p>
      <w:pPr>
        <w:pStyle w:val="Normal"/>
      </w:pPr>
      <w:r>
        <w:t xml:space="preserve">La Mutuelle des Enseignants de l'Enseignement Primaire, Secondaire et Technique (MESP) est un régime de santé statutaire obligatoire antérieur au FSS. Elle couvre les enseignants relevant du ministère de l'EPST selon un mécanisme contributif. Les ESS disponibles portent sur les exercices 2019 à 2022.</w:t>
      </w:r>
    </w:p>
    <w:p>
      <w:pPr>
        <w:pStyle w:val="TableTitle"/>
      </w:pPr>
      <w:r>
        <w:rPr>
          <w:b/>
          <w:bCs/>
        </w:rPr>
        <w:t xml:space="preserve">Tableau 4.15</w:t>
      </w:r>
      <w:r>
        <w:t xml:space="preserve"> </w:t>
      </w:r>
      <w:r>
        <w:t xml:space="preserve">— Indicateurs de couverture MESP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couverts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MESP 2019–2022 (fichiers disponibles, données à extraire). Données 2023–2025 : à collecter auprès de la MESP.</w:t>
      </w:r>
    </w:p>
    <w:bookmarkEnd w:id="182"/>
    <w:bookmarkStart w:id="183" w:name="Xe0e42193e655a8d81666b0fd0f34374e35729e0"/>
    <w:p>
      <w:pPr>
        <w:pStyle w:val="Heading3"/>
      </w:pPr>
      <w:r>
        <w:t xml:space="preserve">Mutuelles de santé volontaires</w:t>
      </w:r>
    </w:p>
    <w:p>
      <w:pPr>
        <w:pStyle w:val="Normal"/>
      </w:pPr>
      <w:r>
        <w:t xml:space="preserve">Les mutuelles de santé à adhésion volontaire constituent un troisième niveau de protection. Elles incluent notamment les structures d'assurance médicale du secteur privé (type SESOPA pour les secteurs pétrolier et bancaire) ainsi que les mutuelles communautaires et associatives. Ces dispositifs sont mentionnés à titre contextuel : ils ne font pas l'objet d'une collecte statistique consolidée dans le cadre de la présente édition du bulletin et leurs données de couverture ne sont pas agrégées dans les indicateurs.</w:t>
      </w:r>
    </w:p>
    <w:bookmarkEnd w:id="183"/>
    <w:bookmarkEnd w:id="184"/>
    <w:bookmarkStart w:id="193" w:name="Xf5578adc30b0b8356f177d90dfd1eb58484e22d"/>
    <w:p>
      <w:pPr>
        <w:pStyle w:val="Heading2"/>
      </w:pPr>
      <w:r>
        <w:t xml:space="preserve">4.8 — Dépenses et financement du système</w:t>
      </w:r>
    </w:p>
    <w:bookmarkStart w:id="186" w:name="Xb1ad68f3fed77e6120c6d52ba648ee2677a7fb8"/>
    <w:p>
      <w:pPr>
        <w:pStyle w:val="Heading3"/>
      </w:pPr>
      <w:r>
        <w:t xml:space="preserve">Recettes des régimes contributifs</w:t>
      </w:r>
    </w:p>
    <w:p>
      <w:pPr>
        <w:pStyle w:val="Normal"/>
      </w:pPr>
      <w:r>
        <w:t xml:space="preserve">Les recettes des régimes contributifs proviennent principalement des cotisations salariales et patronales. Le financement des régimes non contributifs repose sur les transferts du budget de l'État et les contributions des partenaires au développement.</w:t>
      </w:r>
    </w:p>
    <w:p>
      <w:pPr>
        <w:pStyle w:val="TableTitle"/>
      </w:pPr>
      <w:r>
        <w:rPr>
          <w:b/>
          <w:bCs/>
        </w:rPr>
        <w:t xml:space="preserve">Tableau 4.16</w:t>
      </w:r>
      <w:r>
        <w:t xml:space="preserve"> </w:t>
      </w:r>
      <w:r>
        <w:t xml:space="preserve">— Recettes des régimes contributifs (2019–2025) [src]</w:t>
      </w:r>
      <w:r>
        <w:rPr>
          <w:rStyle w:val="FootnoteReference"/>
        </w:rPr>
        <w:footnoteReference w:id="185"/>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725,7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40,5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Programmes non contributifs — financement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Régimes spéciaux : données non disponibles — à instruire.</w:t>
      </w:r>
    </w:p>
    <w:bookmarkEnd w:id="186"/>
    <w:bookmarkStart w:id="188" w:name="depenses-de-prestations-non-valide"/>
    <w:p>
      <w:pPr>
        <w:pStyle w:val="Heading3"/>
      </w:pPr>
      <w:r>
        <w:t xml:space="preserve">Dépenses de prestations</w:t>
      </w:r>
    </w:p>
    <w:p>
      <w:pPr>
        <w:pStyle w:val="Normal"/>
      </w:pPr>
      <w:r>
        <w:t xml:space="preserve">Les dépenses de prestations correspondent aux transferts effectifs versés aux bénéficiaires — pensions, allocations, rentes, indemnités. Elles sont distinguées des dépenses administratives, conformément aux standards de l'OIT. Les valeurs sont exprimées en milliards de francs congolais courants.</w:t>
      </w:r>
    </w:p>
    <w:p>
      <w:pPr>
        <w:pStyle w:val="TableTitle"/>
      </w:pPr>
      <w:r>
        <w:rPr>
          <w:b/>
          <w:bCs/>
        </w:rPr>
        <w:t xml:space="preserve">Tableau 4.17</w:t>
      </w:r>
      <w:r>
        <w:t xml:space="preserve"> </w:t>
      </w:r>
      <w:r>
        <w:t xml:space="preserve">— Dépenses de prestations par institution (2019–2025) [src]</w:t>
      </w:r>
      <w:r>
        <w:rPr>
          <w:rStyle w:val="FootnoteReference"/>
        </w:rPr>
        <w:footnoteReference w:id="187"/>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493,2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Régimes spéciaux : données non disponibles — à instruire.</w:t>
      </w:r>
    </w:p>
    <w:bookmarkEnd w:id="188"/>
    <w:bookmarkStart w:id="190" w:name="X93288f9e49d69189d6de7b3689ca313adc82116"/>
    <w:p>
      <w:pPr>
        <w:pStyle w:val="Heading3"/>
      </w:pPr>
      <w:r>
        <w:t xml:space="preserve">Dépenses administratives et ratio d'efficience</w:t>
      </w:r>
    </w:p>
    <w:p>
      <w:pPr>
        <w:pStyle w:val="TableTitle"/>
      </w:pPr>
      <w:r>
        <w:rPr>
          <w:b/>
          <w:bCs/>
        </w:rPr>
        <w:t xml:space="preserve">Tableau 4.18</w:t>
      </w:r>
      <w:r>
        <w:t xml:space="preserve"> </w:t>
      </w:r>
      <w:r>
        <w:t xml:space="preserve">— Dépenses administratives et ratio d'efficience (2019–2025) [src]</w:t>
      </w:r>
      <w:r>
        <w:rPr>
          <w:rStyle w:val="FootnoteReference"/>
        </w:rPr>
        <w:footnoteReference w:id="189"/>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6,9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14,0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dépenses administratives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Le ratio est calculé comme : dépenses administratives / (dépenses de prestations + dépenses administratives). Régimes spéciaux : données non disponibles.</w:t>
      </w:r>
    </w:p>
    <w:bookmarkEnd w:id="190"/>
    <w:bookmarkStart w:id="192" w:name="depenses-en-proportion-du-pib-non-valide"/>
    <w:p>
      <w:pPr>
        <w:pStyle w:val="Heading3"/>
      </w:pPr>
      <w:r>
        <w:t xml:space="preserve">Dépenses en proportion du PIB</w:t>
      </w:r>
    </w:p>
    <w:p>
      <w:pPr>
        <w:pStyle w:val="Normal"/>
      </w:pPr>
      <w:r>
        <w:t xml:space="preserve">Le rapport des dépenses de protection sociale au PIB est calculé pour permettre des comparaisons temporelles et internationales. Les valeurs de référence pour l'Afrique subsaharienne et la moyenne mondiale sont issues du World Social Protection Report de l'OIT.</w:t>
      </w:r>
    </w:p>
    <w:p>
      <w:pPr>
        <w:pStyle w:val="TableTitle"/>
      </w:pPr>
      <w:r>
        <w:rPr>
          <w:b/>
          <w:bCs/>
        </w:rPr>
        <w:t xml:space="preserve">Tableau 4.19</w:t>
      </w:r>
      <w:r>
        <w:t xml:space="preserve"> </w:t>
      </w:r>
      <w:r>
        <w:t xml:space="preserve">— Dépenses de protection sociale en proportion du PIB (2019–2025) [src]</w:t>
      </w:r>
      <w:r>
        <w:rPr>
          <w:rStyle w:val="FootnoteReference"/>
        </w:rPr>
        <w:footnoteReference w:id="191"/>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PS totales (CNSS + CNSSAP)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PS (y.c. rég. spéciaux si données disponibles)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Moyenne Afrique subsaharienne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Moyenne mondiale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p>
      <w:pPr>
        <w:pStyle w:val="Source-GraphicPicture"/>
      </w:pPr>
      <w:r>
        <w:rPr>
          <w:i/>
          <w:iCs/>
        </w:rPr>
        <w:t xml:space="preserve">Source : ESS OIT ; PIB RDC : Banque mondiale WDI ; comparaisons : World Social Protection Report OIT.</w:t>
      </w:r>
    </w:p>
    <w:bookmarkEnd w:id="192"/>
    <w:bookmarkEnd w:id="193"/>
    <w:bookmarkEnd w:id="194"/>
    <w:bookmarkStart w:id="212" w:name="Xc7cb1a02a7858ae19d58c1c9bd0e60c654533af"/>
    <w:p>
      <w:pPr>
        <w:pStyle w:val="Heading1"/>
      </w:pPr>
      <w:r>
        <w:t xml:space="preserve">Chapitre 5 — Positionnement de la RDC au regard des indicateurs ODD</w:t>
      </w:r>
    </w:p>
    <w:bookmarkStart w:id="203" w:name="X8eaf0c5b9fe1bb6ba3e1003181a2719cc2dec11"/>
    <w:p>
      <w:pPr>
        <w:pStyle w:val="Heading2"/>
      </w:pPr>
      <w:r>
        <w:t xml:space="preserve">5.1 — ODD 1.3.1 : couverture par les régimes de protection sociale</w:t>
      </w:r>
    </w:p>
    <w:bookmarkStart w:id="196" w:name="definition-et-methodologie-non-valide"/>
    <w:p>
      <w:pPr>
        <w:pStyle w:val="Heading3"/>
      </w:pPr>
      <w:r>
        <w:t xml:space="preserve">Définition et méthodologie</w:t>
      </w:r>
    </w:p>
    <w:p>
      <w:pPr>
        <w:pStyle w:val="Normal"/>
      </w:pPr>
      <w:r>
        <w:t xml:space="preserve">L'indicateur ODD 1.3.1 mesure la proportion de la population effectivement couverte par au moins une prestation de protection sociale. Il est calculé selon la méthodologie de l'OIT, qui distingue la couverture légale (droit formel à une prestation) de la couverture effective (bénéfice réel d'une prestation). Seule la couverture effective est retenue ici.</w:t>
      </w:r>
    </w:p>
    <w:p>
      <w:pPr>
        <w:pStyle w:val="Normal"/>
      </w:pPr>
      <w:r>
        <w:t xml:space="preserve">L'indicateur est décomposé par groupe de population conformément aux catégories officielles de l'OIT :</w:t>
      </w:r>
    </w:p>
    <w:p>
      <w:pPr>
        <w:pStyle w:val="TableTitle"/>
      </w:pPr>
      <w:r>
        <w:rPr>
          <w:b/>
          <w:bCs/>
        </w:rPr>
        <w:t xml:space="preserve">Tableau 5.1</w:t>
      </w:r>
      <w:r>
        <w:t xml:space="preserve"> </w:t>
      </w:r>
      <w:r>
        <w:t xml:space="preserve">— Définitions des sous-indicateurs de l'ODD 1.3.1 [src]</w:t>
      </w:r>
      <w:r>
        <w:rPr>
          <w:rStyle w:val="FootnoteReference"/>
        </w:rPr>
        <w:footnoteReference w:id="195"/>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Définition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totale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de la population couverte par au moins une prestation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(0–14 ans)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couverts par une prestation enfance/famille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ayant accouché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couvertes par une prestation maternité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âgées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recevant une pension de vieillesse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contributeurs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cotisant à un régime contributif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handicapées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recevant une prestation invalidité</w:t>
            </w:r>
          </w:p>
        </w:tc>
      </w:tr>
    </w:tbl>
    <w:bookmarkEnd w:id="196"/>
    <w:bookmarkStart w:id="198" w:name="resultats-pour-la-rdc-non-valide"/>
    <w:p>
      <w:pPr>
        <w:pStyle w:val="Heading3"/>
      </w:pPr>
      <w:r>
        <w:t xml:space="preserve">Résultats pour la RDC</w:t>
      </w:r>
    </w:p>
    <w:p>
      <w:pPr>
        <w:pStyle w:val="TableTitle"/>
      </w:pPr>
      <w:r>
        <w:rPr>
          <w:b/>
          <w:bCs/>
        </w:rPr>
        <w:t xml:space="preserve">Tableau 5.2</w:t>
      </w:r>
      <w:r>
        <w:t xml:space="preserve"> </w:t>
      </w:r>
      <w:r>
        <w:t xml:space="preserve">— Valeurs de l'ODD 1.3.1 pour la RDC par groupe de population (2019–2025) [src]</w:t>
      </w:r>
      <w:r>
        <w:rPr>
          <w:rStyle w:val="FootnoteReference"/>
        </w:rPr>
        <w:footnoteReference w:id="197"/>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totale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0–14 ans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ayant accouché — maternité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âgées — pension vieillesse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contributeurs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handicapées — invalidité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bl>
    <w:p>
      <w:pPr>
        <w:pStyle w:val="Source-GraphicPicture"/>
      </w:pPr>
      <w:r>
        <w:rPr>
          <w:i/>
          <w:iCs/>
        </w:rPr>
        <w:t xml:space="preserve">Source : calculs à partir des ESS OIT (CNSS 2019–2022, CNSSAP 2020–2022) et des données démographiques ONU WPP. Les estimations [EST.] seront calculées par le script</w:t>
      </w:r>
      <w:r>
        <w:rPr>
          <w:i/>
          <w:iCs/>
        </w:rPr>
        <w:t xml:space="preserve"> </w:t>
      </w:r>
      <w:r>
        <w:rPr>
          <w:rStyle w:val="VerbatimChar"/>
          <w:i/>
          <w:iCs/>
        </w:rPr>
        <w:t xml:space="preserve">generer_figures_ch4.py</w:t>
      </w:r>
      <w:r>
        <w:rPr>
          <w:i/>
          <w:iCs/>
        </w:rPr>
        <w:t xml:space="preserve"> </w:t>
      </w:r>
      <w:r>
        <w:rPr>
          <w:i/>
          <w:iCs/>
        </w:rPr>
        <w:t xml:space="preserve">depuis la base.</w:t>
      </w:r>
    </w:p>
    <w:bookmarkEnd w:id="198"/>
    <w:bookmarkStart w:id="200" w:name="X6932b8d256f9439e268579d1891c1dcaf17140c"/>
    <w:p>
      <w:pPr>
        <w:pStyle w:val="Heading3"/>
      </w:pPr>
      <w:r>
        <w:t xml:space="preserve">Comparaison régionale et internationale</w:t>
      </w:r>
    </w:p>
    <w:p>
      <w:pPr>
        <w:pStyle w:val="TableTitle"/>
      </w:pPr>
      <w:r>
        <w:rPr>
          <w:b/>
          <w:bCs/>
        </w:rPr>
        <w:t xml:space="preserve">Tableau 5.3</w:t>
      </w:r>
      <w:r>
        <w:t xml:space="preserve"> </w:t>
      </w:r>
      <w:r>
        <w:t xml:space="preserve">— Comparaison régionale et internationale de l'ODD 1.3.1 [src]</w:t>
      </w:r>
      <w:r>
        <w:rPr>
          <w:rStyle w:val="FootnoteReference"/>
        </w:rPr>
        <w:footnoteReference w:id="199"/>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OIT / calcul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bl>
    <w:p>
      <w:pPr>
        <w:pStyle w:val="Source-GraphicPicture"/>
      </w:pPr>
      <w:r>
        <w:rPr>
          <w:i/>
          <w:iCs/>
        </w:rPr>
        <w:t xml:space="preserve">Source : World Social Protection Report OIT (2024–26) ; ILOSTAT.</w:t>
      </w:r>
    </w:p>
    <w:bookmarkEnd w:id="200"/>
    <w:bookmarkStart w:id="202" w:name="trajectoire-et-objectifs-non-valide"/>
    <w:p>
      <w:pPr>
        <w:pStyle w:val="Heading3"/>
      </w:pPr>
      <w:r>
        <w:t xml:space="preserve">Trajectoire et objectifs</w:t>
      </w:r>
    </w:p>
    <w:p>
      <w:pPr>
        <w:pStyle w:val="TableTitle"/>
      </w:pPr>
      <w:r>
        <w:rPr>
          <w:b/>
          <w:bCs/>
        </w:rPr>
        <w:t xml:space="preserve">Tableau 5.4</w:t>
      </w:r>
      <w:r>
        <w:t xml:space="preserve"> </w:t>
      </w:r>
      <w:r>
        <w:t xml:space="preserve">— Trajectoire et objectifs de l'indicateur ODD 1.3.1 pour la RDC [src]</w:t>
      </w:r>
      <w:r>
        <w:rPr>
          <w:rStyle w:val="FootnoteReference"/>
        </w:rPr>
        <w:footnoteReference w:id="201"/>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 (référence)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 (cible PNPS)</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 — cible PNPS à rechercher]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bookmarkEnd w:id="202"/>
    <w:bookmarkEnd w:id="203"/>
    <w:bookmarkStart w:id="211" w:name="X9c806c3db245e708af4f2088f4beda0e23eeb36"/>
    <w:p>
      <w:pPr>
        <w:pStyle w:val="Heading2"/>
      </w:pPr>
      <w:r>
        <w:t xml:space="preserve">5.2 — ODD 3.8.1 : couverture sanitaire universelle</w:t>
      </w:r>
    </w:p>
    <w:bookmarkStart w:id="204" w:name="definition-et-methodologie-non-valide_1"/>
    <w:p>
      <w:pPr>
        <w:pStyle w:val="Heading3"/>
      </w:pPr>
      <w:r>
        <w:t xml:space="preserve">Définition et méthodologie</w:t>
      </w:r>
    </w:p>
    <w:p>
      <w:pPr>
        <w:pStyle w:val="Normal"/>
      </w:pPr>
      <w:r>
        <w:t xml:space="preserve">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santé, indépendamment du mécanisme de financement.</w:t>
      </w:r>
    </w:p>
    <w:bookmarkEnd w:id="204"/>
    <w:bookmarkStart w:id="206" w:name="resultats-pour-la-rdc-non-valide_1"/>
    <w:p>
      <w:pPr>
        <w:pStyle w:val="Heading3"/>
      </w:pPr>
      <w:r>
        <w:t xml:space="preserve">Résultats pour la RDC</w:t>
      </w:r>
    </w:p>
    <w:p>
      <w:pPr>
        <w:pStyle w:val="TableTitle"/>
      </w:pPr>
      <w:r>
        <w:rPr>
          <w:b/>
          <w:bCs/>
        </w:rPr>
        <w:t xml:space="preserve">Tableau 5.5</w:t>
      </w:r>
      <w:r>
        <w:t xml:space="preserve"> </w:t>
      </w:r>
      <w:r>
        <w:t xml:space="preserve">— Évolution de l'indice ODD 3.8.1 pour la RDC (2015–2023) [src]</w:t>
      </w:r>
      <w:r>
        <w:rPr>
          <w:rStyle w:val="FootnoteReference"/>
        </w:rPr>
        <w:footnoteReference w:id="205"/>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2017</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OMS, Global Health Observatory, indicateur UHC Service Coverage Index (SDG 3.8.1) — données à collecter sur data.who.int.</w:t>
      </w:r>
    </w:p>
    <w:bookmarkEnd w:id="206"/>
    <w:bookmarkStart w:id="208" w:name="Xe319dce0a6a1d870ad5a659b75c268678b1c93e"/>
    <w:p>
      <w:pPr>
        <w:pStyle w:val="Heading3"/>
      </w:pPr>
      <w:r>
        <w:t xml:space="preserve">Comparaison régionale et internationale</w:t>
      </w:r>
    </w:p>
    <w:p>
      <w:pPr>
        <w:pStyle w:val="TableTitle"/>
      </w:pPr>
      <w:r>
        <w:rPr>
          <w:b/>
          <w:bCs/>
        </w:rPr>
        <w:t xml:space="preserve">Tableau 5.6</w:t>
      </w:r>
      <w:r>
        <w:t xml:space="preserve"> </w:t>
      </w:r>
      <w:r>
        <w:t xml:space="preserve">— Comparaison régionale et internationale de l'ODD 3.8.1 [src]</w:t>
      </w:r>
      <w:r>
        <w:rPr>
          <w:rStyle w:val="FootnoteReference"/>
        </w:rPr>
        <w:footnoteReference w:id="207"/>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Indice ODD 3.8.1 (0–100)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bl>
    <w:p>
      <w:pPr>
        <w:pStyle w:val="Source-GraphicPicture"/>
      </w:pPr>
      <w:r>
        <w:rPr>
          <w:i/>
          <w:iCs/>
        </w:rPr>
        <w:t xml:space="preserve">Source : OMS, Global Health Observatory.</w:t>
      </w:r>
    </w:p>
    <w:bookmarkEnd w:id="208"/>
    <w:bookmarkStart w:id="210" w:name="trajectoire-et-objectifs-non-valide_1"/>
    <w:p>
      <w:pPr>
        <w:pStyle w:val="Heading3"/>
      </w:pPr>
      <w:r>
        <w:t xml:space="preserve">Trajectoire et objectifs</w:t>
      </w:r>
    </w:p>
    <w:p>
      <w:pPr>
        <w:pStyle w:val="TableTitle"/>
      </w:pPr>
      <w:r>
        <w:rPr>
          <w:b/>
          <w:bCs/>
        </w:rPr>
        <w:t xml:space="preserve">Tableau 5.7</w:t>
      </w:r>
      <w:r>
        <w:t xml:space="preserve"> </w:t>
      </w:r>
      <w:r>
        <w:t xml:space="preserve">— Trajectoire et objectifs de l'indicateur ODD 3.8.1 pour la RDC [src]</w:t>
      </w:r>
      <w:r>
        <w:rPr>
          <w:rStyle w:val="FootnoteReference"/>
        </w:rPr>
        <w:footnoteReference w:id="209"/>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Valeur de référence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w:t>
            </w:r>
          </w:p>
        </w:tc>
      </w:tr>
    </w:tbl>
    <w:p>
      <w:pPr>
        <w:pStyle w:val="TableNoteSource"/>
      </w:pPr>
      <w:r>
        <w:rPr>
          <w:i/>
          <w:iCs/>
        </w:rPr>
        <w:t xml:space="preserve">Note : la cible ODD 3.8.1 est fixée à 80 (sur 100) pour 2030. La valeur nationale de référence sera renseignée à partir des données OMS GHO.</w:t>
      </w:r>
    </w:p>
    <w:bookmarkEnd w:id="210"/>
    <w:bookmarkEnd w:id="211"/>
    <w:bookmarkEnd w:id="212"/>
    <w:bookmarkStart w:id="213" w:name="Xd81cddf1c039cc4c9483a04a2819bdc0081b78d"/>
    <w:p>
      <w:pPr>
        <w:pStyle w:val="Heading1"/>
      </w:pPr>
      <w:r>
        <w:t xml:space="preserve">Chapitre 6 — Qualité, disponibilité et perspectives</w:t>
      </w:r>
    </w:p>
    <w:bookmarkEnd w:id="213"/>
    <w:bookmarkStart w:id="228" w:name="annexe-a-notes-methodologiques"/>
    <w:p>
      <w:pPr>
        <w:pStyle w:val="Heading1"/>
      </w:pPr>
      <w:r>
        <w:t xml:space="preserve">Annexe A — Notes méthodologiques</w:t>
      </w:r>
    </w:p>
    <w:bookmarkStart w:id="219" w:name="X42b617378bec5354531358bfc3d9cbf12c182b0"/>
    <w:p>
      <w:pPr>
        <w:pStyle w:val="Heading2"/>
      </w:pPr>
      <w:r>
        <w:t xml:space="preserve">A.1 — Champ de la protection sociale et critères d'inclusion statistique</w:t>
      </w:r>
    </w:p>
    <w:bookmarkStart w:id="215" w:name="Xffeb76f4524aa6632e00306a575010223cae386"/>
    <w:p>
      <w:pPr>
        <w:pStyle w:val="Heading3"/>
      </w:pPr>
      <w:r>
        <w:t xml:space="preserve">Un périmètre défini par la finalité protectrice et la mesurabilité</w:t>
      </w:r>
    </w:p>
    <w:p>
      <w:pPr>
        <w:pStyle w:val="Normal"/>
      </w:pPr>
      <w:r>
        <w:t xml:space="preserve">Le champ statistique du bulletin est délimité à partir de deux critères cumulatifs : la</w:t>
      </w:r>
      <w:r>
        <w:t xml:space="preserve"> </w:t>
      </w:r>
      <w:r>
        <w:rPr>
          <w:b/>
          <w:bCs/>
        </w:rPr>
        <w:t xml:space="preserve">finalité protectrice</w:t>
      </w:r>
      <w:r>
        <w:t xml:space="preserve"> </w:t>
      </w:r>
      <w:r>
        <w:t xml:space="preserve">du dispositif et la</w:t>
      </w:r>
      <w:r>
        <w:t xml:space="preserve"> </w:t>
      </w:r>
      <w:r>
        <w:rPr>
          <w:b/>
          <w:bCs/>
        </w:rPr>
        <w:t xml:space="preserve">mesurabilité statistique</w:t>
      </w:r>
      <w:r>
        <w:t xml:space="preserve"> </w:t>
      </w:r>
      <w:r>
        <w:t xml:space="preserve">des données qu'il produit.</w:t>
      </w:r>
    </w:p>
    <w:p>
      <w:pPr>
        <w:pStyle w:val="Normal"/>
      </w:pPr>
      <w:r>
        <w:t xml:space="preserve">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214"/>
      </w:r>
      <w:r>
        <w:t xml:space="preserve">. Ce critère écarte les dispositifs dont l'effet protecteur est indirect, accessoire ou non garanti, tels que certaines politiques d'investissement public ou d'accès aux infrastructures.</w:t>
      </w:r>
    </w:p>
    <w:p>
      <w:pPr>
        <w:pStyle w:val="Normal"/>
      </w:pPr>
      <w:r>
        <w:t xml:space="preserve">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pPr>
        <w:pStyle w:val="Normal"/>
      </w:pPr>
      <w:r>
        <w:t xml:space="preserve">Ces deux critères ne constituent pas une liste fermée de dispositifs admis ou exclus. Ils définissent une règle opérationnelle permettant de statuer sur chaque dispositif de façon cohérente et documentée.</w:t>
      </w:r>
    </w:p>
    <w:bookmarkEnd w:id="215"/>
    <w:bookmarkStart w:id="217" w:name="Xb73b1bebfc2a4d61bf86bef76579253c28b1782"/>
    <w:p>
      <w:pPr>
        <w:pStyle w:val="Heading3"/>
      </w:pPr>
      <w:r>
        <w:t xml:space="preserve">Trois niveaux de traitement dans le bulletin</w:t>
      </w:r>
    </w:p>
    <w:p>
      <w:pPr>
        <w:pStyle w:val="Normal"/>
      </w:pPr>
      <w:r>
        <w:t xml:space="preserve">Sur la base de ces critères, le bulletin distingue trois niveaux de traitement des dispositifs.</w:t>
      </w:r>
    </w:p>
    <w:p>
      <w:pPr>
        <w:pStyle w:val="Normal"/>
      </w:pPr>
      <w:r>
        <w:rPr>
          <w:b/>
          <w:bCs/>
        </w:rPr>
        <w:t xml:space="preserve">Niveau 1 — Dispositifs intégrés dans les indicateurs statistiques.</w:t>
      </w:r>
      <w:r>
        <w:t xml:space="preserve"> </w:t>
      </w:r>
      <w:r>
        <w:t xml:space="preserve">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w:t>
      </w:r>
      <w:r>
        <w:t xml:space="preserve"> </w:t>
      </w:r>
      <w:r>
        <w:rPr>
          <w:i/>
          <w:iCs/>
        </w:rPr>
        <w:t xml:space="preserve">(CNSS, CNSSAP, régimes spéciaux)</w:t>
      </w:r>
      <w:r>
        <w:t xml:space="preserve"> </w:t>
      </w:r>
      <w:r>
        <w:t xml:space="preserve">et les programmes non contributifs disposant de données de ciblage, d'enregistrement ou de paiement documentées</w:t>
      </w:r>
      <w:r>
        <w:rPr>
          <w:rStyle w:val="FootnoteReference"/>
        </w:rPr>
        <w:footnoteReference w:id="216"/>
      </w:r>
      <w:r>
        <w:t xml:space="preserve">.</w:t>
      </w:r>
    </w:p>
    <w:p>
      <w:pPr>
        <w:pStyle w:val="Normal"/>
      </w:pPr>
      <w:r>
        <w:rPr>
          <w:b/>
          <w:bCs/>
        </w:rPr>
        <w:t xml:space="preserve">Niveau 2 — Dispositifs traités séparément.</w:t>
      </w:r>
      <w:r>
        <w:t xml:space="preserve"> </w:t>
      </w:r>
      <w:r>
        <w:t xml:space="preserve">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pPr>
        <w:pStyle w:val="Normal"/>
      </w:pPr>
      <w:r>
        <w:rPr>
          <w:b/>
          <w:bCs/>
        </w:rPr>
        <w:t xml:space="preserve">Niveau 3 — Dispositifs mentionnés à titre contextuel.</w:t>
      </w:r>
      <w:r>
        <w:t xml:space="preserve"> </w:t>
      </w:r>
      <w:r>
        <w:t xml:space="preserve">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gratuités sectorielles, dispositifs d'urgence ou programmes d'accompagnement social dont le périmètre et les bénéficiaires ne sont pas documentés de façon consolidée.</w:t>
      </w:r>
    </w:p>
    <w:bookmarkEnd w:id="217"/>
    <w:bookmarkStart w:id="218" w:name="un-perimetre-evolutif"/>
    <w:p>
      <w:pPr>
        <w:pStyle w:val="Heading3"/>
      </w:pPr>
      <w:r>
        <w:t xml:space="preserve">Un périmètre évolutif</w:t>
      </w:r>
    </w:p>
    <w:p>
      <w:pPr>
        <w:pStyle w:val="Normal"/>
      </w:pPr>
      <w:r>
        <w:t xml:space="preserve">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bookmarkEnd w:id="218"/>
    <w:bookmarkEnd w:id="219"/>
    <w:bookmarkStart w:id="227" w:name="X442c38441c59a4af2c1b7f694baafea97c21e0c"/>
    <w:p>
      <w:pPr>
        <w:pStyle w:val="Heading2"/>
      </w:pPr>
      <w:r>
        <w:t xml:space="preserve">A.2 — Classification des régimes, programmes et prestations</w:t>
      </w:r>
    </w:p>
    <w:bookmarkStart w:id="220" w:name="Xad0251def910ae3312458c2e1f0798289998728"/>
    <w:p>
      <w:pPr>
        <w:pStyle w:val="Heading3"/>
      </w:pPr>
      <w:r>
        <w:t xml:space="preserve">Couverture légale et couverture effective</w:t>
      </w:r>
    </w:p>
    <w:p>
      <w:pPr>
        <w:pStyle w:val="Normal"/>
      </w:pPr>
      <w:r>
        <w:t xml:space="preserve">Le bulletin articule deux notions hiérarchiquement liées, non interchangeables.</w:t>
      </w:r>
    </w:p>
    <w:p>
      <w:pPr>
        <w:pStyle w:val="Normal"/>
      </w:pPr>
      <w:r>
        <w:t xml:space="preserve">La</w:t>
      </w:r>
      <w:r>
        <w:t xml:space="preserve"> </w:t>
      </w:r>
      <w:r>
        <w:rPr>
          <w:b/>
          <w:bCs/>
        </w:rPr>
        <w:t xml:space="preserve">couverture légale</w:t>
      </w:r>
      <w:r>
        <w:t xml:space="preserve"> </w:t>
      </w:r>
      <w:r>
        <w:t xml:space="preserve">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pPr>
        <w:pStyle w:val="Normal"/>
      </w:pPr>
      <w:r>
        <w:t xml:space="preserve">La</w:t>
      </w:r>
      <w:r>
        <w:t xml:space="preserve"> </w:t>
      </w:r>
      <w:r>
        <w:rPr>
          <w:b/>
          <w:bCs/>
        </w:rPr>
        <w:t xml:space="preserve">couverture effective</w:t>
      </w:r>
      <w:r>
        <w:t xml:space="preserve"> </w:t>
      </w:r>
      <w:r>
        <w:t xml:space="preserve">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bookmarkEnd w:id="220"/>
    <w:bookmarkStart w:id="225" w:name="nature-des-regimes-et-programmes"/>
    <w:p>
      <w:pPr>
        <w:pStyle w:val="Heading3"/>
      </w:pPr>
      <w:r>
        <w:t xml:space="preserve">Nature des régimes et programmes</w:t>
      </w:r>
    </w:p>
    <w:p>
      <w:pPr>
        <w:pStyle w:val="Normal"/>
      </w:pPr>
      <w:r>
        <w:t xml:space="preserve">Les dispositifs de protection sociale se différencient selon plusieurs dimensions de classification.</w:t>
      </w:r>
    </w:p>
    <w:p>
      <w:pPr>
        <w:pStyle w:val="Normal"/>
      </w:pPr>
      <w:r>
        <w:rPr>
          <w:b/>
          <w:bCs/>
        </w:rPr>
        <w:t xml:space="preserve">Selon le caractère obligatoire ou volontaire de l'affiliation.</w:t>
      </w:r>
      <w:r>
        <w:t xml:space="preserve"> </w:t>
      </w:r>
      <w:r>
        <w:t xml:space="preserve">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221"/>
      </w:r>
    </w:p>
    <w:p>
      <w:pPr>
        <w:pStyle w:val="Normal"/>
      </w:pPr>
      <w:r>
        <w:rPr>
          <w:b/>
          <w:bCs/>
        </w:rPr>
        <w:t xml:space="preserve">Selon la nature du financement.</w:t>
      </w:r>
      <w:r>
        <w:t xml:space="preserve"> </w:t>
      </w:r>
      <w:r>
        <w:t xml:space="preserve">Les régimes</w:t>
      </w:r>
      <w:r>
        <w:t xml:space="preserve"> </w:t>
      </w:r>
      <w:r>
        <w:rPr>
          <w:b/>
          <w:bCs/>
        </w:rPr>
        <w:t xml:space="preserve">contributifs</w:t>
      </w:r>
      <w:r>
        <w:t xml:space="preserve"> </w:t>
      </w:r>
      <w:r>
        <w:t xml:space="preserve">sont financés principalement par des cotisations de l'employeur et du travailleur, proportionnelles aux revenus d'activité. Les dispositifs</w:t>
      </w:r>
      <w:r>
        <w:t xml:space="preserve"> </w:t>
      </w:r>
      <w:r>
        <w:rPr>
          <w:b/>
          <w:bCs/>
        </w:rPr>
        <w:t xml:space="preserve">non contributifs</w:t>
      </w:r>
      <w:r>
        <w:t xml:space="preserve"> </w:t>
      </w:r>
      <w:r>
        <w:t xml:space="preserve">sont financés par l'État ou par des partenaires extérieurs, sans cotisation préalable de la personne protégée. Ces deux modes de financement peuvent coexister au sein d'un même système national et doivent être traités comme complémentaires. [R202, par. 5]</w:t>
      </w:r>
      <w:r>
        <w:rPr>
          <w:rStyle w:val="FootnoteReference"/>
        </w:rPr>
        <w:footnoteReference w:id="222"/>
      </w:r>
    </w:p>
    <w:p>
      <w:pPr>
        <w:pStyle w:val="Normal"/>
      </w:pPr>
      <w:r>
        <w:rPr>
          <w:b/>
          <w:bCs/>
        </w:rPr>
        <w:t xml:space="preserve">Selon le statut réglementaire.</w:t>
      </w:r>
      <w:r>
        <w:t xml:space="preserve"> </w:t>
      </w:r>
      <w:r>
        <w:t xml:space="preserve">Les régimes</w:t>
      </w:r>
      <w:r>
        <w:t xml:space="preserve"> </w:t>
      </w:r>
      <w:r>
        <w:rPr>
          <w:b/>
          <w:bCs/>
        </w:rPr>
        <w:t xml:space="preserve">statutaires</w:t>
      </w:r>
      <w:r>
        <w:t xml:space="preserve"> </w:t>
      </w:r>
      <w:r>
        <w:t xml:space="preserve">sont créés et régis par des textes législatifs ou réglementaires formels. Les dispositifs</w:t>
      </w:r>
      <w:r>
        <w:t xml:space="preserve"> </w:t>
      </w:r>
      <w:r>
        <w:rPr>
          <w:b/>
          <w:bCs/>
        </w:rPr>
        <w:t xml:space="preserve">non statutaires</w:t>
      </w:r>
      <w:r>
        <w:t xml:space="preserve"> </w:t>
      </w:r>
      <w:r>
        <w:t xml:space="preserve">—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223"/>
      </w:r>
    </w:p>
    <w:p>
      <w:pPr>
        <w:pStyle w:val="Normal"/>
      </w:pPr>
      <w:r>
        <w:rPr>
          <w:b/>
          <w:bCs/>
        </w:rPr>
        <w:t xml:space="preserve">Selon la nature des prestations.</w:t>
      </w:r>
      <w:r>
        <w:t xml:space="preserve"> </w:t>
      </w:r>
      <w:r>
        <w:t xml:space="preserve">Les prestations</w:t>
      </w:r>
      <w:r>
        <w:t xml:space="preserve"> </w:t>
      </w:r>
      <w:r>
        <w:rPr>
          <w:b/>
          <w:bCs/>
        </w:rPr>
        <w:t xml:space="preserve">en espèces</w:t>
      </w:r>
      <w:r>
        <w:t xml:space="preserve"> </w:t>
      </w:r>
      <w:r>
        <w:t xml:space="preserve">(pensions, indemnités, allocations) procurent un revenu ou compensent une perte de revenu. Les prestations</w:t>
      </w:r>
      <w:r>
        <w:t xml:space="preserve"> </w:t>
      </w:r>
      <w:r>
        <w:rPr>
          <w:b/>
          <w:bCs/>
        </w:rPr>
        <w:t xml:space="preserve">en nature</w:t>
      </w:r>
      <w:r>
        <w:t xml:space="preserve"> </w:t>
      </w:r>
      <w:r>
        <w:t xml:space="preserve">(soins de santé, équipements, services) procurent directement un bien ou un service. Cette distinction est importante pour la lecture des indicateurs de dépenses et de bénéficiaires. [C102, art. 1]</w:t>
      </w:r>
      <w:r>
        <w:rPr>
          <w:rStyle w:val="FootnoteReference"/>
        </w:rPr>
        <w:footnoteReference w:id="224"/>
      </w:r>
    </w:p>
    <w:bookmarkEnd w:id="225"/>
    <w:bookmarkStart w:id="226" w:name="conditions-dacces-aux-prestations"/>
    <w:p>
      <w:pPr>
        <w:pStyle w:val="Heading3"/>
      </w:pPr>
      <w:r>
        <w:t xml:space="preserve">Conditions d'accès aux prestations</w:t>
      </w:r>
    </w:p>
    <w:p>
      <w:pPr>
        <w:pStyle w:val="Normal"/>
      </w:pPr>
      <w:r>
        <w:t xml:space="preserve">Les conditions d'accès varient selon la nature du dispositif et structurent la répartition réelle de la couverture. Le bulletin distingue les principaux modes d'accès suivants :</w:t>
      </w:r>
    </w:p>
    <w:p>
      <w:pPr>
        <w:pStyle w:val="Compact"/>
        <w:numPr>
          <w:ilvl w:val="0"/>
          <w:numId w:val="1001"/>
        </w:numPr>
      </w:pPr>
      <w:r>
        <w:rPr>
          <w:b/>
          <w:bCs/>
        </w:rPr>
        <w:t xml:space="preserve">Affiliation et cotisation</w:t>
      </w:r>
      <w:r>
        <w:t xml:space="preserve"> </w:t>
      </w:r>
      <w:r>
        <w:t xml:space="preserve">: accès subordonné à l'enregistrement préalable dans un régime et au versement de cotisations sur une durée minimale. Applicable aux régimes contributifs obligatoires (CNSS, CNSSAP).</w:t>
      </w:r>
    </w:p>
    <w:p>
      <w:pPr>
        <w:pStyle w:val="Compact"/>
        <w:numPr>
          <w:ilvl w:val="0"/>
          <w:numId w:val="1001"/>
        </w:numPr>
      </w:pPr>
      <w:r>
        <w:rPr>
          <w:b/>
          <w:bCs/>
        </w:rPr>
        <w:t xml:space="preserve">Statut professionnel ou catégoriel</w:t>
      </w:r>
      <w:r>
        <w:t xml:space="preserve"> </w:t>
      </w:r>
      <w:r>
        <w:t xml:space="preserve">: accès réservé à une catégorie définie de travailleurs (agents publics, militaires, policiers, magistrats, enseignants). Applicable aux régimes spéciaux.</w:t>
      </w:r>
    </w:p>
    <w:p>
      <w:pPr>
        <w:pStyle w:val="Compact"/>
        <w:numPr>
          <w:ilvl w:val="0"/>
          <w:numId w:val="1001"/>
        </w:numPr>
      </w:pPr>
      <w:r>
        <w:rPr>
          <w:b/>
          <w:bCs/>
        </w:rPr>
        <w:t xml:space="preserve">Condition de ressources</w:t>
      </w:r>
      <w:r>
        <w:t xml:space="preserve"> </w:t>
      </w:r>
      <w:r>
        <w:t xml:space="preserve">: accès subordonné à un niveau de revenu ou à une situation de pauvreté documentée. Applicable aux programmes sociaux ciblés.</w:t>
      </w:r>
    </w:p>
    <w:p>
      <w:pPr>
        <w:pStyle w:val="Compact"/>
        <w:numPr>
          <w:ilvl w:val="0"/>
          <w:numId w:val="1001"/>
        </w:numPr>
      </w:pPr>
      <w:r>
        <w:rPr>
          <w:b/>
          <w:bCs/>
        </w:rPr>
        <w:t xml:space="preserve">Ciblage catégoriel</w:t>
      </w:r>
      <w:r>
        <w:t xml:space="preserve"> </w:t>
      </w:r>
      <w:r>
        <w:t xml:space="preserve">: accès réservé à une catégorie démographique ou de vulnérabilité définie sans condition de revenu explicite.</w:t>
      </w:r>
    </w:p>
    <w:p>
      <w:pPr>
        <w:pStyle w:val="Compact"/>
        <w:numPr>
          <w:ilvl w:val="0"/>
          <w:numId w:val="1001"/>
        </w:numPr>
      </w:pPr>
      <w:r>
        <w:rPr>
          <w:b/>
          <w:bCs/>
        </w:rPr>
        <w:t xml:space="preserve">Résidence</w:t>
      </w:r>
      <w:r>
        <w:t xml:space="preserve"> </w:t>
      </w:r>
      <w:r>
        <w:t xml:space="preserve">: accès lié au fait de résider sur un territoire donné, indépendamment du statut professionnel ou économique.</w:t>
      </w:r>
    </w:p>
    <w:p>
      <w:pPr>
        <w:pStyle w:val="Compact"/>
        <w:numPr>
          <w:ilvl w:val="0"/>
          <w:numId w:val="1001"/>
        </w:numPr>
      </w:pPr>
      <w:r>
        <w:rPr>
          <w:b/>
          <w:bCs/>
        </w:rPr>
        <w:t xml:space="preserve">Accès universel ou quasi universel</w:t>
      </w:r>
      <w:r>
        <w:t xml:space="preserve"> </w:t>
      </w:r>
      <w:r>
        <w:t xml:space="preserve">: accès non conditionné, ouvert à l'ensemble de la population ou d'un groupe très large, sans critère d'éligibilité restrictif.</w:t>
      </w:r>
    </w:p>
    <w:p>
      <w:pPr>
        <w:pStyle w:val="Normal"/>
      </w:pPr>
      <w:r>
        <w:t xml:space="preserve">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bookmarkEnd w:id="226"/>
    <w:bookmarkEnd w:id="227"/>
    <w:bookmarkEnd w:id="228"/>
    <w:bookmarkStart w:id="229" w:name="Xd9552ae2030b60331a35179a9b1c8ef8a02f308"/>
    <w:p>
      <w:pPr>
        <w:pStyle w:val="Heading1"/>
      </w:pPr>
      <w:r>
        <w:t xml:space="preserve">Annexe B — Fiches institutionnelles détaillées</w:t>
      </w:r>
    </w:p>
    <w:bookmarkEnd w:id="229"/>
    <w:bookmarkStart w:id="234" w:name="X18093ea093160aba48812e82b724d5cfad27884"/>
    <w:p>
      <w:pPr>
        <w:pStyle w:val="Heading1"/>
      </w:pPr>
      <w:r>
        <w:t xml:space="preserve">B.1 Caisse Nationale de Sécurité Sociale (CNSS)</w:t>
      </w:r>
    </w:p>
    <w:bookmarkStart w:id="230" w:name="cadre-juridique-et-institutionnel"/>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Décret-loi n° 87-021 du 5 août 1987 portant organisation de la sécurité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social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1987 (refonte du régime de sécurité sociale)</w:t>
            </w:r>
          </w:p>
        </w:tc>
      </w:tr>
    </w:tbl>
    <w:bookmarkEnd w:id="230"/>
    <w:bookmarkStart w:id="231" w:name="mission-et-branches-couvertes"/>
    <w:p>
      <w:pPr>
        <w:pStyle w:val="Heading2"/>
      </w:pPr>
      <w:r>
        <w:t xml:space="preserve">Mission et branches couvertes</w:t>
      </w:r>
    </w:p>
    <w:p>
      <w:pPr>
        <w:pStyle w:val="Normal"/>
      </w:pPr>
      <w:r>
        <w:t xml:space="preserve">La CNSS a pour mission de coordonner et d'administrer les prestations de sécurité sociale pour les travailleurs du secteur privé formel et leurs ayants droit.</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normale, proportionnelle, anticipée, de survivant ; allocation de décès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d'incapacité, rentes de survivant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Indemnités de maternité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gérée directement par la CNSS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Chômage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bl>
    <w:p>
      <w:pPr>
        <w:pStyle w:val="Normal"/>
      </w:pPr>
      <w:r>
        <w:rPr>
          <w:b/>
          <w:bCs/>
        </w:rPr>
        <w:t xml:space="preserve">Population assujettie :</w:t>
      </w:r>
      <w:r>
        <w:t xml:space="preserve"> </w:t>
      </w:r>
      <w:r>
        <w:t xml:space="preserve">travailleurs salariés du secteur privé (formel), congolais et étrangers, exerçant sur le territoire national.</w:t>
      </w:r>
    </w:p>
    <w:bookmarkEnd w:id="231"/>
    <w:bookmarkStart w:id="232" w:name="donnees-de-couverture"/>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(contributeurs)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613 761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 (vieillesse + invalidité)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 (rentes d'incapacité)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1 053</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 (rentes de survivant)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1 781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d'allocations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Sources : premier Bulletin statistique RDC (2023) pour 20192022. Données 2023 à transmettre par la CNSS.</w:t>
      </w:r>
    </w:p>
    <w:bookmarkEnd w:id="232"/>
    <w:bookmarkStart w:id="233" w:name="evolutions-et-reformes-en-cours"/>
    <w:p>
      <w:pPr>
        <w:pStyle w:val="Heading2"/>
      </w:pPr>
      <w:r>
        <w:t xml:space="preserve">Évolutions et réformes en cours</w:t>
      </w:r>
    </w:p>
    <w:p>
      <w:pPr>
        <w:pStyle w:val="Normal"/>
      </w:pPr>
      <w:r>
        <w:t xml:space="preserve">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d'avant-crise.</w:t>
      </w:r>
    </w:p>
    <w:p>
      <w:pPr>
        <w:pStyle w:val="Normal"/>
      </w:pPr>
      <w:r>
        <w:rPr>
          <w:i/>
          <w:iCs/>
        </w:rPr>
        <w:t xml:space="preserve">[À compléter : réformes législatives récentes, extension géographique, informatisation du registre, etc.]</w:t>
      </w:r>
    </w:p>
    <w:bookmarkEnd w:id="233"/>
    <w:bookmarkEnd w:id="234"/>
    <w:bookmarkStart w:id="239" w:name="X3f03b1681aa93e593fecf9568ba9c9c3c6dbef6"/>
    <w:p>
      <w:pPr>
        <w:pStyle w:val="Heading1"/>
      </w:pPr>
      <w:r>
        <w:t xml:space="preserve">B.2 Caisse Nationale de Sécurité Sociale des Agents Publics de l'État (CNSSAP)</w:t>
      </w:r>
    </w:p>
    <w:bookmarkStart w:id="235" w:name="cadre-juridique-et-institutionnel_1"/>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n° 15/031 du 14 décembre 2015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administratif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2015</w:t>
            </w:r>
          </w:p>
        </w:tc>
      </w:tr>
    </w:tbl>
    <w:bookmarkEnd w:id="235"/>
    <w:bookmarkStart w:id="236" w:name="mission-et-branches-couvertes_1"/>
    <w:p>
      <w:pPr>
        <w:pStyle w:val="Heading2"/>
      </w:pPr>
      <w:r>
        <w:t xml:space="preserve">Mission et branches couvertes</w:t>
      </w:r>
    </w:p>
    <w:p>
      <w:pPr>
        <w:pStyle w:val="Normal"/>
      </w:pPr>
      <w:r>
        <w:t xml:space="preserve">La CNSSAP a pour mission de coordonner et d'administrer les prestations de sécurité sociale pour les agents publics de l'État et leurs ayants droit.</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 de déploiement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officiellement lancée en mai 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gérée directement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Chômage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bl>
    <w:p>
      <w:pPr>
        <w:pStyle w:val="Normal"/>
      </w:pPr>
      <w:r>
        <w:rPr>
          <w:b/>
          <w:bCs/>
        </w:rPr>
        <w:t xml:space="preserve">Population assujettie :</w:t>
      </w:r>
      <w:r>
        <w:t xml:space="preserve"> </w:t>
      </w:r>
      <w:r>
        <w:t xml:space="preserve">agents de carrière des services publics de l'État, fonctionnaires contractuels, stagiaires et apprentis sous contrat. Les militaires et policiers relèvent de régimes spéciaux distincts.</w:t>
      </w:r>
    </w:p>
    <w:bookmarkEnd w:id="236"/>
    <w:bookmarkStart w:id="237" w:name="donnees-de-couverture_1"/>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actifs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172 204</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198 399</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dont hommes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110 912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138 443</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dont femmes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65 624</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Sources : premier Bulletin statistique RDC (2023) pour 20192022. Données 2023 à transmettre par la CNSSAP.</w:t>
      </w:r>
    </w:p>
    <w:bookmarkEnd w:id="237"/>
    <w:bookmarkStart w:id="238" w:name="evolutions-et-reformes-en-cours_1"/>
    <w:p>
      <w:pPr>
        <w:pStyle w:val="Heading2"/>
      </w:pPr>
      <w:r>
        <w:t xml:space="preserve">Évolutions et réformes en cours</w:t>
      </w:r>
    </w:p>
    <w:p>
      <w:pPr>
        <w:pStyle w:val="Normal"/>
      </w:pPr>
      <w:r>
        <w:rPr>
          <w:b/>
          <w:bCs/>
        </w:rPr>
        <w:t xml:space="preserve">Mécanisation des agents publics.</w:t>
      </w:r>
      <w:r>
        <w:t xml:space="preserve"> </w:t>
      </w:r>
      <w:r>
        <w:t xml:space="preserve">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101 000 agents supplémentaires.</w:t>
      </w:r>
    </w:p>
    <w:p>
      <w:pPr>
        <w:pStyle w:val="Normal"/>
      </w:pPr>
      <w:r>
        <w:rPr>
          <w:b/>
          <w:bCs/>
        </w:rPr>
        <w:t xml:space="preserve">Mise à la retraite par vagues.</w:t>
      </w:r>
      <w:r>
        <w:t xml:space="preserve"> </w:t>
      </w:r>
      <w:r>
        <w:t xml:space="preserve">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pPr>
        <w:pStyle w:val="Normal"/>
      </w:pPr>
      <w:r>
        <w:rPr>
          <w:b/>
          <w:bCs/>
        </w:rPr>
        <w:t xml:space="preserve">Lancement de la branche AT/MP.</w:t>
      </w:r>
      <w:r>
        <w:t xml:space="preserve"> </w:t>
      </w:r>
      <w:r>
        <w:t xml:space="preserve">En mai 2023, la branche accidents du travail et maladies professionnelles a été officiellement lancée, étendant la couverture de la CNSSAP à l'ensemble de ses contributeurs.</w:t>
      </w:r>
    </w:p>
    <w:p>
      <w:pPr>
        <w:pStyle w:val="Normal"/>
      </w:pPr>
      <w:r>
        <w:rPr>
          <w:i/>
          <w:iCs/>
        </w:rPr>
        <w:t xml:space="preserve">[À compléter : autres réformes en cours, extension aux enseignants, déploiement du système informatique, etc.]</w:t>
      </w:r>
    </w:p>
    <w:bookmarkEnd w:id="238"/>
    <w:bookmarkEnd w:id="239"/>
    <w:bookmarkStart w:id="244" w:name="X9ed90e874d7ea7d4d610365174f9098c0c41dd2"/>
    <w:p>
      <w:pPr>
        <w:pStyle w:val="Heading1"/>
      </w:pPr>
      <w:r>
        <w:t xml:space="preserve">B.3 Fonds National de Promotion et de Service Social (FNPSS)</w:t>
      </w:r>
    </w:p>
    <w:bookmarkStart w:id="240" w:name="cadre-juridique-et-institutionnel_2"/>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bl>
    <w:bookmarkEnd w:id="240"/>
    <w:bookmarkStart w:id="241" w:name="mission-et-branches-couvertes_2"/>
    <w:p>
      <w:pPr>
        <w:pStyle w:val="Heading2"/>
      </w:pPr>
      <w:r>
        <w:t xml:space="preserve">Mission et branches couvertes</w:t>
      </w:r>
    </w:p>
    <w:p>
      <w:pPr>
        <w:pStyle w:val="Normal"/>
      </w:pPr>
      <w:r>
        <w:rPr>
          <w:i/>
          <w:iCs/>
        </w:rPr>
        <w:t xml:space="preserve">[À rédiger à réception des informations du FNPSS.]</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b/>
          <w:bCs/>
        </w:rPr>
        <w:t xml:space="preserve">Population assujettie :</w:t>
      </w:r>
      <w:r>
        <w:t xml:space="preserve"> </w:t>
      </w:r>
      <w:r>
        <w:rPr>
          <w:i/>
          <w:iCs/>
        </w:rPr>
        <w:t xml:space="preserve">À préciser.</w:t>
      </w:r>
    </w:p>
    <w:bookmarkEnd w:id="241"/>
    <w:bookmarkStart w:id="242" w:name="donnees-de-couverture_2"/>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bookmarkEnd w:id="242"/>
    <w:bookmarkStart w:id="243" w:name="evolutions-et-reformes-en-cours_2"/>
    <w:p>
      <w:pPr>
        <w:pStyle w:val="Heading2"/>
      </w:pPr>
      <w:r>
        <w:t xml:space="preserve">Évolutions et réformes en cours</w:t>
      </w:r>
    </w:p>
    <w:p>
      <w:pPr>
        <w:pStyle w:val="Normal"/>
      </w:pPr>
      <w:r>
        <w:rPr>
          <w:i/>
          <w:iCs/>
        </w:rPr>
        <w:t xml:space="preserve">[À rédiger à réception des informations du FNPSS.]</w:t>
      </w:r>
    </w:p>
    <w:bookmarkEnd w:id="243"/>
    <w:bookmarkEnd w:id="244"/>
    <w:bookmarkStart w:id="249" w:name="Xa01847978b6c2488585ea0a18a7398d7cc09228"/>
    <w:p>
      <w:pPr>
        <w:pStyle w:val="Heading1"/>
      </w:pPr>
      <w:r>
        <w:t xml:space="preserve">B.4 Mutuelle de Santé des Enseignants de l'Enseignement Primaire, Secondaire et Professionnel (MESP)</w:t>
      </w:r>
    </w:p>
    <w:bookmarkStart w:id="245" w:name="cadre-juridique-et-institutionnel_3"/>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Arrêté n° 027/CAB/MINETAT/MTEPS/01/2019 (agrément) ; Arrêté n° 042/CAB/MIN/JGSDH/2015 (reconnaissance)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l'Enseignement Primaire, Secondaire et Technique (MEPST)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 santé agréée, obligatoire et statutaire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 / agrément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2015 (reconnaissance) ; 2019 (agrément)</w:t>
            </w:r>
          </w:p>
        </w:tc>
      </w:tr>
    </w:tbl>
    <w:bookmarkEnd w:id="245"/>
    <w:bookmarkStart w:id="246" w:name="mission-et-branches-couvertes_3"/>
    <w:p>
      <w:pPr>
        <w:pStyle w:val="Heading2"/>
      </w:pPr>
      <w:r>
        <w:t xml:space="preserve">Mission et branches couvertes</w:t>
      </w:r>
    </w:p>
    <w:p>
      <w:pPr>
        <w:pStyle w:val="Normal"/>
      </w:pPr>
      <w:r>
        <w:t xml:space="preserve">La MESP est la seule mutuelle obligatoire et statutaire en RDC. Elle est une société d'assurance maladie obligatoire de type corporatif qui regroupe tous les enseignants du secteur public.</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 (assurance maladie)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Paquet étendu : soins ambulatoires, spécialisés, hospitaliers, médicaments, examens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Incluse dans le paquet de soins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bl>
    <w:p>
      <w:pPr>
        <w:pStyle w:val="Normal"/>
      </w:pPr>
      <w:r>
        <w:rPr>
          <w:b/>
          <w:bCs/>
        </w:rPr>
        <w:t xml:space="preserve">Population assujettie :</w:t>
      </w:r>
      <w:r>
        <w:t xml:space="preserve"> </w:t>
      </w:r>
      <w:r>
        <w:t xml:space="preserve">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bookmarkEnd w:id="246"/>
    <w:bookmarkStart w:id="247" w:name="donnees-de-couverture_3"/>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(titulaires enseignants)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50 256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54 383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60 745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80 041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Membres de famille à charge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72 291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76 578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81 081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84 836</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Total couvert</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122 547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130 961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141 826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164 877</w:t>
            </w:r>
          </w:p>
        </w:tc>
        <w:tc>
          <w:tcPr/>
          <w:tcPr>
            <w:tcBorders>
              <w:top w:val="single" w:sz="4" w:space="0" w:color="000000"/>
              <w:left w:val="single" w:sz="4" w:space="0" w:color="000000"/>
              <w:bottom w:val="single" w:sz="4" w:space="0" w:color="000000"/>
              <w:right w:val="single" w:sz="4" w:space="0" w:color="000000"/>
            </w:tcBorders>
          </w:tcPr>
          <w:p/>
        </w:tc>
      </w:tr>
    </w:tbl>
    <w:p>
      <w:pPr>
        <w:pStyle w:val="Source-GraphicPicture"/>
      </w:pPr>
      <w:r>
        <w:rPr>
          <w:i/>
          <w:iCs/>
        </w:rPr>
        <w:t xml:space="preserve">Source : données transmises par le MEPST (2023), reprises dans le premier Bulletin statistique RDC N°1/2023.</w:t>
      </w:r>
    </w:p>
    <w:bookmarkEnd w:id="247"/>
    <w:bookmarkStart w:id="248" w:name="evolutions-et-reformes-en-cours_3"/>
    <w:p>
      <w:pPr>
        <w:pStyle w:val="Heading2"/>
      </w:pPr>
      <w:r>
        <w:t xml:space="preserve">Évolutions et réformes en cours</w:t>
      </w:r>
    </w:p>
    <w:p>
      <w:pPr>
        <w:pStyle w:val="Normal"/>
      </w:pPr>
      <w:r>
        <w:t xml:space="preserve">Entre 2019 et 2022, le nombre de contributeurs à la MESP a progressé de</w:t>
      </w:r>
      <w:r>
        <w:t xml:space="preserve"> </w:t>
      </w:r>
      <w:r>
        <w:rPr>
          <w:b/>
          <w:bCs/>
        </w:rPr>
        <w:t xml:space="preserve">59,3 %</w:t>
      </w:r>
      <w:r>
        <w:t xml:space="preserve">, passant de 50 256 à 80 041. Le nombre de personnes à charge a également augmenté, atteignant 84 836 en 2022, pour un total couvert de 164 877 personnes.</w:t>
      </w:r>
    </w:p>
    <w:p>
      <w:pPr>
        <w:pStyle w:val="Normal"/>
      </w:pPr>
      <w:r>
        <w:t xml:space="preserve">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w:t>
      </w:r>
    </w:p>
    <w:p>
      <w:pPr>
        <w:pStyle w:val="Normal"/>
      </w:pPr>
      <w:r>
        <w:t xml:space="preserve">L'extension géographique progressive constitue le principal enjeu stratégique de la MESP pour les années à venir.</w:t>
      </w:r>
    </w:p>
    <w:bookmarkEnd w:id="248"/>
    <w:bookmarkEnd w:id="249"/>
    <w:bookmarkStart w:id="254" w:name="b5-fonds-de-solidarite-de-sante-fss"/>
    <w:p>
      <w:pPr>
        <w:pStyle w:val="Heading1"/>
      </w:pPr>
      <w:r>
        <w:t xml:space="preserve">B.5 Fonds de Solidarité de Santé (FSS)</w:t>
      </w:r>
    </w:p>
    <w:bookmarkStart w:id="250" w:name="cadre-juridique-et-institutionnel_4"/>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Loi n° 18/035 du 13 décembre 2018 fixant les principes fondamentaux relatifs à l'organisation de la santé publique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d'organisation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n° 22/13 du 09 avril 2022</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administratif, doté de la personnalité juridique et de l'autonomie de gestion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2018 (loi) ; organisation précisée en 2022</w:t>
            </w:r>
          </w:p>
        </w:tc>
      </w:tr>
    </w:tbl>
    <w:bookmarkEnd w:id="250"/>
    <w:bookmarkStart w:id="251" w:name="mission-et-branches-couvertes_4"/>
    <w:p>
      <w:pPr>
        <w:pStyle w:val="Heading2"/>
      </w:pPr>
      <w:r>
        <w:t xml:space="preserve">Mission et branches couvertes</w:t>
      </w:r>
    </w:p>
    <w:p>
      <w:pPr>
        <w:pStyle w:val="Normal"/>
      </w:pPr>
      <w:r>
        <w:t xml:space="preserve">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pPr>
        <w:pStyle w:val="Normal"/>
      </w:pPr>
      <w:r>
        <w:t xml:space="preserve">Le FSS a vocation à regrouper, à terme, plusieurs régimes :</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Statut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pour les agents publics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 d'opérationnalisation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pour les travailleurs du secteur privé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scolaire et estudiantine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Assistance médicale aux personnes vulnérables (non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spécial sur la gratuité de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Opérationnel depuis septembre 2023</w:t>
            </w:r>
            <w:r>
              <w:t xml:space="preserve"> </w:t>
            </w:r>
            <w:r>
              <w:t xml:space="preserve">(Kinshasa)</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bl>
    <w:bookmarkEnd w:id="251"/>
    <w:bookmarkStart w:id="252" w:name="donnees-de-couverture_4"/>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la gratuité de la 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En cours de déploiement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Lancé en septembre 2023 à Kinshasa</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cible (ville-province de Kinshasa)</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1618 millions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Première phase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actifs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Contributions non encore prélevées</w:t>
            </w:r>
          </w:p>
        </w:tc>
      </w:tr>
    </w:tbl>
    <w:p>
      <w:pPr>
        <w:pStyle w:val="Normal"/>
      </w:pPr>
      <w:r>
        <w:rPr>
          <w:i/>
          <w:iCs/>
        </w:rPr>
        <w:t xml:space="preserve">À compléter à réception des données du FSS.</w:t>
      </w:r>
    </w:p>
    <w:bookmarkEnd w:id="252"/>
    <w:bookmarkStart w:id="253" w:name="evolutions-et-reformes-en-cours_4"/>
    <w:p>
      <w:pPr>
        <w:pStyle w:val="Heading2"/>
      </w:pPr>
      <w:r>
        <w:t xml:space="preserve">Évolutions et réformes en cours</w:t>
      </w:r>
    </w:p>
    <w:p>
      <w:pPr>
        <w:pStyle w:val="Normal"/>
      </w:pPr>
      <w:r>
        <w:t xml:space="preserve">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pPr>
        <w:pStyle w:val="Normal"/>
      </w:pPr>
      <w:r>
        <w:t xml:space="preserve">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bookmarkEnd w:id="253"/>
    <w:bookmarkEnd w:id="254"/>
    <w:bookmarkStart w:id="259" w:name="Xdfb106671bc93e5d28332a0ebe4edc635ed6fd5"/>
    <w:p>
      <w:pPr>
        <w:pStyle w:val="Heading1"/>
      </w:pPr>
      <w:r>
        <w:t xml:space="preserve">B.6 Service Autonome de Sécurité Sociale des Parlementaires (SESOPA)</w:t>
      </w:r>
    </w:p>
    <w:bookmarkStart w:id="255" w:name="cadre-juridique-et-institutionnel_5"/>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Loi n° 88-002 du 29 janvier 1988</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Autorité de tutelle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Assemblée Nationale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Service autonome placé sous la responsabilité de l'Assemblée Nationale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spécial contributif (partiellement)</w:t>
            </w:r>
          </w:p>
        </w:tc>
      </w:tr>
    </w:tbl>
    <w:bookmarkEnd w:id="255"/>
    <w:bookmarkStart w:id="256" w:name="mission-et-branches-couvertes_5"/>
    <w:p>
      <w:pPr>
        <w:pStyle w:val="Heading2"/>
      </w:pPr>
      <w:r>
        <w:t xml:space="preserve">Mission et branches couvertes</w:t>
      </w:r>
    </w:p>
    <w:p>
      <w:pPr>
        <w:pStyle w:val="Normal"/>
      </w:pPr>
      <w:r>
        <w:t xml:space="preserve">La SESOPA gère le régime de protection sociale des parlementaires nationaux.</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 aux ayants droit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mentionnée explicitement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 par ce régime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bl>
    <w:p>
      <w:pPr>
        <w:pStyle w:val="Normal"/>
      </w:pPr>
      <w:r>
        <w:rPr>
          <w:b/>
          <w:bCs/>
        </w:rPr>
        <w:t xml:space="preserve">Population assujettie :</w:t>
      </w:r>
      <w:r>
        <w:t xml:space="preserve"> </w:t>
      </w:r>
      <w:r>
        <w:t xml:space="preserve">parlementaires nationaux (Assemblée Nationale) et leurs ayants droit.</w:t>
      </w:r>
    </w:p>
    <w:bookmarkEnd w:id="256"/>
    <w:bookmarkStart w:id="257" w:name="donnees-de-couverture_5"/>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Parlementaires affiliés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Données non disponibles au moment du premier bulletin. À transmettre par la SESOPA.</w:t>
      </w:r>
    </w:p>
    <w:bookmarkEnd w:id="257"/>
    <w:bookmarkStart w:id="258" w:name="evolutions-et-reformes-en-cours_5"/>
    <w:p>
      <w:pPr>
        <w:pStyle w:val="Heading2"/>
      </w:pPr>
      <w:r>
        <w:t xml:space="preserve">Évolutions et réformes en cours</w:t>
      </w:r>
    </w:p>
    <w:p>
      <w:pPr>
        <w:pStyle w:val="Normal"/>
      </w:pPr>
      <w:r>
        <w:rPr>
          <w:i/>
          <w:iCs/>
        </w:rPr>
        <w:t xml:space="preserve">[À compléter à réception des informations de la SESOPA.]</w:t>
      </w:r>
    </w:p>
    <w:bookmarkEnd w:id="258"/>
    <w:bookmarkEnd w:id="259"/>
    <w:bookmarkStart w:id="263" w:name="X4bb083a8c3ca8421236d101177bbc29806d64af"/>
    <w:p>
      <w:pPr>
        <w:pStyle w:val="Heading1"/>
      </w:pPr>
      <w:r>
        <w:t xml:space="preserve">B.7 Régimes spéciaux non contributifs de la fonction publique</w:t>
      </w:r>
    </w:p>
    <w:p>
      <w:pPr>
        <w:pStyle w:val="Normal"/>
      </w:pPr>
      <w:r>
        <w:rPr>
          <w:i/>
          <w:iCs/>
        </w:rPr>
        <w:t xml:space="preserve">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bookmarkStart w:id="260" w:name="regimes-identifies"/>
    <w:p>
      <w:pPr>
        <w:pStyle w:val="Heading2"/>
      </w:pPr>
      <w:r>
        <w:t xml:space="preserve">Régimes identifiés</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Autorité en charge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Texte juridique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protégée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la Présidence et Primature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Présidence de la République et Primature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Ordonnance n° 82-046 du 31 mars 1982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de l'État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médicaux, indemnité de cessation de mandat, 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militaire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Défense et des Anciens Combattants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 (non précisé)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Militaires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magistrats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Justice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Ordonnance-Loi n° 88-056 du 29 septembre 1988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Magistrats civils et militaires de l'ordre de justice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décès, invalidité</w:t>
            </w:r>
          </w:p>
        </w:tc>
      </w:tr>
    </w:tbl>
    <w:bookmarkEnd w:id="260"/>
    <w:bookmarkStart w:id="261" w:name="donnees-disponibles"/>
    <w:p>
      <w:pPr>
        <w:pStyle w:val="Heading2"/>
      </w:pPr>
      <w:r>
        <w:t xml:space="preserve">Données disponibles</w:t>
      </w:r>
    </w:p>
    <w:p>
      <w:pPr>
        <w:pStyle w:val="Normal"/>
      </w:pPr>
      <w:r>
        <w:t xml:space="preserve">Aucune donnée statistique détaillée n'a pu être obtenue pour ces régimes lors de la préparation du premier bulletin. L'obtention de données auprès des ministères de tutelle constitue un objectif prioritaire pour le présent bulletin.</w:t>
      </w:r>
    </w:p>
    <w:bookmarkEnd w:id="261"/>
    <w:bookmarkStart w:id="262" w:name="perspective-de-collecte"/>
    <w:p>
      <w:pPr>
        <w:pStyle w:val="Heading2"/>
      </w:pPr>
      <w:r>
        <w:t xml:space="preserve">Perspective de collecte</w:t>
      </w:r>
    </w:p>
    <w:p>
      <w:pPr>
        <w:pStyle w:val="Normal"/>
      </w:pPr>
      <w:r>
        <w:rPr>
          <w:i/>
          <w:iCs/>
        </w:rPr>
        <w:t xml:space="preserve">[À compléter selon les données reçues des ministères concernés : Présidence / Primature, Défense, Justice.]</w:t>
      </w:r>
    </w:p>
    <w:bookmarkEnd w:id="262"/>
    <w:bookmarkEnd w:id="263"/>
    <w:bookmarkStart w:id="264" w:name="X06ffccb4052a4938aeaa62a22824dbbcf4e31ee"/>
    <w:p>
      <w:pPr>
        <w:pStyle w:val="Heading1"/>
      </w:pPr>
      <w:r>
        <w:t xml:space="preserve">Annexe B — Programmes et dispositifs hors périmètre OIT</w:t>
      </w:r>
    </w:p>
    <w:bookmarkEnd w:id="264"/>
    <w:bookmarkStart w:id="265" w:name="titre-de-lannexe"/>
    <w:p>
      <w:pPr>
        <w:pStyle w:val="Heading1"/>
      </w:pPr>
      <w:r>
        <w:t xml:space="preserve">Titre de l’annexe</w:t>
      </w:r>
    </w:p>
    <w:bookmarkEnd w:id="265"/>
    <w:bookmarkStart w:id="266" w:name="titre-de-lannexe_1"/>
    <w:p>
      <w:pPr>
        <w:pStyle w:val="Heading1"/>
      </w:pPr>
      <w:r>
        <w:t xml:space="preserve">Titre de l’annexe</w:t>
      </w:r>
    </w:p>
    <w:bookmarkEnd w:id="266"/>
    <w:bookmarkStart w:id="267" w:name="titre-de-lannexe_2"/>
    <w:p>
      <w:pPr>
        <w:pStyle w:val="Heading1"/>
      </w:pPr>
      <w:r>
        <w:t xml:space="preserve">Titre de l’annexe</w:t>
      </w:r>
    </w:p>
    <w:bookmarkEnd w:id="267"/>
    <w:sectPr w:rsidR="0087638A" w:rsidRPr="00B02128" w:rsidSect="0008547A">
      <w:footnotePr>
        <w:numRestart w:val="eachSect"/>
      </w:footnotePr>
      <w:type w:val="continuous"/>
      <w:pgSz w:code="9" w:h="16838" w:w="11906"/>
      <w:pgMar w:bottom="1134" w:footer="567" w:gutter="0" w:header="709" w:left="1418" w:right="1418" w:top="170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Overpass">
    <w:altName w:val="Calibri"/>
    <w:charset w:val="00"/>
    <w:family w:val="auto"/>
    <w:pitch w:val="variable"/>
    <w:sig w:usb0="00000007" w:usb1="00000020" w:usb2="00000000" w:usb3="00000000" w:csb0="00000093" w:csb1="00000000"/>
  </w:font>
  <w:font w:name="Batang">
    <w:panose1 w:val="02030600000101010101"/>
    <w:charset w:val="81"/>
    <w:family w:val="roman"/>
    <w:pitch w:val="variable"/>
    <w:sig w:usb0="B00002AF" w:usb1="69D77CFB" w:usb2="00000030" w:usb3="00000000" w:csb0="0008009F" w:csb1="00000000"/>
  </w:font>
  <w:font w:name="Noto Sans SemBd">
    <w:altName w:val="Calibri"/>
    <w:charset w:val="01"/>
    <w:family w:val="swiss"/>
    <w:pitch w:val="variable"/>
    <w:sig w:usb0="E00002FF" w:usb1="4000001F" w:usb2="08000029" w:usb3="00000000" w:csb0="00000000" w:csb1="00000000"/>
  </w:font>
  <w:font w:name="Overpass Light">
    <w:altName w:val="Calibri"/>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panose1 w:val="02010600040101010101"/>
    <w:charset w:val="86"/>
    <w:family w:val="auto"/>
    <w:pitch w:val="variable"/>
    <w:sig w:usb0="00000287" w:usb1="080F0000" w:usb2="00000010" w:usb3="00000000" w:csb0="0004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19">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0">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4">
    <w:p>
      <w:pPr>
        <w:pStyle w:val="FootnoteText"/>
      </w:pPr>
      <w:r>
        <w:rPr>
          <w:rStyle w:val="FootnoteReference"/>
        </w:rPr>
        <w:footnoteRef/>
      </w:r>
      <w:r>
        <w:t xml:space="preserve"> </w:t>
      </w:r>
      <w:r>
        <w:t xml:space="preserve">Données : population totale, urbaine, rurale RDC 1950-2025 — ONU WPP 2024</w:t>
      </w:r>
    </w:p>
  </w:footnote>
  <w:footnote w:id="26">
    <w:p>
      <w:pPr>
        <w:pStyle w:val="FootnoteText"/>
      </w:pPr>
      <w:r>
        <w:rPr>
          <w:rStyle w:val="FootnoteReference"/>
        </w:rPr>
        <w:footnoteRef/>
      </w:r>
      <w:r>
        <w:t xml:space="preserve"> </w:t>
      </w:r>
      <w:r>
        <w:t xml:space="preserve">Source : UNFPA (2024) — World Population Dashboard RDC 2024</w:t>
      </w:r>
    </w:p>
  </w:footnote>
  <w:footnote w:id="27">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8">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2">
    <w:p>
      <w:pPr>
        <w:pStyle w:val="FootnoteText"/>
      </w:pPr>
      <w:r>
        <w:rPr>
          <w:rStyle w:val="FootnoteReference"/>
        </w:rPr>
        <w:footnoteRef/>
      </w:r>
      <w:r>
        <w:t xml:space="preserve"> </w:t>
      </w:r>
      <w:r>
        <w:t xml:space="preserve">Données : pyramide des âges RDC 2025 par sexe — ONU WPP 2024</w:t>
      </w:r>
    </w:p>
  </w:footnote>
  <w:footnote w:id="34">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5">
    <w:p>
      <w:pPr>
        <w:pStyle w:val="FootnoteText"/>
      </w:pPr>
      <w:r>
        <w:rPr>
          <w:rStyle w:val="FootnoteReference"/>
        </w:rPr>
        <w:footnoteRef/>
      </w:r>
      <w:r>
        <w:t xml:space="preserve"> </w:t>
      </w:r>
      <w:r>
        <w:t xml:space="preserve">Source : Banque mondiale — WDI (2024), d'après WUP 2025 Revision (Nations Unies)</w:t>
      </w:r>
    </w:p>
  </w:footnote>
  <w:footnote w:id="36">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7">
    <w:p>
      <w:pPr>
        <w:pStyle w:val="FootnoteText"/>
      </w:pPr>
      <w:r>
        <w:rPr>
          <w:rStyle w:val="FootnoteReference"/>
        </w:rPr>
        <w:footnoteRef/>
      </w:r>
      <w:r>
        <w:t xml:space="preserve"> </w:t>
      </w:r>
      <w:r>
        <w:t xml:space="preserve">Source : Banque mondiale — WDI (2024), d'après WUP 2025 Revision (Nations Unies)</w:t>
      </w:r>
    </w:p>
  </w:footnote>
  <w:footnote w:id="38">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42">
    <w:p>
      <w:pPr>
        <w:pStyle w:val="FootnoteText"/>
      </w:pPr>
      <w:r>
        <w:rPr>
          <w:rStyle w:val="FootnoteReference"/>
        </w:rPr>
        <w:footnoteRef/>
      </w:r>
      <w:r>
        <w:t xml:space="preserve"> </w:t>
      </w:r>
      <w:r>
        <w:t xml:space="preserve">Source : Banque mondiale — WDI (2024) — Croissance du PIB, RDC</w:t>
      </w:r>
    </w:p>
  </w:footnote>
  <w:footnote w:id="43">
    <w:p>
      <w:pPr>
        <w:pStyle w:val="FootnoteText"/>
      </w:pPr>
      <w:r>
        <w:rPr>
          <w:rStyle w:val="FootnoteReference"/>
        </w:rPr>
        <w:footnoteRef/>
      </w:r>
      <w:r>
        <w:t xml:space="preserve"> </w:t>
      </w:r>
      <w:r>
        <w:t xml:space="preserve">Source : Banque mondiale — WDI (2024) — Croissance du PIB, RDC</w:t>
      </w:r>
    </w:p>
  </w:footnote>
  <w:footnote w:id="44">
    <w:p>
      <w:pPr>
        <w:pStyle w:val="FootnoteText"/>
      </w:pPr>
      <w:r>
        <w:rPr>
          <w:rStyle w:val="FootnoteReference"/>
        </w:rPr>
        <w:footnoteRef/>
      </w:r>
      <w:r>
        <w:t xml:space="preserve"> </w:t>
      </w:r>
      <w:r>
        <w:t xml:space="preserve">Source : Banque mondiale — WDI (2024) — Croissance du PIB, RDC</w:t>
      </w:r>
    </w:p>
  </w:footnote>
  <w:footnote w:id="45">
    <w:p>
      <w:pPr>
        <w:pStyle w:val="FootnoteText"/>
      </w:pPr>
      <w:r>
        <w:rPr>
          <w:rStyle w:val="FootnoteReference"/>
        </w:rPr>
        <w:footnoteRef/>
      </w:r>
      <w:r>
        <w:t xml:space="preserve"> </w:t>
      </w:r>
      <w:r>
        <w:t xml:space="preserve">Source : Banque mondiale — WDI (2024) — Croissance du PIB, RDC</w:t>
      </w:r>
    </w:p>
  </w:footnote>
  <w:footnote w:id="46">
    <w:p>
      <w:pPr>
        <w:pStyle w:val="FootnoteText"/>
      </w:pPr>
      <w:r>
        <w:rPr>
          <w:rStyle w:val="FootnoteReference"/>
        </w:rPr>
        <w:footnoteRef/>
      </w:r>
      <w:r>
        <w:t xml:space="preserve"> </w:t>
      </w:r>
      <w:r>
        <w:t xml:space="preserve">Source : Banque mondiale — WDI (2024) — PIB par habitant, RDC</w:t>
      </w:r>
    </w:p>
  </w:footnote>
  <w:footnote w:id="47">
    <w:p>
      <w:pPr>
        <w:pStyle w:val="FootnoteText"/>
      </w:pPr>
      <w:r>
        <w:rPr>
          <w:rStyle w:val="FootnoteReference"/>
        </w:rPr>
        <w:footnoteRef/>
      </w:r>
      <w:r>
        <w:t xml:space="preserve"> </w:t>
      </w:r>
      <w:r>
        <w:t xml:space="preserve">Source : Banque mondiale — WDI — Gini 2020 ; enquête INS 2024 : 38,1</w:t>
      </w:r>
    </w:p>
  </w:footnote>
  <w:footnote w:id="48">
    <w:p>
      <w:pPr>
        <w:pStyle w:val="FootnoteText"/>
      </w:pPr>
      <w:r>
        <w:rPr>
          <w:rStyle w:val="FootnoteReference"/>
        </w:rPr>
        <w:footnoteRef/>
      </w:r>
      <w:r>
        <w:t xml:space="preserve"> </w:t>
      </w:r>
      <w:r>
        <w:t xml:space="preserve">Source : Banque mondiale (2026, citant enquête INS 2024) — 69 % de la population sous le seuil national</w:t>
      </w:r>
    </w:p>
  </w:footnote>
  <w:footnote w:id="52">
    <w:p>
      <w:pPr>
        <w:pStyle w:val="FootnoteText"/>
      </w:pPr>
      <w:r>
        <w:rPr>
          <w:rStyle w:val="FootnoteReference"/>
        </w:rPr>
        <w:footnoteRef/>
      </w:r>
      <w:r>
        <w:t xml:space="preserve"> </w:t>
      </w:r>
      <w:r>
        <w:t xml:space="preserve">Données : croissance PIB RDC 2000-2024 — Banque mondiale WDI</w:t>
      </w:r>
    </w:p>
  </w:footnote>
  <w:footnote w:id="54">
    <w:p>
      <w:pPr>
        <w:pStyle w:val="FootnoteText"/>
      </w:pPr>
      <w:r>
        <w:rPr>
          <w:rStyle w:val="FootnoteReference"/>
        </w:rPr>
        <w:footnoteRef/>
      </w:r>
      <w:r>
        <w:t xml:space="preserve"> </w:t>
      </w:r>
      <w:r>
        <w:t xml:space="preserve">Source : Banque mondiale — WDI (2024) — Emploi agricole, RDC. Total : 58,9 %, femmes : 67,8 %, hommes : 50,3 %</w:t>
      </w:r>
    </w:p>
  </w:footnote>
  <w:footnote w:id="55">
    <w:p>
      <w:pPr>
        <w:pStyle w:val="FootnoteText"/>
      </w:pPr>
      <w:r>
        <w:rPr>
          <w:rStyle w:val="FootnoteReference"/>
        </w:rPr>
        <w:footnoteRef/>
      </w:r>
      <w:r>
        <w:t xml:space="preserve"> </w:t>
      </w:r>
      <w:r>
        <w:t xml:space="preserve">Source : Banque mondiale — WDI (2024) — Taux de chômage modèle ILO, RDC</w:t>
      </w:r>
    </w:p>
  </w:footnote>
  <w:footnote w:id="56">
    <w:p>
      <w:pPr>
        <w:pStyle w:val="FootnoteText"/>
      </w:pPr>
      <w:r>
        <w:rPr>
          <w:rStyle w:val="FootnoteReference"/>
        </w:rPr>
        <w:footnoteRef/>
      </w:r>
      <w:r>
        <w:t xml:space="preserve"> </w:t>
      </w:r>
      <w:r>
        <w:t xml:space="preserve">Source : OIT, ILOSTAT — Estimations modélisées de l'emploi informel, RDC (données 2020) ; proxies WDI 2024 : emploi vulnérable 81,8 %, travailleurs indépendants 85,3 %</w:t>
      </w:r>
    </w:p>
  </w:footnote>
  <w:footnote w:id="57">
    <w:p>
      <w:pPr>
        <w:pStyle w:val="FootnoteText"/>
      </w:pPr>
      <w:r>
        <w:rPr>
          <w:rStyle w:val="FootnoteReference"/>
        </w:rPr>
        <w:footnoteRef/>
      </w:r>
      <w:r>
        <w:t xml:space="preserve"> </w:t>
      </w:r>
      <w:r>
        <w:t xml:space="preserve">Source : OIT, ILOSTAT — Emploi informel par sexe, RDC (2020)</w:t>
      </w:r>
    </w:p>
  </w:footnote>
  <w:footnote w:id="58">
    <w:p>
      <w:pPr>
        <w:pStyle w:val="FootnoteText"/>
      </w:pPr>
      <w:r>
        <w:rPr>
          <w:rStyle w:val="FootnoteReference"/>
        </w:rPr>
        <w:footnoteRef/>
      </w:r>
      <w:r>
        <w:t xml:space="preserve"> </w:t>
      </w:r>
      <w:r>
        <w:t xml:space="preserve">Source : OIT, ILOSTAT — Emploi informel par sexe, RDC (2020)</w:t>
      </w:r>
    </w:p>
  </w:footnote>
  <w:footnote w:id="62">
    <w:p>
      <w:pPr>
        <w:pStyle w:val="FootnoteText"/>
      </w:pPr>
      <w:r>
        <w:rPr>
          <w:rStyle w:val="FootnoteReference"/>
        </w:rPr>
        <w:footnoteRef/>
      </w:r>
      <w:r>
        <w:t xml:space="preserve"> </w:t>
      </w:r>
      <w:r>
        <w:t xml:space="preserve">Données : taux d'activité 15+ par sexe, RDC 2023 — OIT ILOSTAT</w:t>
      </w:r>
    </w:p>
  </w:footnote>
  <w:footnote w:id="63">
    <w:p>
      <w:pPr>
        <w:pStyle w:val="FootnoteText"/>
      </w:pPr>
      <w:r>
        <w:rPr>
          <w:rStyle w:val="FootnoteReference"/>
        </w:rPr>
        <w:footnoteRef/>
      </w:r>
      <w:r>
        <w:t xml:space="preserve"> </w:t>
      </w:r>
      <w:r>
        <w:t xml:space="preserve">Données : emploi informel par sexe, RDC 2020 — OIT ILOSTAT</w:t>
      </w:r>
    </w:p>
  </w:footnote>
  <w:footnote w:id="68">
    <w:p>
      <w:pPr>
        <w:pStyle w:val="FootnoteText"/>
      </w:pPr>
      <w:r>
        <w:rPr>
          <w:rStyle w:val="FootnoteReference"/>
        </w:rPr>
        <w:footnoteRef/>
      </w:r>
      <w:r>
        <w:t xml:space="preserve"> </w:t>
      </w:r>
      <w:r>
        <w:t xml:space="preserve">Données : emploi par secteur RDC 2024 — Banque mondiale WDI / ILOEST</w:t>
      </w:r>
    </w:p>
  </w:footnote>
  <w:footnote w:id="72">
    <w:p>
      <w:pPr>
        <w:pStyle w:val="FootnoteText"/>
      </w:pPr>
      <w:r>
        <w:rPr>
          <w:rStyle w:val="FootnoteReference"/>
        </w:rPr>
        <w:footnoteRef/>
      </w:r>
      <w:r>
        <w:t xml:space="preserve"> </w:t>
      </w:r>
      <w:r>
        <w:t xml:space="preserve">Source : Bureau International du Travail (2024) — Rapport mondial sur la protection sociale 2024-26</w:t>
      </w:r>
    </w:p>
  </w:footnote>
  <w:footnote w:id="73">
    <w:p>
      <w:pPr>
        <w:pStyle w:val="FootnoteText"/>
      </w:pPr>
      <w:r>
        <w:rPr>
          <w:rStyle w:val="FootnoteReference"/>
        </w:rPr>
        <w:footnoteRef/>
      </w:r>
      <w:r>
        <w:t xml:space="preserve"> </w:t>
      </w:r>
      <w:r>
        <w:t xml:space="preserve">Source : BIT (2024) — 52,4 % de la population mondiale couverte par au moins une prestation</w:t>
      </w:r>
    </w:p>
  </w:footnote>
  <w:footnote w:id="74">
    <w:p>
      <w:pPr>
        <w:pStyle w:val="FootnoteText"/>
      </w:pPr>
      <w:r>
        <w:rPr>
          <w:rStyle w:val="FootnoteReference"/>
        </w:rPr>
        <w:footnoteRef/>
      </w:r>
      <w:r>
        <w:t xml:space="preserve"> </w:t>
      </w:r>
      <w:r>
        <w:t xml:space="preserve">Source : BIT (2024) — 19,1 % de la population africaine couverte par au moins une prestation</w:t>
      </w:r>
    </w:p>
  </w:footnote>
  <w:footnote w:id="76">
    <w:p>
      <w:pPr>
        <w:pStyle w:val="FootnoteText"/>
      </w:pPr>
      <w:r>
        <w:rPr>
          <w:rStyle w:val="FootnoteReference"/>
        </w:rPr>
        <w:footnoteRef/>
      </w:r>
      <w:r>
        <w:t xml:space="preserve"> </w:t>
      </w:r>
      <w:r>
        <w:t xml:space="preserve">Source : Gouvernement de la RDC (2016) — Stratégie nationale de la protection sociale (SNPS)</w:t>
      </w:r>
    </w:p>
  </w:footnote>
  <w:footnote w:id="82">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83">
    <w:p>
      <w:pPr>
        <w:pStyle w:val="FootnoteText"/>
      </w:pPr>
      <w:r>
        <w:rPr>
          <w:rStyle w:val="FootnoteReference"/>
        </w:rPr>
        <w:footnoteRef/>
      </w:r>
      <w:r>
        <w:t xml:space="preserve"> </w:t>
      </w:r>
      <w:r>
        <w:t xml:space="preserve">Source : OIT (2021) — Building social protection systems — DUDH (1948), art. 25 : droit à un niveau de vie suffisant</w:t>
      </w:r>
    </w:p>
  </w:footnote>
  <w:footnote w:id="85">
    <w:p>
      <w:pPr>
        <w:pStyle w:val="FootnoteText"/>
      </w:pPr>
      <w:r>
        <w:rPr>
          <w:rStyle w:val="FootnoteReference"/>
        </w:rPr>
        <w:footnoteRef/>
      </w:r>
      <w:r>
        <w:t xml:space="preserve"> </w:t>
      </w:r>
      <w:r>
        <w:t xml:space="preserve">Source : OIT Convention no 102 sur la sécurité sociale (normes minimales), 1952</w:t>
      </w:r>
    </w:p>
  </w:footnote>
  <w:footnote w:id="86">
    <w:p>
      <w:pPr>
        <w:pStyle w:val="FootnoteText"/>
      </w:pPr>
      <w:r>
        <w:rPr>
          <w:rStyle w:val="FootnoteReference"/>
        </w:rPr>
        <w:footnoteRef/>
      </w:r>
      <w:r>
        <w:t xml:space="preserve"> </w:t>
      </w:r>
      <w:r>
        <w:t xml:space="preserve">Source : OIT Recommandation no 202 sur les socles de protection sociale, 2012</w:t>
      </w:r>
    </w:p>
  </w:footnote>
  <w:footnote w:id="89">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90">
    <w:p>
      <w:pPr>
        <w:pStyle w:val="FootnoteText"/>
      </w:pPr>
      <w:r>
        <w:rPr>
          <w:rStyle w:val="FootnoteReference"/>
        </w:rPr>
        <w:footnoteRef/>
      </w:r>
      <w:r>
        <w:t xml:space="preserve"> </w:t>
      </w:r>
      <w:r>
        <w:t xml:space="preserve">Source : OIT — Convention no 102 sur la sécurité sociale (normes minimales), 1952 — ratifiée par la RDC en 1987 (Parties V, VII, IX, X)</w:t>
      </w:r>
    </w:p>
  </w:footnote>
  <w:footnote w:id="91">
    <w:p>
      <w:pPr>
        <w:pStyle w:val="FootnoteText"/>
      </w:pPr>
      <w:r>
        <w:rPr>
          <w:rStyle w:val="FootnoteReference"/>
        </w:rPr>
        <w:footnoteRef/>
      </w:r>
      <w:r>
        <w:t xml:space="preserve"> </w:t>
      </w:r>
      <w:r>
        <w:t xml:space="preserve">Source : BIT (2024) — Rapport mondial sur la protection sociale 2024-26 — définition et méthodologie de l'indicateur ODD 1.3.1</w:t>
      </w:r>
    </w:p>
  </w:footnote>
  <w:footnote w:id="99">
    <w:p>
      <w:pPr>
        <w:pStyle w:val="FootnoteText"/>
      </w:pPr>
      <w:r>
        <w:rPr>
          <w:rStyle w:val="FootnoteReference"/>
        </w:rPr>
        <w:footnoteRef/>
      </w:r>
      <w:r>
        <w:t xml:space="preserve"> </w:t>
      </w:r>
      <w:r>
        <w:t xml:space="preserve">Source : OIT — Convention no 102 sur la sécurité sociale (normes minimales), 1952</w:t>
      </w:r>
    </w:p>
  </w:footnote>
  <w:footnote w:id="100">
    <w:p>
      <w:pPr>
        <w:pStyle w:val="FootnoteText"/>
      </w:pPr>
      <w:r>
        <w:rPr>
          <w:rStyle w:val="FootnoteReference"/>
        </w:rPr>
        <w:footnoteRef/>
      </w:r>
      <w:r>
        <w:t xml:space="preserve"> </w:t>
      </w:r>
      <w:r>
        <w:t xml:space="preserve">Source : CNSS RDC — Site officiel cnss.cd, consulté juin 2026</w:t>
      </w:r>
    </w:p>
  </w:footnote>
  <w:footnote w:id="101">
    <w:p>
      <w:pPr>
        <w:pStyle w:val="FootnoteText"/>
      </w:pPr>
      <w:r>
        <w:rPr>
          <w:rStyle w:val="FootnoteReference"/>
        </w:rPr>
        <w:footnoteRef/>
      </w:r>
      <w:r>
        <w:t xml:space="preserve"> </w:t>
      </w:r>
      <w:r>
        <w:t xml:space="preserve">Source : CNSSAP RDC — Site officiel cnssap.cd, consulté juin 2026</w:t>
      </w:r>
    </w:p>
  </w:footnote>
  <w:footnote w:id="102">
    <w:p>
      <w:pPr>
        <w:pStyle w:val="FootnoteText"/>
      </w:pPr>
      <w:r>
        <w:rPr>
          <w:rStyle w:val="FootnoteReference"/>
        </w:rPr>
        <w:footnoteRef/>
      </w:r>
      <w:r>
        <w:t xml:space="preserve"> </w:t>
      </w:r>
      <w:r>
        <w:t xml:space="preserve">CNSS RDC - branches et populations couvertes (cnss.cd, loi n°16/009)</w:t>
      </w:r>
    </w:p>
  </w:footnote>
  <w:footnote w:id="103">
    <w:p>
      <w:pPr>
        <w:pStyle w:val="FootnoteText"/>
      </w:pPr>
      <w:r>
        <w:rPr>
          <w:rStyle w:val="FootnoteReference"/>
        </w:rPr>
        <w:footnoteRef/>
      </w:r>
      <w:r>
        <w:t xml:space="preserve"> </w:t>
      </w:r>
      <w:r>
        <w:t xml:space="preserve">CNSSAP RDC - branches et populations couvertes (cnssap.cd, décret 15/031, loi 22/031)</w:t>
      </w:r>
    </w:p>
  </w:footnote>
  <w:footnote w:id="104">
    <w:p>
      <w:pPr>
        <w:pStyle w:val="FootnoteText"/>
      </w:pPr>
      <w:r>
        <w:rPr>
          <w:rStyle w:val="FootnoteReference"/>
        </w:rPr>
        <w:footnoteRef/>
      </w:r>
      <w:r>
        <w:t xml:space="preserve"> </w:t>
      </w:r>
      <w:r>
        <w:t xml:space="preserve">CNSS RDC - branches et populations couvertes (cnss.cd, loi n°16/009)</w:t>
      </w:r>
    </w:p>
  </w:footnote>
  <w:footnote w:id="105">
    <w:p>
      <w:pPr>
        <w:pStyle w:val="FootnoteText"/>
      </w:pPr>
      <w:r>
        <w:rPr>
          <w:rStyle w:val="FootnoteReference"/>
        </w:rPr>
        <w:footnoteRef/>
      </w:r>
      <w:r>
        <w:t xml:space="preserve"> </w:t>
      </w:r>
      <w:r>
        <w:t xml:space="preserve">CNSSAP RDC - branches et populations couvertes (cnssap.cd, décret 15/031, loi 22/031)</w:t>
      </w:r>
    </w:p>
  </w:footnote>
  <w:footnote w:id="106">
    <w:p>
      <w:pPr>
        <w:pStyle w:val="FootnoteText"/>
      </w:pPr>
      <w:r>
        <w:rPr>
          <w:rStyle w:val="FootnoteReference"/>
        </w:rPr>
        <w:footnoteRef/>
      </w:r>
      <w:r>
        <w:t xml:space="preserve"> </w:t>
      </w:r>
      <w:r>
        <w:t xml:space="preserve">CNSS RDC - branches et populations couvertes (cnss.cd, loi n°16/009)</w:t>
      </w:r>
    </w:p>
  </w:footnote>
  <w:footnote w:id="107">
    <w:p>
      <w:pPr>
        <w:pStyle w:val="FootnoteText"/>
      </w:pPr>
      <w:r>
        <w:rPr>
          <w:rStyle w:val="FootnoteReference"/>
        </w:rPr>
        <w:footnoteRef/>
      </w:r>
      <w:r>
        <w:t xml:space="preserve"> </w:t>
      </w:r>
      <w:r>
        <w:t xml:space="preserve">CNSSAP RDC - branches et populations couvertes (cnssap.cd, décret 15/031, loi 22/031)</w:t>
      </w:r>
    </w:p>
  </w:footnote>
  <w:footnote w:id="108">
    <w:p>
      <w:pPr>
        <w:pStyle w:val="FootnoteText"/>
      </w:pPr>
      <w:r>
        <w:rPr>
          <w:rStyle w:val="FootnoteReference"/>
        </w:rPr>
        <w:footnoteRef/>
      </w:r>
      <w:r>
        <w:t xml:space="preserve"> </w:t>
      </w:r>
      <w:r>
        <w:t xml:space="preserve">CNSS RDC - Site officiel cnss.cd et loi n°16/009 du 15 juillet 2016 - branches et populations couvertes</w:t>
      </w:r>
    </w:p>
  </w:footnote>
  <w:footnote w:id="109">
    <w:p>
      <w:pPr>
        <w:pStyle w:val="FootnoteText"/>
      </w:pPr>
      <w:r>
        <w:rPr>
          <w:rStyle w:val="FootnoteReference"/>
        </w:rPr>
        <w:footnoteRef/>
      </w:r>
      <w:r>
        <w:t xml:space="preserve"> </w:t>
      </w:r>
      <w:r>
        <w:t xml:space="preserve">CNSSAP RDC - Site officiel cnssap.cd ; décret n°15/031 du 14 déc. 2015 ; loi n°22/031 du 15 juil. 2022</w:t>
      </w:r>
    </w:p>
  </w:footnote>
  <w:footnote w:id="110">
    <w:p>
      <w:pPr>
        <w:pStyle w:val="FootnoteText"/>
      </w:pPr>
      <w:r>
        <w:rPr>
          <w:rStyle w:val="FootnoteReference"/>
        </w:rPr>
        <w:footnoteRef/>
      </w:r>
      <w:r>
        <w:t xml:space="preserve"> </w:t>
      </w:r>
      <w:r>
        <w:t xml:space="preserve">Premier bulletin statistique de la protection sociale en RDC (2023) - tableaux 3 à 7</w:t>
      </w:r>
    </w:p>
  </w:footnote>
  <w:footnote w:id="112">
    <w:p>
      <w:pPr>
        <w:pStyle w:val="FootnoteText"/>
      </w:pPr>
      <w:r>
        <w:rPr>
          <w:rStyle w:val="FootnoteReference"/>
        </w:rPr>
        <w:footnoteRef/>
      </w:r>
      <w:r>
        <w:t xml:space="preserve"> </w:t>
      </w:r>
      <w:r>
        <w:t xml:space="preserve">Premier bulletin statistique de la protection sociale en RDC (2023) - cartographie institutionnelle des régimes spéciaux</w:t>
      </w:r>
    </w:p>
  </w:footnote>
  <w:footnote w:id="114">
    <w:p>
      <w:pPr>
        <w:pStyle w:val="FootnoteText"/>
      </w:pPr>
      <w:r>
        <w:rPr>
          <w:rStyle w:val="FootnoteReference"/>
        </w:rPr>
        <w:footnoteRef/>
      </w:r>
      <w:r>
        <w:t xml:space="preserve"> </w:t>
      </w:r>
      <w:r>
        <w:t xml:space="preserve">Source : FSS RDC — Site officiel fss.cd, consulté juin 2026</w:t>
      </w:r>
    </w:p>
  </w:footnote>
  <w:footnote w:id="115">
    <w:p>
      <w:pPr>
        <w:pStyle w:val="FootnoteText"/>
      </w:pPr>
      <w:r>
        <w:rPr>
          <w:rStyle w:val="FootnoteReference"/>
        </w:rPr>
        <w:footnoteRef/>
      </w:r>
      <w:r>
        <w:t xml:space="preserve"> </w:t>
      </w:r>
      <w:r>
        <w:t xml:space="preserve">FSS RDC - produits et régimes opérationnels (fss.cd, juin 2026)</w:t>
      </w:r>
    </w:p>
  </w:footnote>
  <w:footnote w:id="116">
    <w:p>
      <w:pPr>
        <w:pStyle w:val="FootnoteText"/>
      </w:pPr>
      <w:r>
        <w:rPr>
          <w:rStyle w:val="FootnoteReference"/>
        </w:rPr>
        <w:footnoteRef/>
      </w:r>
      <w:r>
        <w:t xml:space="preserve"> </w:t>
      </w:r>
      <w:r>
        <w:t xml:space="preserve">FSS RDC - produits et régimes opérationnels (fss.cd, juin 2026)</w:t>
      </w:r>
    </w:p>
  </w:footnote>
  <w:footnote w:id="117">
    <w:p>
      <w:pPr>
        <w:pStyle w:val="FootnoteText"/>
      </w:pPr>
      <w:r>
        <w:rPr>
          <w:rStyle w:val="FootnoteReference"/>
        </w:rPr>
        <w:footnoteRef/>
      </w:r>
      <w:r>
        <w:t xml:space="preserve"> </w:t>
      </w:r>
      <w:r>
        <w:t xml:space="preserve">FSS RDC - produits et régimes opérationnels (fss.cd, juin 2026)</w:t>
      </w:r>
    </w:p>
  </w:footnote>
  <w:footnote w:id="118">
    <w:p>
      <w:pPr>
        <w:pStyle w:val="FootnoteText"/>
      </w:pPr>
      <w:r>
        <w:rPr>
          <w:rStyle w:val="FootnoteReference"/>
        </w:rPr>
        <w:footnoteRef/>
      </w:r>
      <w:r>
        <w:t xml:space="preserve"> </w:t>
      </w:r>
      <w:r>
        <w:t xml:space="preserve">FSS RDC - produits et régimes opérationnels (fss.cd, juin 2026)</w:t>
      </w:r>
    </w:p>
  </w:footnote>
  <w:footnote w:id="119">
    <w:p>
      <w:pPr>
        <w:pStyle w:val="FootnoteText"/>
      </w:pPr>
      <w:r>
        <w:rPr>
          <w:rStyle w:val="FootnoteReference"/>
        </w:rPr>
        <w:footnoteRef/>
      </w:r>
      <w:r>
        <w:t xml:space="preserve"> </w:t>
      </w:r>
      <w:r>
        <w:t xml:space="preserve">Premier bulletin statistique RDC (2023) - tableau 9 : MESP</w:t>
      </w:r>
    </w:p>
  </w:footnote>
  <w:footnote w:id="120">
    <w:p>
      <w:pPr>
        <w:pStyle w:val="FootnoteText"/>
      </w:pPr>
      <w:r>
        <w:rPr>
          <w:rStyle w:val="FootnoteReference"/>
        </w:rPr>
        <w:footnoteRef/>
      </w:r>
      <w:r>
        <w:t xml:space="preserve"> </w:t>
      </w:r>
      <w:r>
        <w:t xml:space="preserve">FSS RDC - Site officiel fss.cd (juin 2026) - produits et régimes opérationnels</w:t>
      </w:r>
    </w:p>
  </w:footnote>
  <w:footnote w:id="121">
    <w:p>
      <w:pPr>
        <w:pStyle w:val="FootnoteText"/>
      </w:pPr>
      <w:r>
        <w:rPr>
          <w:rStyle w:val="FootnoteReference"/>
        </w:rPr>
        <w:footnoteRef/>
      </w:r>
      <w:r>
        <w:t xml:space="preserve"> </w:t>
      </w:r>
      <w:r>
        <w:t xml:space="preserve">Premier bulletin statistique de la protection sociale en RDC (2023) - tableau 9 : MESP</w:t>
      </w:r>
    </w:p>
  </w:footnote>
  <w:footnote w:id="122">
    <w:p>
      <w:pPr>
        <w:pStyle w:val="FootnoteText"/>
      </w:pPr>
      <w:r>
        <w:rPr>
          <w:rStyle w:val="FootnoteReference"/>
        </w:rPr>
        <w:footnoteRef/>
      </w:r>
      <w:r>
        <w:t xml:space="preserve"> </w:t>
      </w:r>
      <w:r>
        <w:t xml:space="preserve">CNSSAP RDC - Base légale MESP incluse dans le champ CNSSAP / santé des agents publics</w:t>
      </w:r>
    </w:p>
  </w:footnote>
  <w:footnote w:id="124">
    <w:p>
      <w:pPr>
        <w:pStyle w:val="FootnoteText"/>
      </w:pPr>
      <w:r>
        <w:rPr>
          <w:rStyle w:val="FootnoteReference"/>
        </w:rPr>
        <w:footnoteRef/>
      </w:r>
      <w:r>
        <w:t xml:space="preserve"> </w:t>
      </w:r>
      <w:r>
        <w:t xml:space="preserve">OIT — Recommandation no 202 (2012) — §8 : les socles de protection sociale comprennent des garanties minimales pour les populations non couvertes par les régimes contributifs</w:t>
      </w:r>
    </w:p>
  </w:footnote>
  <w:footnote w:id="125">
    <w:p>
      <w:pPr>
        <w:pStyle w:val="FootnoteText"/>
      </w:pPr>
      <w:r>
        <w:rPr>
          <w:rStyle w:val="FootnoteReference"/>
        </w:rPr>
        <w:footnoteRef/>
      </w:r>
      <w:r>
        <w:t xml:space="preserve"> </w:t>
      </w:r>
      <w:r>
        <w:t xml:space="preserve">Premier bulletin statistique de la protection sociale en RDC (2023) — ch. 2.3 : programmes non contributifs d'assistance sociale</w:t>
      </w:r>
    </w:p>
  </w:footnote>
  <w:footnote w:id="126">
    <w:p>
      <w:pPr>
        <w:pStyle w:val="FootnoteText"/>
      </w:pPr>
      <w:r>
        <w:rPr>
          <w:rStyle w:val="FootnoteReference"/>
        </w:rPr>
        <w:footnoteRef/>
      </w:r>
      <w:r>
        <w:t xml:space="preserve"> </w:t>
      </w:r>
      <w:r>
        <w:t xml:space="preserve">PAM — Transferts de ressources sans conditions (TRC) — 4 037 575 bénéficiaires en 2021, 3 795 530 en 2022</w:t>
      </w:r>
    </w:p>
  </w:footnote>
  <w:footnote w:id="127">
    <w:p>
      <w:pPr>
        <w:pStyle w:val="FootnoteText"/>
      </w:pPr>
      <w:r>
        <w:rPr>
          <w:rStyle w:val="FootnoteReference"/>
        </w:rPr>
        <w:footnoteRef/>
      </w:r>
      <w:r>
        <w:t xml:space="preserve"> </w:t>
      </w:r>
      <w:r>
        <w:t xml:space="preserve">PAM RDC — site officiel wfp.org (consulté juin 2026) et Premier bulletin (2023)</w:t>
      </w:r>
    </w:p>
  </w:footnote>
  <w:footnote w:id="128">
    <w:p>
      <w:pPr>
        <w:pStyle w:val="FootnoteText"/>
      </w:pPr>
      <w:r>
        <w:rPr>
          <w:rStyle w:val="FootnoteReference"/>
        </w:rPr>
        <w:footnoteRef/>
      </w:r>
      <w:r>
        <w:t xml:space="preserve"> </w:t>
      </w:r>
      <w:r>
        <w:t xml:space="preserve">PAM + MEPST — Programme national de cantines scolaires — phase pilote initiée en 2023 pour consolider la gratuité de l'enseignement primaire</w:t>
      </w:r>
    </w:p>
  </w:footnote>
  <w:footnote w:id="129">
    <w:p>
      <w:pPr>
        <w:pStyle w:val="FootnoteText"/>
      </w:pPr>
      <w:r>
        <w:rPr>
          <w:rStyle w:val="FootnoteReference"/>
        </w:rPr>
        <w:footnoteRef/>
      </w:r>
      <w:r>
        <w:t xml:space="preserve"> </w:t>
      </w:r>
      <w:r>
        <w:t xml:space="preserve">PAM RDC — cantines scolaires : phase pilote, écoles publiques, objectif nutritionnel et scolarisation</w:t>
      </w:r>
    </w:p>
  </w:footnote>
  <w:footnote w:id="130">
    <w:p>
      <w:pPr>
        <w:pStyle w:val="FootnoteText"/>
      </w:pPr>
      <w:r>
        <w:rPr>
          <w:rStyle w:val="FootnoteReference"/>
        </w:rPr>
        <w:footnoteRef/>
      </w:r>
      <w:r>
        <w:t xml:space="preserve"> </w:t>
      </w:r>
      <w:r>
        <w:t xml:space="preserve">UNICEF — Cash + Nutrition (Tanganyika) — 226 648 enfants bénéficiaires en 2021 ; programme humanitaire récurrent</w:t>
      </w:r>
    </w:p>
  </w:footnote>
  <w:footnote w:id="131">
    <w:p>
      <w:pPr>
        <w:pStyle w:val="FootnoteText"/>
      </w:pPr>
      <w:r>
        <w:rPr>
          <w:rStyle w:val="FootnoteReference"/>
        </w:rPr>
        <w:footnoteRef/>
      </w:r>
      <w:r>
        <w:t xml:space="preserve"> </w:t>
      </w:r>
      <w:r>
        <w:t xml:space="preserve">Source : Premier bulletin (2023) citant données UNICEF 2021 — province de Tanganyika</w:t>
      </w:r>
    </w:p>
  </w:footnote>
  <w:footnote w:id="132">
    <w:p>
      <w:pPr>
        <w:pStyle w:val="FootnoteText"/>
      </w:pPr>
      <w:r>
        <w:rPr>
          <w:rStyle w:val="FootnoteReference"/>
        </w:rPr>
        <w:footnoteRef/>
      </w:r>
      <w:r>
        <w:t xml:space="preserve"> </w:t>
      </w:r>
      <w:r>
        <w:t xml:space="preserve">Premier bulletin statistique de la protection sociale en RDC (2023) — ch. 2.3 : cartographie des programmes non contributifs</w:t>
      </w:r>
    </w:p>
  </w:footnote>
  <w:footnote w:id="133">
    <w:p>
      <w:pPr>
        <w:pStyle w:val="FootnoteText"/>
      </w:pPr>
      <w:r>
        <w:rPr>
          <w:rStyle w:val="FootnoteReference"/>
        </w:rPr>
        <w:footnoteRef/>
      </w:r>
      <w:r>
        <w:t xml:space="preserve"> </w:t>
      </w:r>
      <w:r>
        <w:t xml:space="preserve">PAM — site officiel wfp.org (consulté juin 2026)</w:t>
      </w:r>
    </w:p>
  </w:footnote>
  <w:footnote w:id="134">
    <w:p>
      <w:pPr>
        <w:pStyle w:val="FootnoteText"/>
      </w:pPr>
      <w:r>
        <w:rPr>
          <w:rStyle w:val="FootnoteReference"/>
        </w:rPr>
        <w:footnoteRef/>
      </w:r>
      <w:r>
        <w:t xml:space="preserve"> </w:t>
      </w:r>
      <w:r>
        <w:t xml:space="preserve">UNICEF RDC — transferts monétaires humanitaires (2021-2022, actif intermittent)</w:t>
      </w:r>
    </w:p>
  </w:footnote>
  <w:footnote w:id="135">
    <w:p>
      <w:pPr>
        <w:pStyle w:val="FootnoteText"/>
      </w:pPr>
      <w:r>
        <w:rPr>
          <w:rStyle w:val="FootnoteReference"/>
        </w:rPr>
        <w:footnoteRef/>
      </w:r>
      <w:r>
        <w:t xml:space="preserve"> </w:t>
      </w:r>
      <w:r>
        <w:t xml:space="preserve">OIT — Recommandation no 202 sur les socles de protection sociale (2012)</w:t>
      </w:r>
    </w:p>
  </w:footnote>
  <w:footnote w:id="137">
    <w:p>
      <w:pPr>
        <w:pStyle w:val="FootnoteText"/>
      </w:pPr>
      <w:r>
        <w:rPr>
          <w:rStyle w:val="FootnoteReference"/>
        </w:rPr>
        <w:footnoteRef/>
      </w:r>
      <w:r>
        <w:t xml:space="preserve"> </w:t>
      </w:r>
      <w:r>
        <w:t xml:space="preserve">Gratuité de l'enseignement primaire — Instruction n°001/MINEPSP/CABMIN/2019 — suppression des frais de scolarité dans les écoles primaires publiques. 18,4 millions de bénéficiaires estimés en 2022 (MEPST).</w:t>
      </w:r>
    </w:p>
  </w:footnote>
  <w:footnote w:id="138">
    <w:p>
      <w:pPr>
        <w:pStyle w:val="FootnoteText"/>
      </w:pPr>
      <w:r>
        <w:rPr>
          <w:rStyle w:val="FootnoteReference"/>
        </w:rPr>
        <w:footnoteRef/>
      </w:r>
      <w:r>
        <w:t xml:space="preserve"> </w:t>
      </w:r>
      <w:r>
        <w:t xml:space="preserve">Gratuité de la maternité — arrêté ministériel MSPHPS — soins d'accouchement gratuits dans les formations sanitaires publiques. Opérationnalité variable selon les zones et la disponibilité des intrants.</w:t>
      </w:r>
    </w:p>
  </w:footnote>
  <w:footnote w:id="139">
    <w:p>
      <w:pPr>
        <w:pStyle w:val="FootnoteText"/>
      </w:pPr>
      <w:r>
        <w:rPr>
          <w:rStyle w:val="FootnoteReference"/>
        </w:rPr>
        <w:footnoteRef/>
      </w:r>
      <w:r>
        <w:t xml:space="preserve"> </w:t>
      </w:r>
      <w:r>
        <w:t xml:space="preserve">Premier bulletin (2023), tableau 11 — interventions du MSPHPS : vaccination, kits médicaux, moustiquaires, dépistage VIH/TB. Données de couverture non consolidées.</w:t>
      </w:r>
    </w:p>
  </w:footnote>
  <w:footnote w:id="140">
    <w:p>
      <w:pPr>
        <w:pStyle w:val="FootnoteText"/>
      </w:pPr>
      <w:r>
        <w:rPr>
          <w:rStyle w:val="FootnoteReference"/>
        </w:rPr>
        <w:footnoteRef/>
      </w:r>
      <w:r>
        <w:t xml:space="preserve"> </w:t>
      </w:r>
      <w:r>
        <w:t xml:space="preserve">THIMO — composante travaux publics du projet STEP (Fonds Social RDC / Banque mondiale) — 150 000 personnes ciblées dans les provinces de l'Est. Projet STEP clôturé en février 2024. Éventuels programmes HIMO successeurs non documentés à la date de rédaction.</w:t>
      </w:r>
    </w:p>
  </w:footnote>
  <w:footnote w:id="141">
    <w:p>
      <w:pPr>
        <w:pStyle w:val="FootnoteText"/>
      </w:pPr>
      <w:r>
        <w:rPr>
          <w:rStyle w:val="FootnoteReference"/>
        </w:rPr>
        <w:footnoteRef/>
      </w:r>
      <w:r>
        <w:t xml:space="preserve"> </w:t>
      </w:r>
      <w:r>
        <w:t xml:space="preserve">Premier bulletin (2023), tableau 12 — MINAS : Centres de promotion sociale (812 540 bénéficiaires en 2022), Centres d'apprentissage professionnel pour PHV (214 152 bénéficiaires en 2022).</w:t>
      </w:r>
    </w:p>
  </w:footnote>
  <w:footnote w:id="142">
    <w:p>
      <w:pPr>
        <w:pStyle w:val="FootnoteText"/>
      </w:pPr>
      <w:r>
        <w:rPr>
          <w:rStyle w:val="FootnoteReference"/>
        </w:rPr>
        <w:footnoteRef/>
      </w:r>
      <w:r>
        <w:t xml:space="preserve"> </w:t>
      </w:r>
      <w:r>
        <w:t xml:space="preserve">Premier bulletin statistique de la protection sociale en RDC (2023) — tableaux 10, 11, 12 : gratuité éducation, interventions MSPHPS et MINAS</w:t>
      </w:r>
    </w:p>
  </w:footnote>
  <w:footnote w:id="143">
    <w:p>
      <w:pPr>
        <w:pStyle w:val="FootnoteText"/>
      </w:pPr>
      <w:r>
        <w:rPr>
          <w:rStyle w:val="FootnoteReference"/>
        </w:rPr>
        <w:footnoteRef/>
      </w:r>
      <w:r>
        <w:t xml:space="preserve"> </w:t>
      </w:r>
      <w:r>
        <w:t xml:space="preserve">Programmes gouvernementaux non contributifs RDC — MEPST, gratuité enseignement (2019–2025) ; MSPHPS gratuité maternité ; Fonds Social RDC STEP/THIMO</w:t>
      </w:r>
    </w:p>
  </w:footnote>
  <w:footnote w:id="144">
    <w:p>
      <w:pPr>
        <w:pStyle w:val="FootnoteText"/>
      </w:pPr>
      <w:r>
        <w:rPr>
          <w:rStyle w:val="FootnoteReference"/>
        </w:rPr>
        <w:footnoteRef/>
      </w:r>
      <w:r>
        <w:t xml:space="preserve"> </w:t>
      </w:r>
      <w:r>
        <w:t xml:space="preserve">Gouvernement RDC — Stratégie nationale de la protection sociale (SNPS), 2016</w:t>
      </w:r>
    </w:p>
  </w:footnote>
  <w:footnote w:id="145">
    <w:p>
      <w:pPr>
        <w:pStyle w:val="FootnoteText"/>
      </w:pPr>
      <w:r>
        <w:rPr>
          <w:rStyle w:val="FootnoteReference"/>
        </w:rPr>
        <w:footnoteRef/>
      </w:r>
      <w:r>
        <w:t xml:space="preserve"> </w:t>
      </w:r>
      <w:r>
        <w:t xml:space="preserve">Annexe A.1 — Classification niveau 3 : dispositifs mentionnés à titre contextuel</w:t>
      </w:r>
    </w:p>
  </w:footnote>
  <w:footnote w:id="149">
    <w:p>
      <w:pPr>
        <w:pStyle w:val="FootnoteText"/>
      </w:pPr>
      <w:r>
        <w:rPr>
          <w:rStyle w:val="FootnoteReference"/>
        </w:rPr>
        <w:footnoteRef/>
      </w:r>
      <w:r>
        <w:t xml:space="preserve"> </w:t>
      </w:r>
      <w:r>
        <w:t xml:space="preserve">Source : ESS OIT — tableaux statistiques standardises</w:t>
      </w:r>
    </w:p>
  </w:footnote>
  <w:footnote w:id="151">
    <w:p>
      <w:pPr>
        <w:pStyle w:val="FootnoteText"/>
      </w:pPr>
      <w:r>
        <w:rPr>
          <w:rStyle w:val="FootnoteReference"/>
        </w:rPr>
        <w:footnoteRef/>
      </w:r>
      <w:r>
        <w:t xml:space="preserve"> </w:t>
      </w:r>
      <w:r>
        <w:t xml:space="preserve">Source : ESS OIT — tableaux statistiques standardises</w:t>
      </w:r>
    </w:p>
  </w:footnote>
  <w:footnote w:id="154">
    <w:p>
      <w:pPr>
        <w:pStyle w:val="FootnoteText"/>
      </w:pPr>
      <w:r>
        <w:rPr>
          <w:rStyle w:val="FootnoteReference"/>
        </w:rPr>
        <w:footnoteRef/>
      </w:r>
      <w:r>
        <w:t xml:space="preserve"> </w:t>
      </w:r>
      <w:r>
        <w:t xml:space="preserve">Source : ESS OIT — tableaux statistiques standardises</w:t>
      </w:r>
    </w:p>
  </w:footnote>
  <w:footnote w:id="156">
    <w:p>
      <w:pPr>
        <w:pStyle w:val="FootnoteText"/>
      </w:pPr>
      <w:r>
        <w:rPr>
          <w:rStyle w:val="FootnoteReference"/>
        </w:rPr>
        <w:footnoteRef/>
      </w:r>
      <w:r>
        <w:t xml:space="preserve"> </w:t>
      </w:r>
      <w:r>
        <w:t xml:space="preserve">Source : ESS OIT — tableaux statistiques standardises</w:t>
      </w:r>
    </w:p>
  </w:footnote>
  <w:footnote w:id="158">
    <w:p>
      <w:pPr>
        <w:pStyle w:val="FootnoteText"/>
      </w:pPr>
      <w:r>
        <w:rPr>
          <w:rStyle w:val="FootnoteReference"/>
        </w:rPr>
        <w:footnoteRef/>
      </w:r>
      <w:r>
        <w:t xml:space="preserve"> </w:t>
      </w:r>
      <w:r>
        <w:t xml:space="preserve">Source : ESS OIT — tableaux statistiques standardises</w:t>
      </w:r>
    </w:p>
  </w:footnote>
  <w:footnote w:id="161">
    <w:p>
      <w:pPr>
        <w:pStyle w:val="FootnoteText"/>
      </w:pPr>
      <w:r>
        <w:rPr>
          <w:rStyle w:val="FootnoteReference"/>
        </w:rPr>
        <w:footnoteRef/>
      </w:r>
      <w:r>
        <w:t xml:space="preserve"> </w:t>
      </w:r>
      <w:r>
        <w:t xml:space="preserve">Source : ESS OIT — tableaux statistiques standardises</w:t>
      </w:r>
    </w:p>
  </w:footnote>
  <w:footnote w:id="163">
    <w:p>
      <w:pPr>
        <w:pStyle w:val="FootnoteText"/>
      </w:pPr>
      <w:r>
        <w:rPr>
          <w:rStyle w:val="FootnoteReference"/>
        </w:rPr>
        <w:footnoteRef/>
      </w:r>
      <w:r>
        <w:t xml:space="preserve"> </w:t>
      </w:r>
      <w:r>
        <w:t xml:space="preserve">Source : ESS OIT — tableaux statistiques standardises</w:t>
      </w:r>
    </w:p>
  </w:footnote>
  <w:footnote w:id="165">
    <w:p>
      <w:pPr>
        <w:pStyle w:val="FootnoteText"/>
      </w:pPr>
      <w:r>
        <w:rPr>
          <w:rStyle w:val="FootnoteReference"/>
        </w:rPr>
        <w:footnoteRef/>
      </w:r>
      <w:r>
        <w:t xml:space="preserve"> </w:t>
      </w:r>
      <w:r>
        <w:t xml:space="preserve">Source : ESS OIT — tableaux statistiques standardises</w:t>
      </w:r>
    </w:p>
  </w:footnote>
  <w:footnote w:id="168">
    <w:p>
      <w:pPr>
        <w:pStyle w:val="FootnoteText"/>
      </w:pPr>
      <w:r>
        <w:rPr>
          <w:rStyle w:val="FootnoteReference"/>
        </w:rPr>
        <w:footnoteRef/>
      </w:r>
      <w:r>
        <w:t xml:space="preserve"> </w:t>
      </w:r>
      <w:r>
        <w:t xml:space="preserve">Source : ESS OIT — tableaux statistiques standardises</w:t>
      </w:r>
    </w:p>
  </w:footnote>
  <w:footnote w:id="170">
    <w:p>
      <w:pPr>
        <w:pStyle w:val="FootnoteText"/>
      </w:pPr>
      <w:r>
        <w:rPr>
          <w:rStyle w:val="FootnoteReference"/>
        </w:rPr>
        <w:footnoteRef/>
      </w:r>
      <w:r>
        <w:t xml:space="preserve"> </w:t>
      </w:r>
      <w:r>
        <w:t xml:space="preserve">Source : ESS OIT — tableaux statistiques standardises</w:t>
      </w:r>
    </w:p>
  </w:footnote>
  <w:footnote w:id="172">
    <w:p>
      <w:pPr>
        <w:pStyle w:val="FootnoteText"/>
      </w:pPr>
      <w:r>
        <w:rPr>
          <w:rStyle w:val="FootnoteReference"/>
        </w:rPr>
        <w:footnoteRef/>
      </w:r>
      <w:r>
        <w:t xml:space="preserve"> </w:t>
      </w:r>
      <w:r>
        <w:t xml:space="preserve">Source : ESS OIT — tableaux statistiques standardises</w:t>
      </w:r>
    </w:p>
  </w:footnote>
  <w:footnote w:id="175">
    <w:p>
      <w:pPr>
        <w:pStyle w:val="FootnoteText"/>
      </w:pPr>
      <w:r>
        <w:rPr>
          <w:rStyle w:val="FootnoteReference"/>
        </w:rPr>
        <w:footnoteRef/>
      </w:r>
      <w:r>
        <w:t xml:space="preserve"> </w:t>
      </w:r>
      <w:r>
        <w:t xml:space="preserve">Source : ESS OIT — tableaux statistiques standardises</w:t>
      </w:r>
    </w:p>
  </w:footnote>
  <w:footnote w:id="177">
    <w:p>
      <w:pPr>
        <w:pStyle w:val="FootnoteText"/>
      </w:pPr>
      <w:r>
        <w:rPr>
          <w:rStyle w:val="FootnoteReference"/>
        </w:rPr>
        <w:footnoteRef/>
      </w:r>
      <w:r>
        <w:t xml:space="preserve"> </w:t>
      </w:r>
      <w:r>
        <w:t xml:space="preserve">Source : ESS OIT — tableaux statistiques standardises</w:t>
      </w:r>
    </w:p>
  </w:footnote>
  <w:footnote w:id="180">
    <w:p>
      <w:pPr>
        <w:pStyle w:val="FootnoteText"/>
      </w:pPr>
      <w:r>
        <w:rPr>
          <w:rStyle w:val="FootnoteReference"/>
        </w:rPr>
        <w:footnoteRef/>
      </w:r>
      <w:r>
        <w:t xml:space="preserve"> </w:t>
      </w:r>
      <w:r>
        <w:t xml:space="preserve">Source : FSS RDC — Site officiel fss.cd, consulté juin 2026 — Loi n°18/035 du 13 décembre 2018 ; Décret n°22/13 du 09 avril 2022</w:t>
      </w:r>
    </w:p>
  </w:footnote>
  <w:footnote w:id="185">
    <w:p>
      <w:pPr>
        <w:pStyle w:val="FootnoteText"/>
      </w:pPr>
      <w:r>
        <w:rPr>
          <w:rStyle w:val="FootnoteReference"/>
        </w:rPr>
        <w:footnoteRef/>
      </w:r>
      <w:r>
        <w:t xml:space="preserve"> </w:t>
      </w:r>
      <w:r>
        <w:t xml:space="preserve">Source : ESS OIT — tableaux statistiques standardises</w:t>
      </w:r>
    </w:p>
  </w:footnote>
  <w:footnote w:id="187">
    <w:p>
      <w:pPr>
        <w:pStyle w:val="FootnoteText"/>
      </w:pPr>
      <w:r>
        <w:rPr>
          <w:rStyle w:val="FootnoteReference"/>
        </w:rPr>
        <w:footnoteRef/>
      </w:r>
      <w:r>
        <w:t xml:space="preserve"> </w:t>
      </w:r>
      <w:r>
        <w:t xml:space="preserve">Source : ESS OIT — tableaux statistiques standardises</w:t>
      </w:r>
    </w:p>
  </w:footnote>
  <w:footnote w:id="189">
    <w:p>
      <w:pPr>
        <w:pStyle w:val="FootnoteText"/>
      </w:pPr>
      <w:r>
        <w:rPr>
          <w:rStyle w:val="FootnoteReference"/>
        </w:rPr>
        <w:footnoteRef/>
      </w:r>
      <w:r>
        <w:t xml:space="preserve"> </w:t>
      </w:r>
      <w:r>
        <w:t xml:space="preserve">Source : ESS OIT — tableaux statistiques standardises</w:t>
      </w:r>
    </w:p>
  </w:footnote>
  <w:footnote w:id="191">
    <w:p>
      <w:pPr>
        <w:pStyle w:val="FootnoteText"/>
      </w:pPr>
      <w:r>
        <w:rPr>
          <w:rStyle w:val="FootnoteReference"/>
        </w:rPr>
        <w:footnoteRef/>
      </w:r>
      <w:r>
        <w:t xml:space="preserve"> </w:t>
      </w:r>
      <w:r>
        <w:t xml:space="preserve">Source : ESS OIT — tableaux statistiques standardises</w:t>
      </w:r>
    </w:p>
  </w:footnote>
  <w:footnote w:id="195">
    <w:p>
      <w:pPr>
        <w:pStyle w:val="FootnoteText"/>
      </w:pPr>
      <w:r>
        <w:rPr>
          <w:rStyle w:val="FootnoteReference"/>
        </w:rPr>
        <w:footnoteRef/>
      </w:r>
      <w:r>
        <w:t xml:space="preserve"> </w:t>
      </w:r>
      <w:r>
        <w:t xml:space="preserve">Source : ESS OIT — tableaux statistiques standardises</w:t>
      </w:r>
    </w:p>
  </w:footnote>
  <w:footnote w:id="197">
    <w:p>
      <w:pPr>
        <w:pStyle w:val="FootnoteText"/>
      </w:pPr>
      <w:r>
        <w:rPr>
          <w:rStyle w:val="FootnoteReference"/>
        </w:rPr>
        <w:footnoteRef/>
      </w:r>
      <w:r>
        <w:t xml:space="preserve"> </w:t>
      </w:r>
      <w:r>
        <w:t xml:space="preserve">Source : ESS OIT — tableaux statistiques standardises</w:t>
      </w:r>
    </w:p>
  </w:footnote>
  <w:footnote w:id="199">
    <w:p>
      <w:pPr>
        <w:pStyle w:val="FootnoteText"/>
      </w:pPr>
      <w:r>
        <w:rPr>
          <w:rStyle w:val="FootnoteReference"/>
        </w:rPr>
        <w:footnoteRef/>
      </w:r>
      <w:r>
        <w:t xml:space="preserve"> </w:t>
      </w:r>
      <w:r>
        <w:t xml:space="preserve">Source : ESS OIT — tableaux statistiques standardises</w:t>
      </w:r>
    </w:p>
  </w:footnote>
  <w:footnote w:id="201">
    <w:p>
      <w:pPr>
        <w:pStyle w:val="FootnoteText"/>
      </w:pPr>
      <w:r>
        <w:rPr>
          <w:rStyle w:val="FootnoteReference"/>
        </w:rPr>
        <w:footnoteRef/>
      </w:r>
      <w:r>
        <w:t xml:space="preserve"> </w:t>
      </w:r>
      <w:r>
        <w:t xml:space="preserve">Source : ESS OIT — tableaux statistiques standardises</w:t>
      </w:r>
    </w:p>
  </w:footnote>
  <w:footnote w:id="205">
    <w:p>
      <w:pPr>
        <w:pStyle w:val="FootnoteText"/>
      </w:pPr>
      <w:r>
        <w:rPr>
          <w:rStyle w:val="FootnoteReference"/>
        </w:rPr>
        <w:footnoteRef/>
      </w:r>
      <w:r>
        <w:t xml:space="preserve"> </w:t>
      </w:r>
      <w:r>
        <w:t xml:space="preserve">Source : ESS OIT — tableaux statistiques standardises</w:t>
      </w:r>
    </w:p>
  </w:footnote>
  <w:footnote w:id="207">
    <w:p>
      <w:pPr>
        <w:pStyle w:val="FootnoteText"/>
      </w:pPr>
      <w:r>
        <w:rPr>
          <w:rStyle w:val="FootnoteReference"/>
        </w:rPr>
        <w:footnoteRef/>
      </w:r>
      <w:r>
        <w:t xml:space="preserve"> </w:t>
      </w:r>
      <w:r>
        <w:t xml:space="preserve">Source : ESS OIT — tableaux statistiques standardises</w:t>
      </w:r>
    </w:p>
  </w:footnote>
  <w:footnote w:id="209">
    <w:p>
      <w:pPr>
        <w:pStyle w:val="FootnoteText"/>
      </w:pPr>
      <w:r>
        <w:rPr>
          <w:rStyle w:val="FootnoteReference"/>
        </w:rPr>
        <w:footnoteRef/>
      </w:r>
      <w:r>
        <w:t xml:space="preserve"> </w:t>
      </w:r>
      <w:r>
        <w:t xml:space="preserve">Source : ESS OIT — tableaux statistiques standardises</w:t>
      </w:r>
    </w:p>
  </w:footnote>
  <w:footnote w:id="214">
    <w:p>
      <w:pPr>
        <w:pStyle w:val="FootnoteText"/>
      </w:pPr>
      <w:r>
        <w:rPr>
          <w:rStyle w:val="FootnoteReference"/>
        </w:rPr>
        <w:footnoteRef/>
      </w:r>
      <w:r>
        <w:t xml:space="preserve"> </w:t>
      </w:r>
      <w:r>
        <w:t xml:space="preserve">Source : OIT — Convention no 102 (1952) — les neuf branches de risques : maternité, maladie, accident du travail, invalidité, vieillesse, décès, chômage, Parties II à X</w:t>
      </w:r>
    </w:p>
  </w:footnote>
  <w:footnote w:id="216">
    <w:p>
      <w:pPr>
        <w:pStyle w:val="FootnoteText"/>
      </w:pPr>
      <w:r>
        <w:rPr>
          <w:rStyle w:val="FootnoteReference"/>
        </w:rPr>
        <w:footnoteRef/>
      </w:r>
      <w:r>
        <w:t xml:space="preserve"> </w:t>
      </w:r>
      <w:r>
        <w:t xml:space="preserve">Source : OIT — Recommandation no 202 (2012) — les programmes non contributifs font partie intégrante de la protection sociale</w:t>
      </w:r>
    </w:p>
  </w:footnote>
  <w:footnote w:id="221">
    <w:p>
      <w:pPr>
        <w:pStyle w:val="FootnoteText"/>
      </w:pPr>
      <w:r>
        <w:rPr>
          <w:rStyle w:val="FootnoteReference"/>
        </w:rPr>
        <w:footnoteRef/>
      </w:r>
      <w:r>
        <w:t xml:space="preserve"> </w:t>
      </w:r>
      <w:r>
        <w:t xml:space="preserve">OIT - Convention no 102 (1952) - art. 6 : assurance volontaire supervisée par l'État</w:t>
      </w:r>
    </w:p>
  </w:footnote>
  <w:footnote w:id="222">
    <w:p>
      <w:pPr>
        <w:pStyle w:val="FootnoteText"/>
      </w:pPr>
      <w:r>
        <w:rPr>
          <w:rStyle w:val="FootnoteReference"/>
        </w:rPr>
        <w:footnoteRef/>
      </w:r>
      <w:r>
        <w:t xml:space="preserve"> </w:t>
      </w:r>
      <w:r>
        <w:t xml:space="preserve">OIT - Recommandation no 202 (2012) - par. 5 : les socles peuvent être mis en œuvre par des transferts contributifs ou non contributifs</w:t>
      </w:r>
    </w:p>
  </w:footnote>
  <w:footnote w:id="223">
    <w:p>
      <w:pPr>
        <w:pStyle w:val="FootnoteText"/>
      </w:pPr>
      <w:r>
        <w:rPr>
          <w:rStyle w:val="FootnoteReference"/>
        </w:rPr>
        <w:footnoteRef/>
      </w:r>
      <w:r>
        <w:t xml:space="preserve"> </w:t>
      </w:r>
      <w:r>
        <w:t xml:space="preserve">OIT (2021) - Building social protection systems - cadre analytique des dispositifs statutaires et non statutaires</w:t>
      </w:r>
    </w:p>
  </w:footnote>
  <w:footnote w:id="224">
    <w:p>
      <w:pPr>
        <w:pStyle w:val="FootnoteText"/>
      </w:pPr>
      <w:r>
        <w:rPr>
          <w:rStyle w:val="FootnoteReference"/>
        </w:rPr>
        <w:footnoteRef/>
      </w:r>
      <w:r>
        <w:t xml:space="preserve"> </w:t>
      </w:r>
      <w:r>
        <w:t xml:space="preserve">OIT - Convention no 102 (1952) - art. 1 par. 2 : la prestation peut être directe (en nature) ou indirecte (remboursement)</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E2B251D8"/>
    <w:lvl w:ilvl="0">
      <w:start w:val="1"/>
      <w:numFmt w:val="decimal"/>
      <w:pStyle w:val="ListNumber5"/>
      <w:lvlText w:val="%1."/>
      <w:lvlJc w:val="left"/>
      <w:pPr>
        <w:tabs>
          <w:tab w:pos="1557" w:val="num"/>
        </w:tabs>
        <w:ind w:hanging="360" w:left="1557"/>
      </w:pPr>
    </w:lvl>
  </w:abstractNum>
  <w:abstractNum w15:restartNumberingAfterBreak="0" w:abstractNumId="1">
    <w:nsid w:val="FFFFFF7D"/>
    <w:multiLevelType w:val="singleLevel"/>
    <w:tmpl w:val="E80A86FC"/>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EEAE3364"/>
    <w:lvl w:ilvl="0">
      <w:start w:val="1"/>
      <w:numFmt w:val="decimal"/>
      <w:pStyle w:val="ListNumber3"/>
      <w:lvlText w:val="%1."/>
      <w:lvlJc w:val="left"/>
      <w:pPr>
        <w:tabs>
          <w:tab w:pos="926" w:val="num"/>
        </w:tabs>
        <w:ind w:hanging="360" w:left="926"/>
      </w:pPr>
    </w:lvl>
  </w:abstractNum>
  <w:abstractNum w15:restartNumberingAfterBreak="0" w:abstractNumId="3">
    <w:nsid w:val="FFFFFF80"/>
    <w:multiLevelType w:val="singleLevel"/>
    <w:tmpl w:val="69DC811A"/>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4">
    <w:nsid w:val="FFFFFF81"/>
    <w:multiLevelType w:val="singleLevel"/>
    <w:tmpl w:val="9708A34E"/>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5">
    <w:nsid w:val="FFFFFF82"/>
    <w:multiLevelType w:val="singleLevel"/>
    <w:tmpl w:val="9F8652A6"/>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6">
    <w:nsid w:val="FFFFFF83"/>
    <w:multiLevelType w:val="singleLevel"/>
    <w:tmpl w:val="8AB61326"/>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7">
    <w:nsid w:val="FFFFFF88"/>
    <w:multiLevelType w:val="singleLevel"/>
    <w:tmpl w:val="4E2EB1C4"/>
    <w:lvl w:ilvl="0">
      <w:start w:val="1"/>
      <w:numFmt w:val="decimal"/>
      <w:pStyle w:val="ListNumber2"/>
      <w:lvlText w:val="%1."/>
      <w:lvlJc w:val="left"/>
      <w:pPr>
        <w:tabs>
          <w:tab w:pos="360" w:val="num"/>
        </w:tabs>
        <w:ind w:hanging="360" w:left="360"/>
      </w:pPr>
    </w:lvl>
  </w:abstractNum>
  <w:abstractNum w15:restartNumberingAfterBreak="0" w:abstractNumId="8">
    <w:nsid w:val="FFFFFF89"/>
    <w:multiLevelType w:val="singleLevel"/>
    <w:tmpl w:val="4218101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A3214E"/>
    <w:multiLevelType w:val="hybridMultilevel"/>
    <w:tmpl w:val="BA62F7F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026F0E24"/>
    <w:multiLevelType w:val="hybridMultilevel"/>
    <w:tmpl w:val="6A9687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032B2D3A"/>
    <w:multiLevelType w:val="hybridMultilevel"/>
    <w:tmpl w:val="6B4CB8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0844494A"/>
    <w:multiLevelType w:val="hybridMultilevel"/>
    <w:tmpl w:val="B68CC71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0B0E390B"/>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14">
    <w:nsid w:val="116C15CF"/>
    <w:multiLevelType w:val="hybridMultilevel"/>
    <w:tmpl w:val="C9DA25F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2130E5C"/>
    <w:multiLevelType w:val="hybridMultilevel"/>
    <w:tmpl w:val="0D56E63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13031386"/>
    <w:multiLevelType w:val="hybridMultilevel"/>
    <w:tmpl w:val="50286E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15C973A5"/>
    <w:multiLevelType w:val="hybridMultilevel"/>
    <w:tmpl w:val="8CFE92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1A20061B"/>
    <w:multiLevelType w:val="hybridMultilevel"/>
    <w:tmpl w:val="68389EA0"/>
    <w:styleLink w:val="MJ1"/>
    <w:lvl w:ilvl="0" w:tplc="68389EA0">
      <w:start w:val="1"/>
      <w:numFmt w:val="decimal"/>
      <w:lvlText w:val="1.%1"/>
      <w:lvlJc w:val="left"/>
      <w:pPr>
        <w:ind w:hanging="533" w:left="533"/>
      </w:pPr>
      <w:rPr>
        <w:rFonts w:hint="default"/>
      </w:rPr>
    </w:lvl>
    <w:lvl w:ilvl="1" w:tplc="F35A4A6C">
      <w:start w:val="1"/>
      <w:numFmt w:val="lowerLetter"/>
      <w:lvlText w:val="%2."/>
      <w:lvlJc w:val="left"/>
      <w:pPr>
        <w:ind w:hanging="360" w:left="1980"/>
      </w:pPr>
      <w:rPr>
        <w:rFonts w:hint="default"/>
      </w:rPr>
    </w:lvl>
    <w:lvl w:ilvl="2" w:tplc="8F0EAA02">
      <w:start w:val="1"/>
      <w:numFmt w:val="lowerRoman"/>
      <w:lvlText w:val="%3."/>
      <w:lvlJc w:val="right"/>
      <w:pPr>
        <w:ind w:hanging="180" w:left="2700"/>
      </w:pPr>
      <w:rPr>
        <w:rFonts w:hint="default"/>
      </w:rPr>
    </w:lvl>
    <w:lvl w:ilvl="3" w:tplc="9C4EE08C">
      <w:start w:val="1"/>
      <w:numFmt w:val="decimal"/>
      <w:lvlText w:val="%4."/>
      <w:lvlJc w:val="left"/>
      <w:pPr>
        <w:ind w:hanging="360" w:left="3420"/>
      </w:pPr>
      <w:rPr>
        <w:rFonts w:hint="default"/>
      </w:rPr>
    </w:lvl>
    <w:lvl w:ilvl="4" w:tplc="E81E4BB6">
      <w:start w:val="1"/>
      <w:numFmt w:val="lowerLetter"/>
      <w:lvlText w:val="%5."/>
      <w:lvlJc w:val="left"/>
      <w:pPr>
        <w:ind w:hanging="360" w:left="4140"/>
      </w:pPr>
      <w:rPr>
        <w:rFonts w:hint="default"/>
      </w:rPr>
    </w:lvl>
    <w:lvl w:ilvl="5" w:tplc="EC368516">
      <w:start w:val="1"/>
      <w:numFmt w:val="lowerRoman"/>
      <w:lvlText w:val="%6."/>
      <w:lvlJc w:val="right"/>
      <w:pPr>
        <w:ind w:hanging="180" w:left="4860"/>
      </w:pPr>
      <w:rPr>
        <w:rFonts w:hint="default"/>
      </w:rPr>
    </w:lvl>
    <w:lvl w:ilvl="6" w:tplc="2916BC64">
      <w:start w:val="1"/>
      <w:numFmt w:val="decimal"/>
      <w:lvlText w:val="%7."/>
      <w:lvlJc w:val="left"/>
      <w:pPr>
        <w:ind w:hanging="360" w:left="5580"/>
      </w:pPr>
      <w:rPr>
        <w:rFonts w:hint="default"/>
      </w:rPr>
    </w:lvl>
    <w:lvl w:ilvl="7" w:tplc="D7B015C6">
      <w:start w:val="1"/>
      <w:numFmt w:val="lowerLetter"/>
      <w:lvlText w:val="%8."/>
      <w:lvlJc w:val="left"/>
      <w:pPr>
        <w:ind w:hanging="360" w:left="6300"/>
      </w:pPr>
      <w:rPr>
        <w:rFonts w:hint="default"/>
      </w:rPr>
    </w:lvl>
    <w:lvl w:ilvl="8" w:tplc="8AB85112">
      <w:start w:val="1"/>
      <w:numFmt w:val="lowerRoman"/>
      <w:lvlText w:val="%9."/>
      <w:lvlJc w:val="right"/>
      <w:pPr>
        <w:ind w:hanging="180" w:left="7020"/>
      </w:pPr>
      <w:rPr>
        <w:rFonts w:hint="default"/>
      </w:rPr>
    </w:lvl>
  </w:abstractNum>
  <w:abstractNum w15:restartNumberingAfterBreak="0" w:abstractNumId="19">
    <w:nsid w:val="1B8F75D9"/>
    <w:multiLevelType w:val="hybridMultilevel"/>
    <w:tmpl w:val="C2D8951E"/>
    <w:lvl w:ilvl="0" w:tplc="100C0001">
      <w:start w:val="1"/>
      <w:numFmt w:val="bullet"/>
      <w:lvlText w:val=""/>
      <w:lvlJc w:val="left"/>
      <w:pPr>
        <w:ind w:hanging="360" w:left="720"/>
      </w:pPr>
      <w:rPr>
        <w:rFonts w:ascii="Symbol" w:hAnsi="Symbol" w:hint="default"/>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0">
    <w:nsid w:val="1E654A60"/>
    <w:multiLevelType w:val="hybridMultilevel"/>
    <w:tmpl w:val="BBE27B28"/>
    <w:lvl w:ilvl="0" w:tplc="118EB604">
      <w:start w:val="1"/>
      <w:numFmt w:val="bullet"/>
      <w:lvlText w:val=""/>
      <w:lvlJc w:val="left"/>
      <w:pPr>
        <w:ind w:hanging="360" w:left="720"/>
      </w:pPr>
      <w:rPr>
        <w:rFonts w:ascii="Symbol" w:hAnsi="Symbol" w:hint="default"/>
        <w:color w:val="auto"/>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22235DC"/>
    <w:multiLevelType w:val="hybridMultilevel"/>
    <w:tmpl w:val="F842A520"/>
    <w:lvl w:ilvl="0" w:tplc="4124659A">
      <w:start w:val="1"/>
      <w:numFmt w:val="bullet"/>
      <w:lvlText w:val=""/>
      <w:lvlJc w:val="left"/>
      <w:pPr>
        <w:ind w:hanging="360" w:left="720"/>
      </w:pPr>
      <w:rPr>
        <w:rFonts w:ascii="Symbol" w:hAnsi="Symbol" w:hint="default"/>
        <w:color w:val="auto"/>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2">
    <w:nsid w:val="228166E4"/>
    <w:multiLevelType w:val="hybridMultilevel"/>
    <w:tmpl w:val="FBDA997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3FA6741"/>
    <w:multiLevelType w:val="hybridMultilevel"/>
    <w:tmpl w:val="5190919C"/>
    <w:lvl w:ilvl="0" w:tplc="71E27E00">
      <w:start w:val="9"/>
      <w:numFmt w:val="bullet"/>
      <w:pStyle w:val="TableTitle"/>
      <w:lvlText w:val=""/>
      <w:lvlJc w:val="left"/>
      <w:pPr>
        <w:ind w:hanging="360" w:left="720"/>
      </w:pPr>
      <w:rPr>
        <w:rFonts w:ascii="Wingdings 3" w:cstheme="minorBidi" w:eastAsiaTheme="minorHAnsi" w:hAnsi="Wingdings 3" w:hint="default"/>
        <w:color w:themeColor="background1" w:themeShade="80" w:val="808080"/>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42F4DC2"/>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24C84BA2"/>
    <w:multiLevelType w:val="hybridMultilevel"/>
    <w:tmpl w:val="677695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5CA6EA8"/>
    <w:multiLevelType w:val="hybridMultilevel"/>
    <w:tmpl w:val="4740DE1E"/>
    <w:lvl w:ilvl="0" w:tplc="BF34DE62">
      <w:start w:val="1"/>
      <w:numFmt w:val="decimal"/>
      <w:pStyle w:val="ParaNum"/>
      <w:lvlText w:val="%1."/>
      <w:lvlJc w:val="left"/>
      <w:pPr>
        <w:ind w:hanging="360" w:left="360"/>
      </w:pPr>
      <w:rPr>
        <w:rFonts w:ascii="Noto Sans" w:cs="Noto Sans" w:hAnsi="Noto Sans" w:hint="default"/>
        <w:b/>
        <w:i w:val="0"/>
        <w:color w:val="1E2DBE"/>
        <w:sz w:val="18"/>
        <w:szCs w:val="18"/>
      </w:rPr>
    </w:lvl>
    <w:lvl w:ilvl="1" w:tplc="032621D4">
      <w:start w:val="1"/>
      <w:numFmt w:val="lowerLetter"/>
      <w:lvlText w:val="(%2)"/>
      <w:lvlJc w:val="left"/>
      <w:pPr>
        <w:ind w:hanging="720" w:left="2227"/>
      </w:pPr>
      <w:rPr>
        <w:rFonts w:hint="default"/>
      </w:rPr>
    </w:lvl>
    <w:lvl w:ilvl="2" w:tplc="6868C14E">
      <w:start w:val="1"/>
      <w:numFmt w:val="lowerRoman"/>
      <w:lvlText w:val="(%3)"/>
      <w:lvlJc w:val="right"/>
      <w:pPr>
        <w:ind w:hanging="180" w:left="2587"/>
      </w:pPr>
      <w:rPr>
        <w:rFonts w:hint="default"/>
      </w:rPr>
    </w:lvl>
    <w:lvl w:ilvl="3" w:tentative="1" w:tplc="0809000F">
      <w:start w:val="1"/>
      <w:numFmt w:val="decimal"/>
      <w:lvlText w:val="%4."/>
      <w:lvlJc w:val="left"/>
      <w:pPr>
        <w:ind w:hanging="360" w:left="3307"/>
      </w:pPr>
    </w:lvl>
    <w:lvl w:ilvl="4" w:tentative="1" w:tplc="08090019">
      <w:start w:val="1"/>
      <w:numFmt w:val="lowerLetter"/>
      <w:lvlText w:val="%5."/>
      <w:lvlJc w:val="left"/>
      <w:pPr>
        <w:ind w:hanging="360" w:left="4027"/>
      </w:pPr>
    </w:lvl>
    <w:lvl w:ilvl="5" w:tentative="1" w:tplc="0809001B">
      <w:start w:val="1"/>
      <w:numFmt w:val="lowerRoman"/>
      <w:lvlText w:val="%6."/>
      <w:lvlJc w:val="right"/>
      <w:pPr>
        <w:ind w:hanging="180" w:left="4747"/>
      </w:pPr>
    </w:lvl>
    <w:lvl w:ilvl="6" w:tentative="1" w:tplc="0809000F">
      <w:start w:val="1"/>
      <w:numFmt w:val="decimal"/>
      <w:lvlText w:val="%7."/>
      <w:lvlJc w:val="left"/>
      <w:pPr>
        <w:ind w:hanging="360" w:left="5467"/>
      </w:pPr>
    </w:lvl>
    <w:lvl w:ilvl="7" w:tentative="1" w:tplc="08090019">
      <w:start w:val="1"/>
      <w:numFmt w:val="lowerLetter"/>
      <w:lvlText w:val="%8."/>
      <w:lvlJc w:val="left"/>
      <w:pPr>
        <w:ind w:hanging="360" w:left="6187"/>
      </w:pPr>
    </w:lvl>
    <w:lvl w:ilvl="8" w:tentative="1" w:tplc="0809001B">
      <w:start w:val="1"/>
      <w:numFmt w:val="lowerRoman"/>
      <w:lvlText w:val="%9."/>
      <w:lvlJc w:val="right"/>
      <w:pPr>
        <w:ind w:hanging="180" w:left="6907"/>
      </w:pPr>
    </w:lvl>
  </w:abstractNum>
  <w:abstractNum w15:restartNumberingAfterBreak="0" w:abstractNumId="27">
    <w:nsid w:val="27581D34"/>
    <w:multiLevelType w:val="hybridMultilevel"/>
    <w:tmpl w:val="F7CC0E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8916D56"/>
    <w:multiLevelType w:val="hybridMultilevel"/>
    <w:tmpl w:val="9B26945E"/>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29">
    <w:nsid w:val="299E5268"/>
    <w:multiLevelType w:val="hybridMultilevel"/>
    <w:tmpl w:val="5B344E4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2B406FEE"/>
    <w:multiLevelType w:val="hybridMultilevel"/>
    <w:tmpl w:val="28D6DF3C"/>
    <w:lvl w:ilvl="0" w:tplc="88BAA8BA">
      <w:start w:val="1"/>
      <w:numFmt w:val="bullet"/>
      <w:pStyle w:val="ListBullet1"/>
      <w:lvlText w:val=""/>
      <w:lvlJc w:val="left"/>
      <w:pPr>
        <w:ind w:hanging="360" w:left="1069"/>
      </w:pPr>
      <w:rPr>
        <w:rFonts w:ascii="Symbol" w:hAnsi="Symbol" w:hint="default"/>
        <w:b w:val="0"/>
        <w:i w:val="0"/>
        <w:color w:val="auto"/>
        <w:sz w:val="24"/>
      </w:rPr>
    </w:lvl>
    <w:lvl w:ilvl="1" w:tplc="20000003">
      <w:start w:val="1"/>
      <w:numFmt w:val="bullet"/>
      <w:lvlText w:val="o"/>
      <w:lvlJc w:val="left"/>
      <w:pPr>
        <w:ind w:hanging="360" w:left="1789"/>
      </w:pPr>
      <w:rPr>
        <w:rFonts w:ascii="Courier New" w:cs="Courier New" w:hAnsi="Courier New" w:hint="default"/>
      </w:rPr>
    </w:lvl>
    <w:lvl w:ilvl="2" w:tentative="1" w:tplc="20000005">
      <w:start w:val="1"/>
      <w:numFmt w:val="bullet"/>
      <w:lvlText w:val=""/>
      <w:lvlJc w:val="left"/>
      <w:pPr>
        <w:ind w:hanging="360" w:left="2509"/>
      </w:pPr>
      <w:rPr>
        <w:rFonts w:ascii="Wingdings" w:hAnsi="Wingdings" w:hint="default"/>
      </w:rPr>
    </w:lvl>
    <w:lvl w:ilvl="3" w:tentative="1" w:tplc="20000001">
      <w:start w:val="1"/>
      <w:numFmt w:val="bullet"/>
      <w:lvlText w:val=""/>
      <w:lvlJc w:val="left"/>
      <w:pPr>
        <w:ind w:hanging="360" w:left="3229"/>
      </w:pPr>
      <w:rPr>
        <w:rFonts w:ascii="Symbol" w:hAnsi="Symbol" w:hint="default"/>
      </w:rPr>
    </w:lvl>
    <w:lvl w:ilvl="4" w:tentative="1" w:tplc="20000003">
      <w:start w:val="1"/>
      <w:numFmt w:val="bullet"/>
      <w:lvlText w:val="o"/>
      <w:lvlJc w:val="left"/>
      <w:pPr>
        <w:ind w:hanging="360" w:left="3949"/>
      </w:pPr>
      <w:rPr>
        <w:rFonts w:ascii="Courier New" w:cs="Courier New" w:hAnsi="Courier New" w:hint="default"/>
      </w:rPr>
    </w:lvl>
    <w:lvl w:ilvl="5" w:tentative="1" w:tplc="20000005">
      <w:start w:val="1"/>
      <w:numFmt w:val="bullet"/>
      <w:lvlText w:val=""/>
      <w:lvlJc w:val="left"/>
      <w:pPr>
        <w:ind w:hanging="360" w:left="4669"/>
      </w:pPr>
      <w:rPr>
        <w:rFonts w:ascii="Wingdings" w:hAnsi="Wingdings" w:hint="default"/>
      </w:rPr>
    </w:lvl>
    <w:lvl w:ilvl="6" w:tentative="1" w:tplc="20000001">
      <w:start w:val="1"/>
      <w:numFmt w:val="bullet"/>
      <w:lvlText w:val=""/>
      <w:lvlJc w:val="left"/>
      <w:pPr>
        <w:ind w:hanging="360" w:left="5389"/>
      </w:pPr>
      <w:rPr>
        <w:rFonts w:ascii="Symbol" w:hAnsi="Symbol" w:hint="default"/>
      </w:rPr>
    </w:lvl>
    <w:lvl w:ilvl="7" w:tentative="1" w:tplc="20000003">
      <w:start w:val="1"/>
      <w:numFmt w:val="bullet"/>
      <w:lvlText w:val="o"/>
      <w:lvlJc w:val="left"/>
      <w:pPr>
        <w:ind w:hanging="360" w:left="6109"/>
      </w:pPr>
      <w:rPr>
        <w:rFonts w:ascii="Courier New" w:cs="Courier New" w:hAnsi="Courier New" w:hint="default"/>
      </w:rPr>
    </w:lvl>
    <w:lvl w:ilvl="8" w:tentative="1" w:tplc="20000005">
      <w:start w:val="1"/>
      <w:numFmt w:val="bullet"/>
      <w:lvlText w:val=""/>
      <w:lvlJc w:val="left"/>
      <w:pPr>
        <w:ind w:hanging="360" w:left="6829"/>
      </w:pPr>
      <w:rPr>
        <w:rFonts w:ascii="Wingdings" w:hAnsi="Wingdings" w:hint="default"/>
      </w:rPr>
    </w:lvl>
  </w:abstractNum>
  <w:abstractNum w15:restartNumberingAfterBreak="0" w:abstractNumId="31">
    <w:nsid w:val="2C4B7784"/>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2">
    <w:nsid w:val="2E884A97"/>
    <w:multiLevelType w:val="hybridMultilevel"/>
    <w:tmpl w:val="C5FE17A8"/>
    <w:lvl w:ilvl="0" w:tplc="6FDCEE76">
      <w:start w:val="1"/>
      <w:numFmt w:val="bullet"/>
      <w:pStyle w:val="KeyList"/>
      <w:lvlText w:val=""/>
      <w:lvlJc w:val="left"/>
      <w:pPr>
        <w:ind w:hanging="360" w:left="360"/>
      </w:pPr>
      <w:rPr>
        <w:rFonts w:ascii="Wingdings 3" w:cs="Symbol" w:hAnsi="Wingdings 3" w:hint="default"/>
        <w:b w:val="0"/>
        <w:i w:val="0"/>
        <w:color w:val="FA3C4B"/>
        <w:sz w:val="18"/>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3">
    <w:nsid w:val="33783FE5"/>
    <w:multiLevelType w:val="hybridMultilevel"/>
    <w:tmpl w:val="F8E898C2"/>
    <w:lvl w:ilvl="0" w:tplc="44749756">
      <w:start w:val="1"/>
      <w:numFmt w:val="decimal"/>
      <w:lvlRestart w:val="0"/>
      <w:pStyle w:val="QuotationNum"/>
      <w:lvlText w:val="%1."/>
      <w:lvlJc w:val="right"/>
      <w:pPr>
        <w:tabs>
          <w:tab w:pos="3175" w:val="num"/>
        </w:tabs>
        <w:ind w:hanging="113" w:left="3175"/>
      </w:pPr>
      <w:rPr>
        <w:rFonts w:ascii="Times New Roman" w:hAnsi="Times New Roman" w:hint="default"/>
        <w:b/>
        <w:i w:val="0"/>
        <w:sz w:val="24"/>
      </w:rPr>
    </w:lvl>
    <w:lvl w:ilvl="1" w:tentative="1" w:tplc="04090019">
      <w:start w:val="1"/>
      <w:numFmt w:val="lowerLetter"/>
      <w:lvlText w:val="%2."/>
      <w:lvlJc w:val="left"/>
      <w:pPr>
        <w:tabs>
          <w:tab w:pos="3481" w:val="num"/>
        </w:tabs>
        <w:ind w:hanging="360" w:left="3481"/>
      </w:pPr>
    </w:lvl>
    <w:lvl w:ilvl="2" w:tentative="1" w:tplc="0409001B">
      <w:start w:val="1"/>
      <w:numFmt w:val="lowerRoman"/>
      <w:lvlText w:val="%3."/>
      <w:lvlJc w:val="right"/>
      <w:pPr>
        <w:tabs>
          <w:tab w:pos="4201" w:val="num"/>
        </w:tabs>
        <w:ind w:hanging="180" w:left="4201"/>
      </w:pPr>
    </w:lvl>
    <w:lvl w:ilvl="3" w:tentative="1" w:tplc="0409000F">
      <w:start w:val="1"/>
      <w:numFmt w:val="decimal"/>
      <w:lvlText w:val="%4."/>
      <w:lvlJc w:val="left"/>
      <w:pPr>
        <w:tabs>
          <w:tab w:pos="4921" w:val="num"/>
        </w:tabs>
        <w:ind w:hanging="360" w:left="4921"/>
      </w:pPr>
    </w:lvl>
    <w:lvl w:ilvl="4" w:tentative="1" w:tplc="04090019">
      <w:start w:val="1"/>
      <w:numFmt w:val="lowerLetter"/>
      <w:lvlText w:val="%5."/>
      <w:lvlJc w:val="left"/>
      <w:pPr>
        <w:tabs>
          <w:tab w:pos="5641" w:val="num"/>
        </w:tabs>
        <w:ind w:hanging="360" w:left="5641"/>
      </w:pPr>
    </w:lvl>
    <w:lvl w:ilvl="5" w:tentative="1" w:tplc="0409001B">
      <w:start w:val="1"/>
      <w:numFmt w:val="lowerRoman"/>
      <w:lvlText w:val="%6."/>
      <w:lvlJc w:val="right"/>
      <w:pPr>
        <w:tabs>
          <w:tab w:pos="6361" w:val="num"/>
        </w:tabs>
        <w:ind w:hanging="180" w:left="6361"/>
      </w:pPr>
    </w:lvl>
    <w:lvl w:ilvl="6" w:tentative="1" w:tplc="0409000F">
      <w:start w:val="1"/>
      <w:numFmt w:val="decimal"/>
      <w:lvlText w:val="%7."/>
      <w:lvlJc w:val="left"/>
      <w:pPr>
        <w:tabs>
          <w:tab w:pos="7081" w:val="num"/>
        </w:tabs>
        <w:ind w:hanging="360" w:left="7081"/>
      </w:pPr>
    </w:lvl>
    <w:lvl w:ilvl="7" w:tentative="1" w:tplc="04090019">
      <w:start w:val="1"/>
      <w:numFmt w:val="lowerLetter"/>
      <w:lvlText w:val="%8."/>
      <w:lvlJc w:val="left"/>
      <w:pPr>
        <w:tabs>
          <w:tab w:pos="7801" w:val="num"/>
        </w:tabs>
        <w:ind w:hanging="360" w:left="7801"/>
      </w:pPr>
    </w:lvl>
    <w:lvl w:ilvl="8" w:tentative="1" w:tplc="0409001B">
      <w:start w:val="1"/>
      <w:numFmt w:val="lowerRoman"/>
      <w:lvlText w:val="%9."/>
      <w:lvlJc w:val="right"/>
      <w:pPr>
        <w:tabs>
          <w:tab w:pos="8521" w:val="num"/>
        </w:tabs>
        <w:ind w:hanging="180" w:left="8521"/>
      </w:pPr>
    </w:lvl>
  </w:abstractNum>
  <w:abstractNum w15:restartNumberingAfterBreak="0" w:abstractNumId="34">
    <w:nsid w:val="36B2107D"/>
    <w:multiLevelType w:val="hybridMultilevel"/>
    <w:tmpl w:val="F1B432DC"/>
    <w:lvl w:ilvl="0" w:tplc="68AC28FE">
      <w:start w:val="1"/>
      <w:numFmt w:val="bullet"/>
      <w:lvlText w:val=""/>
      <w:lvlJc w:val="left"/>
      <w:pPr>
        <w:ind w:hanging="360" w:left="1080"/>
      </w:pPr>
      <w:rPr>
        <w:rFonts w:ascii="Wingdings 3" w:cs="Symbol" w:hAnsi="Wingdings 3" w:hint="default"/>
        <w:color w:val="FF0000"/>
        <w:position w:val="4"/>
        <w:sz w:val="40"/>
        <w:szCs w:val="40"/>
      </w:rPr>
    </w:lvl>
    <w:lvl w:ilvl="1" w:tentative="1" w:tplc="100C0003">
      <w:start w:val="1"/>
      <w:numFmt w:val="bullet"/>
      <w:lvlText w:val="o"/>
      <w:lvlJc w:val="left"/>
      <w:pPr>
        <w:ind w:hanging="360" w:left="1800"/>
      </w:pPr>
      <w:rPr>
        <w:rFonts w:ascii="Courier New" w:cs="Courier New" w:hAnsi="Courier New" w:hint="default"/>
      </w:rPr>
    </w:lvl>
    <w:lvl w:ilvl="2" w:tentative="1" w:tplc="100C0005">
      <w:start w:val="1"/>
      <w:numFmt w:val="bullet"/>
      <w:lvlText w:val=""/>
      <w:lvlJc w:val="left"/>
      <w:pPr>
        <w:ind w:hanging="360" w:left="2520"/>
      </w:pPr>
      <w:rPr>
        <w:rFonts w:ascii="Wingdings" w:cs="Wingdings" w:hAnsi="Wingdings" w:hint="default"/>
      </w:rPr>
    </w:lvl>
    <w:lvl w:ilvl="3" w:tentative="1" w:tplc="100C0001">
      <w:start w:val="1"/>
      <w:numFmt w:val="bullet"/>
      <w:lvlText w:val=""/>
      <w:lvlJc w:val="left"/>
      <w:pPr>
        <w:ind w:hanging="360" w:left="3240"/>
      </w:pPr>
      <w:rPr>
        <w:rFonts w:ascii="Symbol" w:cs="Symbol" w:hAnsi="Symbol" w:hint="default"/>
      </w:rPr>
    </w:lvl>
    <w:lvl w:ilvl="4" w:tentative="1" w:tplc="100C0003">
      <w:start w:val="1"/>
      <w:numFmt w:val="bullet"/>
      <w:lvlText w:val="o"/>
      <w:lvlJc w:val="left"/>
      <w:pPr>
        <w:ind w:hanging="360" w:left="3960"/>
      </w:pPr>
      <w:rPr>
        <w:rFonts w:ascii="Courier New" w:cs="Courier New" w:hAnsi="Courier New" w:hint="default"/>
      </w:rPr>
    </w:lvl>
    <w:lvl w:ilvl="5" w:tentative="1" w:tplc="100C0005">
      <w:start w:val="1"/>
      <w:numFmt w:val="bullet"/>
      <w:lvlText w:val=""/>
      <w:lvlJc w:val="left"/>
      <w:pPr>
        <w:ind w:hanging="360" w:left="4680"/>
      </w:pPr>
      <w:rPr>
        <w:rFonts w:ascii="Wingdings" w:cs="Wingdings" w:hAnsi="Wingdings" w:hint="default"/>
      </w:rPr>
    </w:lvl>
    <w:lvl w:ilvl="6" w:tentative="1" w:tplc="100C0001">
      <w:start w:val="1"/>
      <w:numFmt w:val="bullet"/>
      <w:lvlText w:val=""/>
      <w:lvlJc w:val="left"/>
      <w:pPr>
        <w:ind w:hanging="360" w:left="5400"/>
      </w:pPr>
      <w:rPr>
        <w:rFonts w:ascii="Symbol" w:cs="Symbol" w:hAnsi="Symbol" w:hint="default"/>
      </w:rPr>
    </w:lvl>
    <w:lvl w:ilvl="7" w:tentative="1" w:tplc="100C0003">
      <w:start w:val="1"/>
      <w:numFmt w:val="bullet"/>
      <w:lvlText w:val="o"/>
      <w:lvlJc w:val="left"/>
      <w:pPr>
        <w:ind w:hanging="360" w:left="6120"/>
      </w:pPr>
      <w:rPr>
        <w:rFonts w:ascii="Courier New" w:cs="Courier New" w:hAnsi="Courier New" w:hint="default"/>
      </w:rPr>
    </w:lvl>
    <w:lvl w:ilvl="8" w:tentative="1" w:tplc="100C0005">
      <w:start w:val="1"/>
      <w:numFmt w:val="bullet"/>
      <w:lvlText w:val=""/>
      <w:lvlJc w:val="left"/>
      <w:pPr>
        <w:ind w:hanging="360" w:left="6840"/>
      </w:pPr>
      <w:rPr>
        <w:rFonts w:ascii="Wingdings" w:cs="Wingdings" w:hAnsi="Wingdings" w:hint="default"/>
      </w:rPr>
    </w:lvl>
  </w:abstractNum>
  <w:abstractNum w15:restartNumberingAfterBreak="0" w:abstractNumId="35">
    <w:nsid w:val="36FE7601"/>
    <w:multiLevelType w:val="hybridMultilevel"/>
    <w:tmpl w:val="68389EA0"/>
    <w:name w:val="ParagrapheMJ"/>
    <w:numStyleLink w:val="MJ1"/>
  </w:abstractNum>
  <w:abstractNum w15:restartNumberingAfterBreak="0" w:abstractNumId="36">
    <w:nsid w:val="382E7CB0"/>
    <w:multiLevelType w:val="hybridMultilevel"/>
    <w:tmpl w:val="7FF0B7D0"/>
    <w:lvl w:ilvl="0" w:tplc="9BD025BA">
      <w:start w:val="1"/>
      <w:numFmt w:val="decimal"/>
      <w:pStyle w:val="BoxNum"/>
      <w:lvlText w:val="%1."/>
      <w:lvlJc w:val="left"/>
      <w:pPr>
        <w:tabs>
          <w:tab w:pos="397" w:val="num"/>
        </w:tabs>
        <w:ind w:hanging="397" w:left="397"/>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7">
    <w:nsid w:val="3A05150C"/>
    <w:multiLevelType w:val="hybridMultilevel"/>
    <w:tmpl w:val="48B83F0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8">
    <w:nsid w:val="3AB915A4"/>
    <w:multiLevelType w:val="hybridMultilevel"/>
    <w:tmpl w:val="3078B282"/>
    <w:lvl w:ilvl="0" w:tplc="D5F83EC8">
      <w:start w:val="1"/>
      <w:numFmt w:val="bullet"/>
      <w:pStyle w:val="QuoteDescription"/>
      <w:lvlText w:val=""/>
      <w:lvlJc w:val="left"/>
      <w:pPr>
        <w:ind w:hanging="360" w:left="720"/>
      </w:pPr>
      <w:rPr>
        <w:rFonts w:ascii="Wingdings 3" w:cs="Symbol" w:hAnsi="Wingdings 3" w:hint="default"/>
        <w:color w:val="FA3C4B"/>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9">
    <w:nsid w:val="3B7409BC"/>
    <w:multiLevelType w:val="multilevel"/>
    <w:tmpl w:val="8690AE12"/>
    <w:lvl w:ilvl="0">
      <w:start w:val="1"/>
      <w:numFmt w:val="bullet"/>
      <w:pStyle w:val="Caption"/>
      <w:lvlText w:val=""/>
      <w:lvlJc w:val="left"/>
      <w:pPr>
        <w:ind w:hanging="360" w:left="502"/>
      </w:pPr>
      <w:rPr>
        <w:rFonts w:ascii="Wingdings 3" w:hAnsi="Wingdings 3" w:hint="default"/>
        <w:color w:val="808080"/>
        <w:sz w:val="18"/>
      </w:rPr>
    </w:lvl>
    <w:lvl w:ilvl="1">
      <w:start w:val="1"/>
      <w:numFmt w:val="bullet"/>
      <w:lvlText w:val="o"/>
      <w:lvlJc w:val="left"/>
      <w:pPr>
        <w:ind w:hanging="360" w:left="1789"/>
      </w:pPr>
      <w:rPr>
        <w:rFonts w:ascii="Courier New" w:cs="Courier New" w:hAnsi="Courier New" w:hint="default"/>
      </w:rPr>
    </w:lvl>
    <w:lvl w:ilvl="2">
      <w:start w:val="1"/>
      <w:numFmt w:val="bullet"/>
      <w:lvlText w:val=""/>
      <w:lvlJc w:val="left"/>
      <w:pPr>
        <w:ind w:hanging="2509" w:left="2509"/>
      </w:pPr>
      <w:rPr>
        <w:rFonts w:ascii="Wingdings" w:hAnsi="Wingdings" w:hint="default"/>
      </w:rPr>
    </w:lvl>
    <w:lvl w:ilvl="3">
      <w:start w:val="1"/>
      <w:numFmt w:val="bullet"/>
      <w:lvlText w:val=""/>
      <w:lvlJc w:val="left"/>
      <w:pPr>
        <w:ind w:hanging="360" w:left="3229"/>
      </w:pPr>
      <w:rPr>
        <w:rFonts w:ascii="Symbol" w:hAnsi="Symbol" w:hint="default"/>
      </w:rPr>
    </w:lvl>
    <w:lvl w:ilvl="4">
      <w:start w:val="1"/>
      <w:numFmt w:val="bullet"/>
      <w:lvlText w:val="o"/>
      <w:lvlJc w:val="left"/>
      <w:pPr>
        <w:ind w:hanging="360" w:left="3949"/>
      </w:pPr>
      <w:rPr>
        <w:rFonts w:ascii="Courier New" w:cs="Courier New" w:hAnsi="Courier New" w:hint="default"/>
      </w:rPr>
    </w:lvl>
    <w:lvl w:ilvl="5">
      <w:start w:val="1"/>
      <w:numFmt w:val="bullet"/>
      <w:lvlText w:val=""/>
      <w:lvlJc w:val="left"/>
      <w:pPr>
        <w:ind w:hanging="360" w:left="4669"/>
      </w:pPr>
      <w:rPr>
        <w:rFonts w:ascii="Wingdings" w:hAnsi="Wingdings" w:hint="default"/>
      </w:rPr>
    </w:lvl>
    <w:lvl w:ilvl="6">
      <w:start w:val="1"/>
      <w:numFmt w:val="bullet"/>
      <w:lvlText w:val=""/>
      <w:lvlJc w:val="left"/>
      <w:pPr>
        <w:ind w:hanging="360" w:left="5389"/>
      </w:pPr>
      <w:rPr>
        <w:rFonts w:ascii="Symbol" w:hAnsi="Symbol" w:hint="default"/>
      </w:rPr>
    </w:lvl>
    <w:lvl w:ilvl="7">
      <w:start w:val="1"/>
      <w:numFmt w:val="bullet"/>
      <w:lvlText w:val="o"/>
      <w:lvlJc w:val="left"/>
      <w:pPr>
        <w:ind w:hanging="360" w:left="6109"/>
      </w:pPr>
      <w:rPr>
        <w:rFonts w:ascii="Courier New" w:cs="Courier New" w:hAnsi="Courier New" w:hint="default"/>
      </w:rPr>
    </w:lvl>
    <w:lvl w:ilvl="8">
      <w:start w:val="1"/>
      <w:numFmt w:val="bullet"/>
      <w:lvlText w:val=""/>
      <w:lvlJc w:val="left"/>
      <w:pPr>
        <w:ind w:hanging="360" w:left="6829"/>
      </w:pPr>
      <w:rPr>
        <w:rFonts w:ascii="Wingdings" w:hAnsi="Wingdings" w:hint="default"/>
      </w:rPr>
    </w:lvl>
  </w:abstractNum>
  <w:abstractNum w15:restartNumberingAfterBreak="0" w:abstractNumId="40">
    <w:nsid w:val="3BB668D6"/>
    <w:multiLevelType w:val="multilevel"/>
    <w:tmpl w:val="9D44E034"/>
    <w:styleLink w:val="ListNumILO"/>
    <w:lvl w:ilvl="0">
      <w:start w:val="1"/>
      <w:numFmt w:val="decimal"/>
      <w:lvlText w:val="%1."/>
      <w:lvlJc w:val="left"/>
      <w:pPr>
        <w:ind w:hanging="360" w:left="700"/>
      </w:pPr>
      <w:rPr>
        <w:rFonts w:cs="Times New Roman" w:hint="default"/>
        <w:b/>
        <w:i w:val="0"/>
        <w:color w:val="1E2DBE"/>
        <w:sz w:val="18"/>
        <w:szCs w:val="20"/>
      </w:rPr>
    </w:lvl>
    <w:lvl w:ilvl="1">
      <w:start w:val="1"/>
      <w:numFmt w:val="lowerLetter"/>
      <w:lvlText w:val="%2."/>
      <w:lvlJc w:val="left"/>
      <w:pPr>
        <w:ind w:hanging="227" w:left="454"/>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1">
    <w:nsid w:val="3C0A187E"/>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42">
    <w:nsid w:val="3DAD6061"/>
    <w:multiLevelType w:val="hybridMultilevel"/>
    <w:tmpl w:val="F12485C4"/>
    <w:lvl w:ilvl="0" w:tplc="31D4D8B4">
      <w:start w:val="1"/>
      <w:numFmt w:val="bullet"/>
      <w:pStyle w:val="Indent2"/>
      <w:lvlText w:val="o"/>
      <w:lvlJc w:val="left"/>
      <w:pPr>
        <w:ind w:hanging="360" w:left="900"/>
      </w:pPr>
      <w:rPr>
        <w:rFonts w:ascii="Courier New" w:cs="Courier New" w:hAnsi="Courier New" w:hint="default"/>
        <w:color w:val="1E2DBE"/>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43">
    <w:nsid w:val="42974D0A"/>
    <w:multiLevelType w:val="hybridMultilevel"/>
    <w:tmpl w:val="95962A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3DC044B"/>
    <w:multiLevelType w:val="hybridMultilevel"/>
    <w:tmpl w:val="B7F6CBDC"/>
    <w:lvl w:ilvl="0" w:tplc="417C825A">
      <w:start w:val="1"/>
      <w:numFmt w:val="bullet"/>
      <w:lvlText w:val=""/>
      <w:lvlJc w:val="left"/>
      <w:pPr>
        <w:ind w:hanging="360" w:left="720"/>
      </w:pPr>
      <w:rPr>
        <w:rFonts w:ascii="Symbol" w:hAnsi="Symbol" w:hint="default"/>
        <w:color w:val="auto"/>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5CF6B41"/>
    <w:multiLevelType w:val="hybridMultilevel"/>
    <w:tmpl w:val="D63C7BF6"/>
    <w:lvl w:ilvl="0" w:tplc="F30491CA">
      <w:start w:val="1"/>
      <w:numFmt w:val="bullet"/>
      <w:lvlText w:val="u"/>
      <w:lvlJc w:val="left"/>
      <w:pPr>
        <w:ind w:hanging="360" w:left="862"/>
      </w:pPr>
      <w:rPr>
        <w:rFonts w:ascii="Wingdings 3" w:hAnsi="Wingdings 3" w:hint="default"/>
        <w:color w:themeColor="background1" w:val="FFFFFF"/>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6F273CA"/>
    <w:multiLevelType w:val="hybridMultilevel"/>
    <w:tmpl w:val="8A10194C"/>
    <w:lvl w:ilvl="0" w:tplc="08090003">
      <w:start w:val="1"/>
      <w:numFmt w:val="bullet"/>
      <w:lvlText w:val="o"/>
      <w:lvlJc w:val="left"/>
      <w:pPr>
        <w:ind w:hanging="360" w:left="1440"/>
      </w:pPr>
      <w:rPr>
        <w:rFonts w:ascii="Courier New" w:cs="Courier New" w:hAnsi="Courier New" w:hint="default"/>
      </w:rPr>
    </w:lvl>
    <w:lvl w:ilvl="1" w:tplc="FFFFFFFF">
      <w:start w:val="1"/>
      <w:numFmt w:val="lowerLetter"/>
      <w:lvlText w:val="%2."/>
      <w:lvlJc w:val="left"/>
      <w:pPr>
        <w:ind w:hanging="360" w:left="2160"/>
      </w:pPr>
    </w:lvl>
    <w:lvl w:ilvl="2" w:tentative="1" w:tplc="FFFFFFFF">
      <w:start w:val="1"/>
      <w:numFmt w:val="lowerRoman"/>
      <w:lvlText w:val="%3."/>
      <w:lvlJc w:val="right"/>
      <w:pPr>
        <w:ind w:hanging="180" w:left="2880"/>
      </w:pPr>
    </w:lvl>
    <w:lvl w:ilvl="3" w:tentative="1" w:tplc="FFFFFFFF">
      <w:start w:val="1"/>
      <w:numFmt w:val="decimal"/>
      <w:lvlText w:val="%4."/>
      <w:lvlJc w:val="left"/>
      <w:pPr>
        <w:ind w:hanging="360" w:left="3600"/>
      </w:pPr>
    </w:lvl>
    <w:lvl w:ilvl="4" w:tentative="1" w:tplc="FFFFFFFF">
      <w:start w:val="1"/>
      <w:numFmt w:val="lowerLetter"/>
      <w:lvlText w:val="%5."/>
      <w:lvlJc w:val="left"/>
      <w:pPr>
        <w:ind w:hanging="360" w:left="4320"/>
      </w:pPr>
    </w:lvl>
    <w:lvl w:ilvl="5" w:tentative="1" w:tplc="FFFFFFFF">
      <w:start w:val="1"/>
      <w:numFmt w:val="lowerRoman"/>
      <w:lvlText w:val="%6."/>
      <w:lvlJc w:val="right"/>
      <w:pPr>
        <w:ind w:hanging="180" w:left="5040"/>
      </w:pPr>
    </w:lvl>
    <w:lvl w:ilvl="6" w:tentative="1" w:tplc="FFFFFFFF">
      <w:start w:val="1"/>
      <w:numFmt w:val="decimal"/>
      <w:lvlText w:val="%7."/>
      <w:lvlJc w:val="left"/>
      <w:pPr>
        <w:ind w:hanging="360" w:left="5760"/>
      </w:pPr>
    </w:lvl>
    <w:lvl w:ilvl="7" w:tentative="1" w:tplc="FFFFFFFF">
      <w:start w:val="1"/>
      <w:numFmt w:val="lowerLetter"/>
      <w:lvlText w:val="%8."/>
      <w:lvlJc w:val="left"/>
      <w:pPr>
        <w:ind w:hanging="360" w:left="6480"/>
      </w:pPr>
    </w:lvl>
    <w:lvl w:ilvl="8" w:tentative="1" w:tplc="FFFFFFFF">
      <w:start w:val="1"/>
      <w:numFmt w:val="lowerRoman"/>
      <w:lvlText w:val="%9."/>
      <w:lvlJc w:val="right"/>
      <w:pPr>
        <w:ind w:hanging="180" w:left="7200"/>
      </w:pPr>
    </w:lvl>
  </w:abstractNum>
  <w:abstractNum w15:restartNumberingAfterBreak="0" w:abstractNumId="47">
    <w:nsid w:val="490B6262"/>
    <w:multiLevelType w:val="hybridMultilevel"/>
    <w:tmpl w:val="7F543A32"/>
    <w:lvl w:ilvl="0" w:tplc="100C0001">
      <w:start w:val="1"/>
      <w:numFmt w:val="bullet"/>
      <w:lvlText w:val=""/>
      <w:lvlJc w:val="left"/>
      <w:pPr>
        <w:ind w:hanging="360" w:left="720"/>
      </w:pPr>
      <w:rPr>
        <w:rFonts w:ascii="Symbol" w:hAnsi="Symbol" w:hint="default"/>
      </w:rPr>
    </w:lvl>
    <w:lvl w:ilvl="1" w:tplc="FCAA9510">
      <w:numFmt w:val="bullet"/>
      <w:lvlText w:val="–"/>
      <w:lvlJc w:val="left"/>
      <w:pPr>
        <w:ind w:hanging="360" w:left="1440"/>
      </w:pPr>
      <w:rPr>
        <w:rFonts w:ascii="Noto Sans" w:cs="Noto Sans" w:eastAsia="SimSun" w:hAnsi="Noto Sans"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48">
    <w:nsid w:val="49162599"/>
    <w:multiLevelType w:val="hybridMultilevel"/>
    <w:tmpl w:val="2B188D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9C01582"/>
    <w:multiLevelType w:val="multilevel"/>
    <w:tmpl w:val="E34201AE"/>
    <w:styleLink w:val="ListNoNumILO"/>
    <w:lvl w:ilvl="0">
      <w:start w:val="1"/>
      <w:numFmt w:val="bullet"/>
      <w:lvlText w:val="●"/>
      <w:lvlJc w:val="left"/>
      <w:pPr>
        <w:ind w:hanging="227" w:left="227"/>
      </w:pPr>
      <w:rPr>
        <w:rFonts w:ascii="Verdana" w:hAnsi="Verdana" w:hint="default"/>
        <w:color w:val="1E2DBE"/>
      </w:rPr>
    </w:lvl>
    <w:lvl w:ilvl="1">
      <w:start w:val="1"/>
      <w:numFmt w:val="bullet"/>
      <w:lvlRestart w:val="0"/>
      <w:lvlText w:val="●"/>
      <w:lvlJc w:val="left"/>
      <w:pPr>
        <w:ind w:hanging="227" w:left="454"/>
      </w:pPr>
      <w:rPr>
        <w:rFonts w:ascii="Verdana" w:hAnsi="Verdana" w:hint="default"/>
        <w:color w:val="1E2DBE"/>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50">
    <w:nsid w:val="4ACA6E9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1">
    <w:nsid w:val="4E820D88"/>
    <w:multiLevelType w:val="hybridMultilevel"/>
    <w:tmpl w:val="A2B22CC2"/>
    <w:lvl w:ilvl="0" w:tplc="80E2DF92">
      <w:start w:val="1"/>
      <w:numFmt w:val="decimal"/>
      <w:pStyle w:val="AppendixQuotationNum"/>
      <w:lvlText w:val="%1."/>
      <w:lvlJc w:val="left"/>
      <w:pPr>
        <w:tabs>
          <w:tab w:pos="2884" w:val="num"/>
        </w:tabs>
        <w:ind w:hanging="360" w:left="2884"/>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2">
    <w:nsid w:val="4F622E27"/>
    <w:multiLevelType w:val="hybridMultilevel"/>
    <w:tmpl w:val="12F81A52"/>
    <w:lvl w:ilvl="0" w:tplc="2E445D1A">
      <w:start w:val="1"/>
      <w:numFmt w:val="bullet"/>
      <w:pStyle w:val="ListBullet20"/>
      <w:lvlText w:val="o"/>
      <w:lvlJc w:val="left"/>
      <w:pPr>
        <w:ind w:hanging="360" w:left="927"/>
      </w:pPr>
      <w:rPr>
        <w:rFonts w:ascii="Symbol" w:hAnsi="Symbol" w:hint="default"/>
        <w:b w:val="0"/>
        <w:i w:val="0"/>
        <w:color w:val="1E2CBD"/>
        <w:sz w:val="18"/>
        <w:szCs w:val="20"/>
      </w:rPr>
    </w:lvl>
    <w:lvl w:ilvl="1" w:tplc="33B87FF4">
      <w:start w:val="1"/>
      <w:numFmt w:val="lowerLetter"/>
      <w:lvlText w:val="(%2)"/>
      <w:lvlJc w:val="left"/>
      <w:pPr>
        <w:ind w:hanging="720" w:left="2433"/>
      </w:pPr>
      <w:rPr>
        <w:rFonts w:hint="default"/>
        <w:b w:val="0"/>
        <w:bCs/>
        <w:color w:val="auto"/>
      </w:rPr>
    </w:lvl>
    <w:lvl w:ilvl="2" w:tentative="1" w:tplc="0809001B">
      <w:start w:val="1"/>
      <w:numFmt w:val="lowerRoman"/>
      <w:lvlText w:val="%3."/>
      <w:lvlJc w:val="right"/>
      <w:pPr>
        <w:ind w:hanging="180" w:left="2793"/>
      </w:pPr>
    </w:lvl>
    <w:lvl w:ilvl="3" w:tentative="1" w:tplc="0809000F">
      <w:start w:val="1"/>
      <w:numFmt w:val="decimal"/>
      <w:lvlText w:val="%4."/>
      <w:lvlJc w:val="left"/>
      <w:pPr>
        <w:ind w:hanging="360" w:left="3513"/>
      </w:pPr>
    </w:lvl>
    <w:lvl w:ilvl="4" w:tentative="1" w:tplc="08090019">
      <w:start w:val="1"/>
      <w:numFmt w:val="lowerLetter"/>
      <w:lvlText w:val="%5."/>
      <w:lvlJc w:val="left"/>
      <w:pPr>
        <w:ind w:hanging="360" w:left="4233"/>
      </w:pPr>
    </w:lvl>
    <w:lvl w:ilvl="5" w:tentative="1" w:tplc="0809001B">
      <w:start w:val="1"/>
      <w:numFmt w:val="lowerRoman"/>
      <w:lvlText w:val="%6."/>
      <w:lvlJc w:val="right"/>
      <w:pPr>
        <w:ind w:hanging="180" w:left="4953"/>
      </w:pPr>
    </w:lvl>
    <w:lvl w:ilvl="6" w:tentative="1" w:tplc="0809000F">
      <w:start w:val="1"/>
      <w:numFmt w:val="decimal"/>
      <w:lvlText w:val="%7."/>
      <w:lvlJc w:val="left"/>
      <w:pPr>
        <w:ind w:hanging="360" w:left="5673"/>
      </w:pPr>
    </w:lvl>
    <w:lvl w:ilvl="7" w:tentative="1" w:tplc="08090019">
      <w:start w:val="1"/>
      <w:numFmt w:val="lowerLetter"/>
      <w:lvlText w:val="%8."/>
      <w:lvlJc w:val="left"/>
      <w:pPr>
        <w:ind w:hanging="360" w:left="6393"/>
      </w:pPr>
    </w:lvl>
    <w:lvl w:ilvl="8" w:tentative="1" w:tplc="0809001B">
      <w:start w:val="1"/>
      <w:numFmt w:val="lowerRoman"/>
      <w:lvlText w:val="%9."/>
      <w:lvlJc w:val="right"/>
      <w:pPr>
        <w:ind w:hanging="180" w:left="7113"/>
      </w:pPr>
    </w:lvl>
  </w:abstractNum>
  <w:abstractNum w15:restartNumberingAfterBreak="0" w:abstractNumId="53">
    <w:nsid w:val="4FD14401"/>
    <w:multiLevelType w:val="hybridMultilevel"/>
    <w:tmpl w:val="5F582386"/>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4">
    <w:nsid w:val="53F52512"/>
    <w:multiLevelType w:val="hybridMultilevel"/>
    <w:tmpl w:val="E7B0E9DE"/>
    <w:lvl w:ilvl="0" w:tplc="08090001">
      <w:start w:val="1"/>
      <w:numFmt w:val="bullet"/>
      <w:lvlText w:val=""/>
      <w:lvlJc w:val="left"/>
      <w:pPr>
        <w:ind w:hanging="360" w:left="720"/>
      </w:pPr>
      <w:rPr>
        <w:rFonts w:ascii="Symbol" w:hAnsi="Symbol"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5">
    <w:nsid w:val="59B07304"/>
    <w:multiLevelType w:val="hybridMultilevel"/>
    <w:tmpl w:val="62F0056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6">
    <w:nsid w:val="5A0131A0"/>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7">
    <w:nsid w:val="5CDC1B1D"/>
    <w:multiLevelType w:val="hybridMultilevel"/>
    <w:tmpl w:val="DD0EE9E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E374001"/>
    <w:multiLevelType w:val="multilevel"/>
    <w:tmpl w:val="45E24B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9">
    <w:nsid w:val="5ED850DC"/>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0">
    <w:nsid w:val="623E2310"/>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626B75C2"/>
    <w:multiLevelType w:val="hybridMultilevel"/>
    <w:tmpl w:val="B686EA5C"/>
    <w:lvl w:ilvl="0" w:tplc="29FABDD0">
      <w:start w:val="1"/>
      <w:numFmt w:val="decimal"/>
      <w:lvlRestart w:val="0"/>
      <w:pStyle w:val="Numbered"/>
      <w:lvlText w:val="%1."/>
      <w:lvlJc w:val="right"/>
      <w:pPr>
        <w:tabs>
          <w:tab w:pos="1553" w:val="num"/>
        </w:tabs>
        <w:ind w:hanging="113" w:left="1553"/>
      </w:pPr>
      <w:rPr>
        <w:rFonts w:ascii="Times New Roman" w:hAnsi="Times New Roman" w:hint="default"/>
        <w:b w:val="0"/>
        <w:i w:val="0"/>
        <w:sz w:val="22"/>
        <w:szCs w:val="22"/>
      </w:rPr>
    </w:lvl>
    <w:lvl w:ilvl="1" w:tplc="04090019">
      <w:start w:val="1"/>
      <w:numFmt w:val="lowerLetter"/>
      <w:lvlText w:val="%2."/>
      <w:lvlJc w:val="left"/>
      <w:pPr>
        <w:tabs>
          <w:tab w:pos="2539" w:val="num"/>
        </w:tabs>
        <w:ind w:hanging="360" w:left="2539"/>
      </w:pPr>
    </w:lvl>
    <w:lvl w:ilvl="2" w:tentative="1" w:tplc="0409001B">
      <w:start w:val="1"/>
      <w:numFmt w:val="lowerRoman"/>
      <w:lvlText w:val="%3."/>
      <w:lvlJc w:val="right"/>
      <w:pPr>
        <w:tabs>
          <w:tab w:pos="3259" w:val="num"/>
        </w:tabs>
        <w:ind w:hanging="180" w:left="3259"/>
      </w:pPr>
    </w:lvl>
    <w:lvl w:ilvl="3" w:tentative="1" w:tplc="0409000F">
      <w:start w:val="1"/>
      <w:numFmt w:val="decimal"/>
      <w:lvlText w:val="%4."/>
      <w:lvlJc w:val="left"/>
      <w:pPr>
        <w:tabs>
          <w:tab w:pos="3979" w:val="num"/>
        </w:tabs>
        <w:ind w:hanging="360" w:left="3979"/>
      </w:pPr>
    </w:lvl>
    <w:lvl w:ilvl="4" w:tentative="1" w:tplc="04090019">
      <w:start w:val="1"/>
      <w:numFmt w:val="lowerLetter"/>
      <w:lvlText w:val="%5."/>
      <w:lvlJc w:val="left"/>
      <w:pPr>
        <w:tabs>
          <w:tab w:pos="4699" w:val="num"/>
        </w:tabs>
        <w:ind w:hanging="360" w:left="4699"/>
      </w:pPr>
    </w:lvl>
    <w:lvl w:ilvl="5" w:tentative="1" w:tplc="0409001B">
      <w:start w:val="1"/>
      <w:numFmt w:val="lowerRoman"/>
      <w:lvlText w:val="%6."/>
      <w:lvlJc w:val="right"/>
      <w:pPr>
        <w:tabs>
          <w:tab w:pos="5419" w:val="num"/>
        </w:tabs>
        <w:ind w:hanging="180" w:left="5419"/>
      </w:pPr>
    </w:lvl>
    <w:lvl w:ilvl="6" w:tentative="1" w:tplc="0409000F">
      <w:start w:val="1"/>
      <w:numFmt w:val="decimal"/>
      <w:lvlText w:val="%7."/>
      <w:lvlJc w:val="left"/>
      <w:pPr>
        <w:tabs>
          <w:tab w:pos="6139" w:val="num"/>
        </w:tabs>
        <w:ind w:hanging="360" w:left="6139"/>
      </w:pPr>
    </w:lvl>
    <w:lvl w:ilvl="7" w:tentative="1" w:tplc="04090019">
      <w:start w:val="1"/>
      <w:numFmt w:val="lowerLetter"/>
      <w:lvlText w:val="%8."/>
      <w:lvlJc w:val="left"/>
      <w:pPr>
        <w:tabs>
          <w:tab w:pos="6859" w:val="num"/>
        </w:tabs>
        <w:ind w:hanging="360" w:left="6859"/>
      </w:pPr>
    </w:lvl>
    <w:lvl w:ilvl="8" w:tentative="1" w:tplc="0409001B">
      <w:start w:val="1"/>
      <w:numFmt w:val="lowerRoman"/>
      <w:lvlText w:val="%9."/>
      <w:lvlJc w:val="right"/>
      <w:pPr>
        <w:tabs>
          <w:tab w:pos="7579" w:val="num"/>
        </w:tabs>
        <w:ind w:hanging="180" w:left="7579"/>
      </w:pPr>
    </w:lvl>
  </w:abstractNum>
  <w:abstractNum w15:restartNumberingAfterBreak="0" w:abstractNumId="62">
    <w:nsid w:val="63C65ED6"/>
    <w:multiLevelType w:val="hybridMultilevel"/>
    <w:tmpl w:val="F5F4247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64EF5E67"/>
    <w:multiLevelType w:val="hybridMultilevel"/>
    <w:tmpl w:val="6B3AF236"/>
    <w:lvl w:ilvl="0" w:tplc="398058D6">
      <w:start w:val="1"/>
      <w:numFmt w:val="decimal"/>
      <w:lvlText w:val="(%1)"/>
      <w:lvlJc w:val="left"/>
      <w:pPr>
        <w:tabs>
          <w:tab w:pos="454" w:val="num"/>
        </w:tabs>
        <w:ind w:hanging="360" w:left="720"/>
      </w:pPr>
      <w:rPr>
        <w:rFonts w:hint="default"/>
        <w:b w:val="0"/>
        <w:bCs w:val="0"/>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4">
    <w:nsid w:val="66EC3251"/>
    <w:multiLevelType w:val="multilevel"/>
    <w:tmpl w:val="EE1E9386"/>
    <w:lvl w:ilvl="0">
      <w:start w:val="1"/>
      <w:numFmt w:val="decimal"/>
      <w:lvlText w:val="%1."/>
      <w:lvlJc w:val="left"/>
      <w:pPr>
        <w:ind w:hanging="360" w:left="360"/>
      </w:pPr>
      <w:rPr>
        <w:rFonts w:ascii="Overpass" w:hAnsi="Overpass" w:hint="default"/>
        <w:color w:val="1E2DBE"/>
        <w:sz w:val="36"/>
      </w:rPr>
    </w:lvl>
    <w:lvl w:ilvl="1">
      <w:start w:val="1"/>
      <w:numFmt w:val="decimal"/>
      <w:suff w:val="space"/>
      <w:lvlText w:val="%1.%2"/>
      <w:lvlJc w:val="left"/>
      <w:pPr>
        <w:ind w:hanging="1440" w:left="1440"/>
      </w:p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15:restartNumberingAfterBreak="0" w:abstractNumId="65">
    <w:nsid w:val="67C25728"/>
    <w:multiLevelType w:val="multilevel"/>
    <w:tmpl w:val="618C9E80"/>
    <w:lvl w:ilvl="0">
      <w:start w:val="1"/>
      <w:numFmt w:val="bullet"/>
      <w:lvlText w:val=""/>
      <w:lvlJc w:val="left"/>
      <w:pPr>
        <w:tabs>
          <w:tab w:pos="720" w:val="num"/>
        </w:tabs>
        <w:ind w:hanging="360" w:left="720"/>
      </w:pPr>
      <w:rPr>
        <w:rFonts w:ascii="Symbol" w:hAnsi="Symbol" w:hint="default"/>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6">
    <w:nsid w:val="68DA4611"/>
    <w:multiLevelType w:val="multilevel"/>
    <w:tmpl w:val="FDC4143E"/>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numFmt w:val="bullet"/>
      <w:lvlText w:val="*"/>
      <w:lvlJc w:val="left"/>
      <w:pPr>
        <w:ind w:hanging="360" w:left="5040"/>
      </w:pPr>
      <w:rPr>
        <w:rFonts w:ascii="Noto Sans" w:cs="Noto Sans" w:eastAsiaTheme="minorHAnsi" w:hAnsi="Noto Sans" w:hint="default"/>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69FC297F"/>
    <w:multiLevelType w:val="hybridMultilevel"/>
    <w:tmpl w:val="6C440F18"/>
    <w:lvl w:ilvl="0" w:tplc="08090011">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8">
    <w:nsid w:val="6A0D3DD4"/>
    <w:multiLevelType w:val="multilevel"/>
    <w:tmpl w:val="D25EFD54"/>
    <w:lvl w:ilvl="0">
      <w:start w:val="1"/>
      <w:numFmt w:val="bullet"/>
      <w:lvlText w:val=""/>
      <w:lvlJc w:val="left"/>
      <w:pPr>
        <w:tabs>
          <w:tab w:pos="720" w:val="num"/>
        </w:tabs>
        <w:ind w:hanging="360" w:left="720"/>
      </w:pPr>
      <w:rPr>
        <w:rFonts w:ascii="Symbol" w:hAnsi="Symbol" w:hint="default"/>
      </w:rPr>
    </w:lvl>
    <w:lvl w:ilvl="1">
      <w:start w:val="2"/>
      <w:numFmt w:val="bullet"/>
      <w:lvlText w:val=""/>
      <w:lvlJc w:val="left"/>
      <w:pPr>
        <w:ind w:hanging="360" w:left="1211"/>
      </w:pPr>
      <w:rPr>
        <w:rFonts w:ascii="Wingdings" w:cs="Noto Sans" w:eastAsiaTheme="minorHAnsi" w:hAnsi="Wingdings" w:hint="default"/>
      </w:rPr>
    </w:lvl>
    <w:lvl w:ilvl="2">
      <w:start w:val="1"/>
      <w:numFmt w:val="decimal"/>
      <w:lvlText w:val="%3."/>
      <w:lvlJc w:val="left"/>
      <w:pPr>
        <w:tabs>
          <w:tab w:pos="2160" w:val="num"/>
        </w:tabs>
        <w:ind w:hanging="360" w:left="2160"/>
      </w:pPr>
    </w:lvl>
    <w:lvl w:ilvl="3">
      <w:numFmt w:val="bullet"/>
      <w:lvlText w:val="-"/>
      <w:lvlJc w:val="left"/>
      <w:pPr>
        <w:ind w:hanging="360" w:left="1068"/>
      </w:pPr>
      <w:rPr>
        <w:rFonts w:ascii="Noto Sans" w:cs="Noto Sans" w:eastAsiaTheme="minorHAnsi" w:hAnsi="Noto Sans" w:hint="default"/>
      </w:r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9">
    <w:nsid w:val="6DDD08A1"/>
    <w:multiLevelType w:val="hybridMultilevel"/>
    <w:tmpl w:val="6B109D8E"/>
    <w:lvl w:ilvl="0" w:tplc="A2A40B98">
      <w:start w:val="1"/>
      <w:numFmt w:val="bullet"/>
      <w:lvlText w:val=""/>
      <w:lvlJc w:val="left"/>
      <w:pPr>
        <w:ind w:hanging="360" w:left="720"/>
      </w:pPr>
      <w:rPr>
        <w:rFonts w:ascii="Symbol" w:hAnsi="Symbol" w:hint="default"/>
        <w:color w:val="auto"/>
      </w:rPr>
    </w:lvl>
    <w:lvl w:ilvl="1" w:tplc="FFFFFFFF">
      <w:start w:val="1"/>
      <w:numFmt w:val="bullet"/>
      <w:lvlText w:val="o"/>
      <w:lvlJc w:val="left"/>
      <w:pPr>
        <w:ind w:hanging="360" w:left="1440"/>
      </w:pPr>
      <w:rPr>
        <w:rFonts w:ascii="Courier New" w:cs="Courier New" w:hAnsi="Courier New" w:hint="default"/>
      </w:rPr>
    </w:lvl>
    <w:lvl w:ilvl="2"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70">
    <w:nsid w:val="70F12C85"/>
    <w:multiLevelType w:val="hybridMultilevel"/>
    <w:tmpl w:val="2640C0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74AF3595"/>
    <w:multiLevelType w:val="hybridMultilevel"/>
    <w:tmpl w:val="C06EAF0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72">
    <w:nsid w:val="75A87E38"/>
    <w:multiLevelType w:val="hybridMultilevel"/>
    <w:tmpl w:val="4D6CA554"/>
    <w:lvl w:ilvl="0" w:tplc="1D32745E">
      <w:start w:val="9"/>
      <w:numFmt w:val="bullet"/>
      <w:lvlText w:val=""/>
      <w:lvlJc w:val="left"/>
      <w:pPr>
        <w:ind w:hanging="360" w:left="720"/>
      </w:pPr>
      <w:rPr>
        <w:rFonts w:ascii="Wingdings 3" w:cstheme="minorBidi" w:eastAsiaTheme="minorHAnsi" w:hAnsi="Wingdings 3" w:hint="default"/>
        <w:color w:val="1E2DBE"/>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75CE216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74">
    <w:nsid w:val="76FF5768"/>
    <w:multiLevelType w:val="hybridMultilevel"/>
    <w:tmpl w:val="2D428A64"/>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77F26236"/>
    <w:multiLevelType w:val="hybridMultilevel"/>
    <w:tmpl w:val="F140C21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7C99556D"/>
    <w:multiLevelType w:val="hybridMultilevel"/>
    <w:tmpl w:val="01068FEA"/>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10367245" w:numId="1">
    <w:abstractNumId w:val="32"/>
  </w:num>
  <w:num w16cid:durableId="1298999044" w:numId="2">
    <w:abstractNumId w:val="38"/>
  </w:num>
  <w:num w16cid:durableId="1644576797" w:numId="3">
    <w:abstractNumId w:val="34"/>
  </w:num>
  <w:num w16cid:durableId="1537038235" w:numId="4">
    <w:abstractNumId w:val="26"/>
  </w:num>
  <w:num w16cid:durableId="1316491415" w:numId="5">
    <w:abstractNumId w:val="52"/>
  </w:num>
  <w:num w16cid:durableId="1699044691" w:numId="6">
    <w:abstractNumId w:val="49"/>
  </w:num>
  <w:num w16cid:durableId="1681734339" w:numId="7">
    <w:abstractNumId w:val="72"/>
  </w:num>
  <w:num w16cid:durableId="583731629" w:numId="8">
    <w:abstractNumId w:val="7"/>
  </w:num>
  <w:num w16cid:durableId="289866685" w:numId="9">
    <w:abstractNumId w:val="51"/>
  </w:num>
  <w:num w16cid:durableId="1539275454" w:numId="10">
    <w:abstractNumId w:val="36"/>
  </w:num>
  <w:num w16cid:durableId="365906456" w:numId="11">
    <w:abstractNumId w:val="33"/>
  </w:num>
  <w:num w16cid:durableId="978728212" w:numId="12">
    <w:abstractNumId w:val="8"/>
  </w:num>
  <w:num w16cid:durableId="899051245" w:numId="13">
    <w:abstractNumId w:val="6"/>
  </w:num>
  <w:num w16cid:durableId="332726400" w:numId="14">
    <w:abstractNumId w:val="5"/>
  </w:num>
  <w:num w16cid:durableId="619997077" w:numId="15">
    <w:abstractNumId w:val="4"/>
  </w:num>
  <w:num w16cid:durableId="1309239020" w:numId="16">
    <w:abstractNumId w:val="3"/>
  </w:num>
  <w:num w16cid:durableId="69742398" w:numId="17">
    <w:abstractNumId w:val="2"/>
  </w:num>
  <w:num w16cid:durableId="1336298838" w:numId="18">
    <w:abstractNumId w:val="1"/>
  </w:num>
  <w:num w16cid:durableId="1541824823" w:numId="19">
    <w:abstractNumId w:val="0"/>
  </w:num>
  <w:num w16cid:durableId="394010212" w:numId="20">
    <w:abstractNumId w:val="61"/>
  </w:num>
  <w:num w16cid:durableId="581837476" w:numId="21">
    <w:abstractNumId w:val="42"/>
  </w:num>
  <w:num w16cid:durableId="1564170552" w:numId="22">
    <w:abstractNumId w:val="40"/>
  </w:num>
  <w:num w16cid:durableId="29114585" w:numId="23">
    <w:abstractNumId w:val="45"/>
  </w:num>
  <w:num w16cid:durableId="1478644510" w:numId="24">
    <w:abstractNumId w:val="30"/>
  </w:num>
  <w:num w16cid:durableId="1380402951" w:numId="25">
    <w:abstractNumId w:val="23"/>
  </w:num>
  <w:num w16cid:durableId="512231446" w:numId="26">
    <w:abstractNumId w:val="24"/>
  </w:num>
  <w:num w16cid:durableId="149714678" w:numId="27">
    <w:abstractNumId w:val="11"/>
  </w:num>
  <w:num w16cid:durableId="1152723148" w:numId="28">
    <w:abstractNumId w:val="69"/>
  </w:num>
  <w:num w16cid:durableId="558128492" w:numId="29">
    <w:abstractNumId w:val="44"/>
  </w:num>
  <w:num w16cid:durableId="784618148" w:numId="30">
    <w:abstractNumId w:val="18"/>
  </w:num>
  <w:num w16cid:durableId="1548837990" w:numId="31">
    <w:abstractNumId w:val="54"/>
  </w:num>
  <w:num w16cid:durableId="346565330" w:numId="32">
    <w:abstractNumId w:val="65"/>
  </w:num>
  <w:num w16cid:durableId="852765592" w:numId="33">
    <w:abstractNumId w:val="68"/>
  </w:num>
  <w:num w16cid:durableId="259991277" w:numId="34">
    <w:abstractNumId w:val="20"/>
  </w:num>
  <w:num w16cid:durableId="1691758588" w:numId="35">
    <w:abstractNumId w:val="21"/>
  </w:num>
  <w:num w16cid:durableId="1040277908" w:numId="36">
    <w:abstractNumId w:val="37"/>
  </w:num>
  <w:num w16cid:durableId="1735202290" w:numId="37">
    <w:abstractNumId w:val="28"/>
  </w:num>
  <w:num w16cid:durableId="373313866" w:numId="38">
    <w:abstractNumId w:val="43"/>
  </w:num>
  <w:num w16cid:durableId="1924794822" w:numId="39">
    <w:abstractNumId w:val="29"/>
  </w:num>
  <w:num w16cid:durableId="901410669" w:numId="40">
    <w:abstractNumId w:val="64"/>
  </w:num>
  <w:num w16cid:durableId="1712880109" w:numId="4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62868102" w:numId="4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03305235" w:numId="4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62012927" w:numId="44">
    <w:abstractNumId w:val="39"/>
  </w:num>
  <w:num w16cid:durableId="1883397174" w:numId="45">
    <w:abstractNumId w:val="53"/>
  </w:num>
  <w:num w16cid:durableId="1306010207" w:numId="46">
    <w:abstractNumId w:val="47"/>
  </w:num>
  <w:num w16cid:durableId="1666278250" w:numId="47">
    <w:abstractNumId w:val="19"/>
  </w:num>
  <w:num w16cid:durableId="714892825" w:numId="48">
    <w:abstractNumId w:val="66"/>
  </w:num>
  <w:num w16cid:durableId="1521816388" w:numId="49">
    <w:abstractNumId w:val="60"/>
  </w:num>
  <w:num w16cid:durableId="1206600930" w:numId="50">
    <w:abstractNumId w:val="59"/>
  </w:num>
  <w:num w16cid:durableId="1257203815" w:numId="51">
    <w:abstractNumId w:val="71"/>
  </w:num>
  <w:num w16cid:durableId="1985818829" w:numId="52">
    <w:abstractNumId w:val="74"/>
  </w:num>
  <w:num w16cid:durableId="211773454" w:numId="53">
    <w:abstractNumId w:val="58"/>
  </w:num>
  <w:num w16cid:durableId="2139100734" w:numId="54">
    <w:abstractNumId w:val="76"/>
  </w:num>
  <w:num w16cid:durableId="2095778524" w:numId="55">
    <w:abstractNumId w:val="55"/>
  </w:num>
  <w:num w16cid:durableId="682128107" w:numId="56">
    <w:abstractNumId w:val="75"/>
  </w:num>
  <w:num w16cid:durableId="1631813566" w:numId="57">
    <w:abstractNumId w:val="10"/>
  </w:num>
  <w:num w16cid:durableId="1951624196" w:numId="58">
    <w:abstractNumId w:val="17"/>
  </w:num>
  <w:num w16cid:durableId="1683705820" w:numId="59">
    <w:abstractNumId w:val="70"/>
  </w:num>
  <w:num w16cid:durableId="1113943928" w:numId="60">
    <w:abstractNumId w:val="22"/>
  </w:num>
  <w:num w16cid:durableId="1404180795" w:numId="61">
    <w:abstractNumId w:val="25"/>
  </w:num>
  <w:num w16cid:durableId="831945442" w:numId="62">
    <w:abstractNumId w:val="12"/>
  </w:num>
  <w:num w16cid:durableId="825517712" w:numId="63">
    <w:abstractNumId w:val="62"/>
  </w:num>
  <w:num w16cid:durableId="493109895" w:numId="64">
    <w:abstractNumId w:val="9"/>
  </w:num>
  <w:num w16cid:durableId="878401005" w:numId="65">
    <w:abstractNumId w:val="27"/>
  </w:num>
  <w:num w16cid:durableId="650527913" w:numId="66">
    <w:abstractNumId w:val="48"/>
  </w:num>
  <w:num w16cid:durableId="1046680153" w:numId="67">
    <w:abstractNumId w:val="15"/>
  </w:num>
  <w:num w16cid:durableId="1131558802" w:numId="68">
    <w:abstractNumId w:val="14"/>
  </w:num>
  <w:num w16cid:durableId="1795756036" w:numId="69">
    <w:abstractNumId w:val="63"/>
  </w:num>
  <w:num w16cid:durableId="1465855380" w:numId="70">
    <w:abstractNumId w:val="46"/>
  </w:num>
  <w:num w16cid:durableId="1034383477" w:numId="71">
    <w:abstractNumId w:val="16"/>
  </w:num>
  <w:num w16cid:durableId="1301419287" w:numId="72">
    <w:abstractNumId w:val="67"/>
  </w:num>
  <w:num w16cid:durableId="138152060" w:numId="73">
    <w:abstractNumId w:val="56"/>
  </w:num>
  <w:num w16cid:durableId="1399985060" w:numId="74">
    <w:abstractNumId w:val="41"/>
  </w:num>
  <w:num w16cid:durableId="1797290724" w:numId="75">
    <w:abstractNumId w:val="50"/>
  </w:num>
  <w:num w16cid:durableId="536548851" w:numId="76">
    <w:abstractNumId w:val="73"/>
  </w:num>
  <w:num w16cid:durableId="448399791" w:numId="77">
    <w:abstractNumId w:val="13"/>
  </w:num>
  <w:num w16cid:durableId="1402606701" w:numId="78">
    <w:abstractNumId w:val="31"/>
  </w:num>
  <w:num w16cid:durableId="633683614" w:numId="79">
    <w:abstractNumId w:val="64"/>
  </w:num>
  <w:num w16cid:durableId="1235091894" w:numId="80">
    <w:abstractNumId w:val="39"/>
  </w:num>
  <w:num w16cid:durableId="1403794883" w:numId="81">
    <w:abstractNumId w:val="39"/>
  </w:num>
  <w:num w16cid:durableId="1749573688" w:numId="82">
    <w:abstractNumId w:val="39"/>
  </w:num>
  <w:num w16cid:durableId="2128042849" w:numId="83">
    <w:abstractNumId w:val="39"/>
  </w:num>
  <w:num w16cid:durableId="1299801483" w:numId="84">
    <w:abstractNumId w:val="39"/>
  </w:num>
  <w:num w16cid:durableId="1645356486" w:numId="85">
    <w:abstractNumId w:val="39"/>
  </w:num>
  <w:num w16cid:durableId="2143230170" w:numId="86">
    <w:abstractNumId w:val="39"/>
  </w:num>
  <w:num w16cid:durableId="14044283" w:numId="87">
    <w:abstractNumId w:val="57"/>
  </w:num>
  <w:num w16cid:durableId="129130986" w:numId="88">
    <w:abstractNumId w:val="64"/>
  </w:num>
  <w:num w16cid:durableId="843518765" w:numId="89">
    <w:abstractNumId w:val="64"/>
  </w:num>
  <w:num w16cid:durableId="1783264914" w:numId="90">
    <w:abstractNumId w:val="64"/>
  </w:num>
  <w:num w16cid:durableId="285546964" w:numId="91">
    <w:abstractNumId w:val="64"/>
  </w:num>
  <w:num w16cid:durableId="1389959359" w:numId="92">
    <w:abstractNumId w:val="64"/>
  </w:num>
  <w:num w16cid:durableId="364524551" w:numId="93">
    <w:abstractNumId w:val="39"/>
  </w:num>
  <w:num w16cid:durableId="2028365467" w:numId="94">
    <w:abstractNumId w:val="39"/>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0" w:lang="es-ES" w:nlCheck="1" w:vendorID="64"/>
  <w:proofState w:grammar="clean" w:spelling="clean"/>
  <w:stylePaneFormatFilter w:val="0004"/>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5ED"/>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543"/>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DCE"/>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2E53"/>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4FC0"/>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860"/>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D79"/>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38A"/>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4BB"/>
    <w:rsid w:val="00917793"/>
    <w:rsid w:val="009179CA"/>
    <w:rsid w:val="00917CB3"/>
    <w:rsid w:val="00917DB9"/>
    <w:rsid w:val="00920263"/>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25F"/>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CA"/>
    <w:rsid w:val="00A975EC"/>
    <w:rsid w:val="00A97654"/>
    <w:rsid w:val="00A97871"/>
    <w:rsid w:val="00A97D3C"/>
    <w:rsid w:val="00A97DBC"/>
    <w:rsid w:val="00A97EF6"/>
    <w:rsid w:val="00AA04DB"/>
    <w:rsid w:val="00AA0785"/>
    <w:rsid w:val="00AA09A4"/>
    <w:rsid w:val="00AA0B8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128"/>
    <w:rsid w:val="00B0242F"/>
    <w:rsid w:val="00B02613"/>
    <w:rsid w:val="00B02793"/>
    <w:rsid w:val="00B02825"/>
    <w:rsid w:val="00B02937"/>
    <w:rsid w:val="00B02B41"/>
    <w:rsid w:val="00B02BBB"/>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534"/>
    <w:rsid w:val="00B276D6"/>
    <w:rsid w:val="00B277FE"/>
    <w:rsid w:val="00B2788B"/>
    <w:rsid w:val="00B27B59"/>
    <w:rsid w:val="00B27BE5"/>
    <w:rsid w:val="00B27C3E"/>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15"/>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D8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1"/>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72F"/>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7E5"/>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3D22"/>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81F"/>
    <w:rsid w:val="00E31D18"/>
    <w:rsid w:val="00E31F1F"/>
    <w:rsid w:val="00E31F44"/>
    <w:rsid w:val="00E31F83"/>
    <w:rsid w:val="00E32114"/>
    <w:rsid w:val="00E3231F"/>
    <w:rsid w:val="00E32A57"/>
    <w:rsid w:val="00E32B23"/>
    <w:rsid w:val="00E32D99"/>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D6"/>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C51"/>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3AB8"/>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w:themeFontLang w:bidi="ar-SA" w:eastAsia="ja-JP" w:val="fr-CH"/>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CH"/>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semiHidden="1" w:uiPriority="9"/>
    <w:lsdException w:name="heading 2" w:qFormat="1" w:semiHidden="1"/>
    <w:lsdException w:name="heading 3" w:qFormat="1" w:semiHidden="1"/>
    <w:lsdException w:name="heading 4" w:qFormat="1" w:semiHidden="1"/>
    <w:lsdException w:name="heading 5" w:qFormat="1" w:semiHidden="1"/>
    <w:lsdException w:name="heading 6" w:qFormat="1" w:semiHidden="1"/>
    <w:lsdException w:name="heading 7" w:qFormat="1" w:semiHidden="1"/>
    <w:lsdException w:name="heading 8" w:qFormat="1" w:semiHidden="1"/>
    <w:lsdException w:name="heading 9" w:qFormat="1"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qFormat="1"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semiHidden="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lsdException w:name="Emphasis" w:qFormat="1" w:semiHidden="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semiHidden="1" w:uiPriority="29"/>
    <w:lsdException w:name="Intense Quote" w:qFormat="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lsdException w:name="Intense Emphasis" w:qFormat="1" w:semiHidden="1" w:uiPriority="21"/>
    <w:lsdException w:name="Subtle Reference" w:qFormat="1" w:semiHidden="1" w:uiPriority="31"/>
    <w:lsdException w:name="Intense Reference" w:qFormat="1" w:semiHidden="1" w:uiPriority="32"/>
    <w:lsdException w:name="Book Title" w:qFormat="1" w:semiHidden="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uiPriority w:val="30"/>
    <w:qFormat/>
    <w:rsid w:val="004B4FC0"/>
    <w:pPr>
      <w:spacing w:after="120" w:before="120" w:line="264" w:lineRule="auto"/>
    </w:pPr>
    <w:rPr>
      <w:rFonts w:ascii="Noto Sans" w:cs="Noto Sans" w:hAnsi="Noto Sans"/>
      <w:sz w:val="20"/>
      <w:szCs w:val="18"/>
    </w:rPr>
  </w:style>
  <w:style w:styleId="Heading1" w:type="paragraph">
    <w:name w:val="heading 1"/>
    <w:aliases w:val="DNV-H1"/>
    <w:basedOn w:val="Headinglevel1"/>
    <w:next w:val="Normal"/>
    <w:link w:val="Heading1Char"/>
    <w:uiPriority w:val="9"/>
    <w:qFormat/>
    <w:rsid w:val="0087638A"/>
    <w:rPr>
      <w:lang w:val="fr-FR"/>
    </w:rPr>
  </w:style>
  <w:style w:styleId="Heading2" w:type="paragraph">
    <w:name w:val="heading 2"/>
    <w:aliases w:val="DNV-H2,t2"/>
    <w:basedOn w:val="Headinglevel2"/>
    <w:next w:val="Normal"/>
    <w:link w:val="Heading2Char"/>
    <w:qFormat/>
    <w:rsid w:val="0087638A"/>
    <w:rPr>
      <w:lang w:val="fr-FR"/>
    </w:rPr>
  </w:style>
  <w:style w:styleId="Heading3" w:type="paragraph">
    <w:name w:val="heading 3"/>
    <w:aliases w:val="t3"/>
    <w:basedOn w:val="Heading2"/>
    <w:next w:val="Normal"/>
    <w:link w:val="Heading3Char"/>
    <w:qFormat/>
    <w:rsid w:val="00D077E5"/>
    <w:pPr>
      <w:tabs>
        <w:tab w:pos="680" w:val="left"/>
      </w:tabs>
      <w:outlineLvl w:val="2"/>
    </w:pPr>
    <w:rPr>
      <w:rFonts w:ascii="Noto Sans" w:cs="Arial" w:eastAsia="Batang" w:hAnsi="Noto Sans"/>
      <w:b w:val="0"/>
      <w:color w:val="1E2DBE"/>
      <w:kern w:val="32"/>
      <w:sz w:val="20"/>
    </w:rPr>
  </w:style>
  <w:style w:styleId="Heading4" w:type="paragraph">
    <w:name w:val="heading 4"/>
    <w:basedOn w:val="Heading3"/>
    <w:next w:val="Numbered"/>
    <w:link w:val="Heading4Char"/>
    <w:qFormat/>
    <w:rsid w:val="00937DD7"/>
    <w:pPr>
      <w:outlineLvl w:val="3"/>
    </w:pPr>
    <w:rPr>
      <w:rFonts w:eastAsia="Times New Roman"/>
      <w:b/>
      <w:i/>
      <w:sz w:val="22"/>
      <w:szCs w:val="28"/>
      <w:lang w:val="en-US"/>
    </w:rPr>
  </w:style>
  <w:style w:styleId="Heading5" w:type="paragraph">
    <w:name w:val="heading 5"/>
    <w:basedOn w:val="Heading4"/>
    <w:next w:val="Numbered"/>
    <w:link w:val="Heading5Char"/>
    <w:qFormat/>
    <w:rsid w:val="00937DD7"/>
    <w:pPr>
      <w:spacing w:after="60" w:before="120"/>
      <w:outlineLvl w:val="4"/>
    </w:pPr>
    <w:rPr>
      <w:bCs w:val="0"/>
      <w:i w:val="0"/>
      <w:iCs/>
      <w:szCs w:val="26"/>
    </w:rPr>
  </w:style>
  <w:style w:styleId="Heading6" w:type="paragraph">
    <w:name w:val="heading 6"/>
    <w:basedOn w:val="Heading5"/>
    <w:next w:val="Numbered"/>
    <w:link w:val="Heading6Char"/>
    <w:qFormat/>
    <w:rsid w:val="00937DD7"/>
    <w:pPr>
      <w:ind w:left="1134"/>
      <w:outlineLvl w:val="5"/>
    </w:pPr>
  </w:style>
  <w:style w:styleId="Heading7" w:type="paragraph">
    <w:name w:val="heading 7"/>
    <w:basedOn w:val="Heading5"/>
    <w:next w:val="Numbered"/>
    <w:link w:val="Heading7Char"/>
    <w:qFormat/>
    <w:rsid w:val="00937DD7"/>
    <w:pPr>
      <w:ind w:left="1134"/>
      <w:outlineLvl w:val="6"/>
    </w:pPr>
    <w:rPr>
      <w:b w:val="0"/>
      <w:i/>
    </w:rPr>
  </w:style>
  <w:style w:styleId="Heading8" w:type="paragraph">
    <w:name w:val="heading 8"/>
    <w:basedOn w:val="Heading5"/>
    <w:next w:val="Numbered"/>
    <w:link w:val="Heading8Char"/>
    <w:qFormat/>
    <w:rsid w:val="00937DD7"/>
    <w:pPr>
      <w:ind w:left="1134"/>
      <w:outlineLvl w:val="7"/>
    </w:pPr>
    <w:rPr>
      <w:b w:val="0"/>
      <w:iCs w:val="0"/>
    </w:rPr>
  </w:style>
  <w:style w:styleId="Heading9" w:type="paragraph">
    <w:name w:val="heading 9"/>
    <w:basedOn w:val="Normal"/>
    <w:next w:val="Normal"/>
    <w:link w:val="Heading9Char"/>
    <w:qFormat/>
    <w:rsid w:val="00937DD7"/>
    <w:pPr>
      <w:spacing w:after="60" w:before="240" w:line="240" w:lineRule="auto"/>
      <w:outlineLvl w:val="8"/>
    </w:pPr>
    <w:rPr>
      <w:rFonts w:ascii="Arial" w:cs="Arial" w:eastAsia="Times New Roman" w:hAnsi="Arial"/>
      <w:sz w:val="22"/>
      <w:szCs w:val="22"/>
      <w:lang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ListBullet1" w:type="paragraph">
    <w:name w:val="ListBullet1"/>
    <w:uiPriority w:val="5"/>
    <w:qFormat/>
    <w:rsid w:val="002B35A1"/>
    <w:pPr>
      <w:numPr>
        <w:numId w:val="24"/>
      </w:numPr>
      <w:spacing w:after="60" w:before="60" w:line="240" w:lineRule="auto"/>
      <w:jc w:val="both"/>
    </w:pPr>
    <w:rPr>
      <w:rFonts w:ascii="Noto Sans" w:cs="Noto Sans" w:hAnsi="Noto Sans"/>
      <w:sz w:val="20"/>
      <w:szCs w:val="18"/>
      <w:lang w:val="en-GB"/>
    </w:rPr>
  </w:style>
  <w:style w:styleId="Header" w:type="paragraph">
    <w:name w:val="header"/>
    <w:basedOn w:val="NormalBody"/>
    <w:link w:val="HeaderChar"/>
    <w:uiPriority w:val="99"/>
    <w:unhideWhenUsed/>
    <w:rsid w:val="004D0F5E"/>
    <w:pPr>
      <w:tabs>
        <w:tab w:pos="227" w:val="left"/>
        <w:tab w:pos="10204" w:val="right"/>
      </w:tabs>
      <w:spacing w:after="0" w:before="0"/>
    </w:pPr>
    <w:rPr>
      <w:rFonts w:cs="Noto Sans SemBd"/>
      <w:bCs/>
      <w:noProof/>
      <w:color w:val="1E2DBE"/>
      <w:sz w:val="16"/>
    </w:rPr>
  </w:style>
  <w:style w:customStyle="1" w:styleId="HeaderChar" w:type="character">
    <w:name w:val="Header Char"/>
    <w:basedOn w:val="DefaultParagraphFont"/>
    <w:link w:val="Header"/>
    <w:uiPriority w:val="99"/>
    <w:rsid w:val="004D0F5E"/>
    <w:rPr>
      <w:rFonts w:ascii="Noto Sans" w:cs="Noto Sans SemBd" w:hAnsi="Noto Sans"/>
      <w:bCs/>
      <w:noProof/>
      <w:color w:val="1E2DBE"/>
      <w:sz w:val="16"/>
      <w:szCs w:val="18"/>
      <w:lang w:val="en-GB"/>
    </w:rPr>
  </w:style>
  <w:style w:styleId="Footer" w:type="paragraph">
    <w:name w:val="footer"/>
    <w:aliases w:val="pp"/>
    <w:basedOn w:val="NormalBody"/>
    <w:link w:val="FooterChar"/>
    <w:uiPriority w:val="99"/>
    <w:unhideWhenUsed/>
    <w:rsid w:val="00830C02"/>
    <w:pPr>
      <w:tabs>
        <w:tab w:pos="4536" w:val="center"/>
        <w:tab w:pos="9072" w:val="right"/>
      </w:tabs>
      <w:spacing w:after="0" w:before="0"/>
    </w:pPr>
    <w:rPr>
      <w:color w:val="1E2DBE"/>
    </w:rPr>
  </w:style>
  <w:style w:customStyle="1" w:styleId="FooterChar" w:type="character">
    <w:name w:val="Footer Char"/>
    <w:aliases w:val="pp Char"/>
    <w:basedOn w:val="DefaultParagraphFont"/>
    <w:link w:val="Footer"/>
    <w:uiPriority w:val="99"/>
    <w:rsid w:val="00897580"/>
    <w:rPr>
      <w:rFonts w:ascii="Noto Sans" w:cs="Noto Sans" w:hAnsi="Noto Sans"/>
      <w:color w:val="1E2DBE"/>
      <w:sz w:val="18"/>
      <w:szCs w:val="18"/>
      <w:lang w:val="en-GB"/>
    </w:rPr>
  </w:style>
  <w:style w:customStyle="1" w:styleId="NormalBody" w:type="paragraph">
    <w:name w:val="NormalBody"/>
    <w:link w:val="NormalBodyChar"/>
    <w:uiPriority w:val="4"/>
    <w:qFormat/>
    <w:rsid w:val="00243008"/>
    <w:pPr>
      <w:spacing w:after="120" w:before="120" w:line="240" w:lineRule="auto"/>
      <w:jc w:val="both"/>
    </w:pPr>
    <w:rPr>
      <w:rFonts w:ascii="Noto Sans" w:cs="Noto Sans" w:eastAsia="SimSun" w:hAnsi="Noto Sans"/>
      <w:sz w:val="20"/>
      <w:szCs w:val="16"/>
      <w:lang w:val="en-GB"/>
    </w:rPr>
  </w:style>
  <w:style w:customStyle="1" w:styleId="DateMonthYear" w:type="paragraph">
    <w:name w:val="Date(MonthYear)"/>
    <w:link w:val="DateMonthYearCar"/>
    <w:uiPriority w:val="2"/>
    <w:qFormat/>
    <w:rsid w:val="00251EEC"/>
    <w:pPr>
      <w:spacing w:after="120" w:before="120" w:line="240" w:lineRule="auto"/>
      <w:ind w:left="454"/>
    </w:pPr>
    <w:rPr>
      <w:rFonts w:ascii="Overpass Light" w:cs="Noto Sans" w:hAnsi="Overpass Light"/>
      <w:color w:val="1E2DBE"/>
      <w:sz w:val="18"/>
      <w:szCs w:val="18"/>
      <w:lang w:val="en-GB"/>
    </w:rPr>
  </w:style>
  <w:style w:styleId="PlaceholderText" w:type="character">
    <w:name w:val="Placeholder Text"/>
    <w:basedOn w:val="DefaultParagraphFont"/>
    <w:uiPriority w:val="99"/>
    <w:semiHidden/>
    <w:rsid w:val="004C2061"/>
    <w:rPr>
      <w:color w:val="808080"/>
    </w:rPr>
  </w:style>
  <w:style w:styleId="TableGrid" w:type="table">
    <w:name w:val="Table Grid"/>
    <w:basedOn w:val="TableNormal"/>
    <w:uiPriority w:val="39"/>
    <w:rsid w:val="00D663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DateMonthYearCar" w:type="character">
    <w:name w:val="Date(MonthYear) Car"/>
    <w:basedOn w:val="DefaultParagraphFont"/>
    <w:link w:val="DateMonthYear"/>
    <w:uiPriority w:val="2"/>
    <w:rsid w:val="00897580"/>
    <w:rPr>
      <w:rFonts w:ascii="Overpass Light" w:cs="Noto Sans" w:hAnsi="Overpass Light"/>
      <w:color w:val="1E2DBE"/>
      <w:sz w:val="18"/>
      <w:szCs w:val="18"/>
      <w:lang w:val="en-GB"/>
    </w:rPr>
  </w:style>
  <w:style w:customStyle="1" w:styleId="KeyTitle" w:type="paragraph">
    <w:name w:val="KeyTitle"/>
    <w:basedOn w:val="NormalBody"/>
    <w:uiPriority w:val="6"/>
    <w:qFormat/>
    <w:rsid w:val="00EA4FB0"/>
    <w:pPr>
      <w:spacing w:after="0" w:before="0"/>
    </w:pPr>
    <w:rPr>
      <w:b/>
      <w:bCs/>
      <w:szCs w:val="20"/>
    </w:rPr>
  </w:style>
  <w:style w:customStyle="1" w:styleId="KeyList" w:type="paragraph">
    <w:name w:val="KeyList"/>
    <w:basedOn w:val="NormalBody"/>
    <w:uiPriority w:val="6"/>
    <w:qFormat/>
    <w:rsid w:val="006B271B"/>
    <w:pPr>
      <w:numPr>
        <w:numId w:val="1"/>
      </w:numPr>
      <w:ind w:hanging="227" w:left="227"/>
    </w:pPr>
  </w:style>
  <w:style w:customStyle="1" w:styleId="Folio" w:type="character">
    <w:name w:val="Folio"/>
    <w:basedOn w:val="DefaultParagraphFont"/>
    <w:uiPriority w:val="14"/>
    <w:qFormat/>
    <w:rsid w:val="004D0F5E"/>
    <w:rPr>
      <w:rFonts w:ascii="Noto Sans" w:hAnsi="Noto Sans"/>
      <w:sz w:val="18"/>
      <w:szCs w:val="22"/>
    </w:rPr>
  </w:style>
  <w:style w:styleId="FootnoteText" w:type="paragraph">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392E53"/>
    <w:pPr>
      <w:tabs>
        <w:tab w:pos="0" w:val="left"/>
        <w:tab w:pos="284" w:val="left"/>
      </w:tabs>
      <w:spacing w:after="0" w:before="0"/>
      <w:ind w:hanging="284" w:left="284"/>
    </w:pPr>
    <w:rPr>
      <w:sz w:val="16"/>
      <w:szCs w:val="20"/>
    </w:rPr>
  </w:style>
  <w:style w:customStyle="1" w:styleId="FootnoteTextChar" w:type="characte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392E53"/>
    <w:rPr>
      <w:rFonts w:ascii="Noto Sans" w:cs="Noto Sans" w:eastAsia="SimSun" w:hAnsi="Noto Sans"/>
      <w:sz w:val="16"/>
      <w:szCs w:val="20"/>
      <w:lang w:val="en-GB"/>
    </w:rPr>
  </w:style>
  <w:style w:styleId="FootnoteReference" w:type="character">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customStyle="1" w:styleId="QuoteText" w:type="paragraph">
    <w:name w:val="QuoteText"/>
    <w:basedOn w:val="Normal"/>
    <w:uiPriority w:val="11"/>
    <w:qFormat/>
    <w:rsid w:val="00F6079B"/>
    <w:pPr>
      <w:keepNext/>
      <w:pBdr>
        <w:bottom w:color="1E2DBE" w:space="6" w:sz="4" w:val="single"/>
      </w:pBdr>
      <w:spacing w:line="240" w:lineRule="auto"/>
    </w:pPr>
    <w:rPr>
      <w:rFonts w:ascii="Overpass Light" w:hAnsi="Overpass Light"/>
      <w:color w:val="1E2DBE"/>
      <w:sz w:val="32"/>
      <w:szCs w:val="32"/>
      <w:lang w:val="fr-FR"/>
    </w:rPr>
  </w:style>
  <w:style w:customStyle="1" w:styleId="QuoteDescription" w:type="paragraph">
    <w:name w:val="QuoteDescription"/>
    <w:basedOn w:val="NormalBody"/>
    <w:uiPriority w:val="11"/>
    <w:qFormat/>
    <w:rsid w:val="009B37D8"/>
    <w:pPr>
      <w:numPr>
        <w:numId w:val="2"/>
      </w:numPr>
      <w:spacing w:after="0" w:before="0"/>
      <w:ind w:hanging="227" w:left="227"/>
    </w:pPr>
    <w:rPr>
      <w:color w:val="1E2DBE"/>
    </w:rPr>
  </w:style>
  <w:style w:styleId="ListParagraph" w:type="paragraph">
    <w:name w:val="List Paragraph"/>
    <w:aliases w:val="Bullets,Fundamentacion"/>
    <w:basedOn w:val="Normal"/>
    <w:link w:val="ListParagraphChar"/>
    <w:uiPriority w:val="34"/>
    <w:qFormat/>
    <w:rsid w:val="00800259"/>
    <w:pPr>
      <w:ind w:left="720"/>
      <w:contextualSpacing/>
    </w:pPr>
  </w:style>
  <w:style w:customStyle="1" w:styleId="RunningTitleAutomatic" w:type="paragraph">
    <w:name w:val="RunningTitle(Automatic)"/>
    <w:basedOn w:val="NormalBody"/>
    <w:uiPriority w:val="49"/>
    <w:semiHidden/>
    <w:qFormat/>
    <w:rsid w:val="004E2BE0"/>
    <w:pPr>
      <w:spacing w:after="0" w:before="0"/>
      <w:ind w:left="227"/>
    </w:pPr>
    <w:rPr>
      <w:rFonts w:ascii="Overpass Light" w:hAnsi="Overpass Light"/>
      <w:noProof/>
      <w:color w:val="1E2DBE"/>
    </w:rPr>
  </w:style>
  <w:style w:customStyle="1" w:styleId="ListNum1" w:type="paragraph">
    <w:name w:val="ListNum1"/>
    <w:uiPriority w:val="5"/>
    <w:qFormat/>
    <w:rsid w:val="00756130"/>
    <w:pPr>
      <w:spacing w:after="60" w:before="60" w:line="240" w:lineRule="auto"/>
      <w:ind w:hanging="227" w:left="567"/>
      <w:jc w:val="both"/>
    </w:pPr>
    <w:rPr>
      <w:rFonts w:ascii="Noto Sans" w:cs="Noto Sans" w:hAnsi="Noto Sans"/>
      <w:sz w:val="20"/>
      <w:szCs w:val="18"/>
      <w:lang w:val="en-GB"/>
    </w:rPr>
  </w:style>
  <w:style w:customStyle="1" w:styleId="ListNum2" w:type="paragraph">
    <w:name w:val="ListNum2"/>
    <w:uiPriority w:val="5"/>
    <w:qFormat/>
    <w:rsid w:val="00FF1FDE"/>
    <w:pPr>
      <w:spacing w:after="60" w:before="60" w:line="240" w:lineRule="auto"/>
      <w:ind w:hanging="340" w:left="907"/>
      <w:jc w:val="both"/>
    </w:pPr>
    <w:rPr>
      <w:rFonts w:ascii="Noto Sans" w:hAnsi="Noto Sans"/>
      <w:sz w:val="20"/>
      <w:lang w:val="en-US"/>
    </w:rPr>
  </w:style>
  <w:style w:customStyle="1" w:styleId="ListNumILO" w:type="numbering">
    <w:name w:val="ListNumILO"/>
    <w:basedOn w:val="NoList"/>
    <w:uiPriority w:val="99"/>
    <w:rsid w:val="00150A54"/>
    <w:pPr>
      <w:numPr>
        <w:numId w:val="22"/>
      </w:numPr>
    </w:pPr>
  </w:style>
  <w:style w:customStyle="1" w:styleId="Source-BoxTable" w:type="paragraph">
    <w:name w:val="Source - BoxTable"/>
    <w:next w:val="NormalBody"/>
    <w:uiPriority w:val="7"/>
    <w:qFormat/>
    <w:rsid w:val="002D665D"/>
    <w:pPr>
      <w:spacing w:after="60" w:before="120" w:line="240" w:lineRule="auto"/>
      <w:jc w:val="both"/>
    </w:pPr>
    <w:rPr>
      <w:rFonts w:ascii="Noto Sans" w:cs="Noto Sans" w:hAnsi="Noto Sans"/>
      <w:sz w:val="18"/>
      <w:szCs w:val="15"/>
      <w:lang w:val="en-GB"/>
    </w:rPr>
  </w:style>
  <w:style w:customStyle="1" w:styleId="PicturePlace" w:type="paragraph">
    <w:name w:val="PicturePlace"/>
    <w:basedOn w:val="NormalBody"/>
    <w:uiPriority w:val="9"/>
    <w:qFormat/>
    <w:rsid w:val="003967D2"/>
    <w:pPr>
      <w:keepNext/>
      <w:spacing w:after="0" w:before="0"/>
      <w:jc w:val="center"/>
    </w:pPr>
  </w:style>
  <w:style w:customStyle="1" w:styleId="Copyright" w:type="paragraph">
    <w:name w:val="Copyright"/>
    <w:basedOn w:val="NormalBody"/>
    <w:uiPriority w:val="49"/>
    <w:qFormat/>
    <w:rsid w:val="004E2BE0"/>
    <w:pPr>
      <w:spacing w:after="0" w:before="0"/>
      <w:jc w:val="right"/>
    </w:pPr>
    <w:rPr>
      <w:sz w:val="14"/>
      <w:szCs w:val="12"/>
    </w:rPr>
  </w:style>
  <w:style w:customStyle="1" w:styleId="ContactDetail" w:type="paragraph">
    <w:name w:val="ContactDetail"/>
    <w:basedOn w:val="NormalBody"/>
    <w:uiPriority w:val="13"/>
    <w:qFormat/>
    <w:rsid w:val="00FB1F94"/>
    <w:pPr>
      <w:spacing w:after="0" w:before="0"/>
    </w:pPr>
    <w:rPr>
      <w:sz w:val="16"/>
      <w:szCs w:val="15"/>
    </w:rPr>
  </w:style>
  <w:style w:customStyle="1" w:styleId="ILOTable" w:type="table">
    <w:name w:val="ILOTable"/>
    <w:basedOn w:val="TableNormal"/>
    <w:uiPriority w:val="99"/>
    <w:rsid w:val="002D70F5"/>
    <w:pPr>
      <w:spacing w:after="0" w:line="240" w:lineRule="auto"/>
    </w:pPr>
    <w:rPr>
      <w:rFonts w:ascii="Noto Sans" w:hAnsi="Noto Sans"/>
      <w:sz w:val="18"/>
    </w:rPr>
    <w:tblPr>
      <w:tblStyleRowBandSize w:val="1"/>
      <w:tblBorders>
        <w:top w:color="1E2DBE" w:space="0" w:sz="2" w:val="single"/>
        <w:left w:color="1E2DBE" w:space="0" w:sz="2" w:val="single"/>
        <w:bottom w:color="1E2DBE" w:space="0" w:sz="2" w:val="single"/>
        <w:right w:color="1E2DBE" w:space="0" w:sz="2" w:val="single"/>
        <w:insideH w:color="1E2DBE" w:space="0" w:sz="2" w:val="single"/>
      </w:tblBorders>
      <w:tblCellMar>
        <w:top w:type="dxa" w:w="28"/>
        <w:left w:type="dxa" w:w="57"/>
        <w:bottom w:type="dxa" w:w="28"/>
        <w:right w:type="dxa" w:w="57"/>
      </w:tblCellMar>
    </w:tblPr>
    <w:trPr>
      <w:cantSplit/>
    </w:trPr>
    <w:tcPr>
      <w:shd w:color="auto" w:fill="auto" w:val="clear"/>
      <w:vAlign w:val="center"/>
    </w:tcPr>
    <w:tblStylePr w:type="firstRow">
      <w:pPr>
        <w:jc w:val="left"/>
      </w:pPr>
      <w:tblPr/>
      <w:tcPr>
        <w:tcBorders>
          <w:insideV w:color="FFFFFF" w:space="0" w:sz="2" w:themeColor="background1" w:val="single"/>
        </w:tcBorders>
        <w:shd w:color="auto" w:fill="1E2DBE" w:val="clear"/>
      </w:tcPr>
    </w:tblStylePr>
    <w:tblStylePr w:type="band1Horz">
      <w:pPr>
        <w:jc w:val="left"/>
      </w:pPr>
      <w:tblPr/>
      <w:tcPr>
        <w:tcBorders>
          <w:insideH w:color="1E2DBE" w:space="0" w:sz="4" w:val="single"/>
          <w:insideV w:color="1E2DBE" w:space="0" w:sz="2" w:val="single"/>
        </w:tcBorders>
        <w:shd w:color="auto" w:fill="EBF5FD" w:val="clear"/>
      </w:tcPr>
    </w:tblStylePr>
    <w:tblStylePr w:type="band2Horz">
      <w:pPr>
        <w:jc w:val="left"/>
      </w:pPr>
      <w:tblPr/>
      <w:tcPr>
        <w:tcBorders>
          <w:insideH w:color="1E2DBE" w:space="0" w:sz="4" w:val="single"/>
          <w:insideV w:color="1E2DBE" w:space="0" w:sz="2" w:val="single"/>
        </w:tcBorders>
        <w:shd w:color="auto" w:fill="auto" w:val="clear"/>
      </w:tcPr>
    </w:tblStylePr>
  </w:style>
  <w:style w:styleId="GridTable4-Accent2" w:type="table">
    <w:name w:val="Grid Table 4 Accent 2"/>
    <w:basedOn w:val="TableNormal"/>
    <w:uiPriority w:val="49"/>
    <w:rsid w:val="00FF7AE8"/>
    <w:pPr>
      <w:spacing w:after="0" w:line="240" w:lineRule="auto"/>
    </w:p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Tabletextleft" w:type="paragraph">
    <w:name w:val="Table text left"/>
    <w:uiPriority w:val="8"/>
    <w:qFormat/>
    <w:rsid w:val="004836D5"/>
    <w:pPr>
      <w:spacing w:after="0" w:line="240" w:lineRule="auto"/>
    </w:pPr>
    <w:rPr>
      <w:rFonts w:ascii="Noto Sans" w:cs="Noto Sans" w:hAnsi="Noto Sans"/>
      <w:sz w:val="20"/>
      <w:szCs w:val="18"/>
      <w:lang w:val="en-GB"/>
    </w:rPr>
  </w:style>
  <w:style w:customStyle="1" w:styleId="TableTitle" w:type="paragraph">
    <w:name w:val="TableTitle"/>
    <w:basedOn w:val="Normal"/>
    <w:next w:val="NormalBody"/>
    <w:qFormat/>
    <w:rsid w:val="00B02128"/>
    <w:pPr>
      <w:keepNext/>
      <w:numPr>
        <w:numId w:val="25"/>
      </w:numPr>
      <w:tabs>
        <w:tab w:pos="227" w:val="decimal"/>
        <w:tab w:pos="810" w:val="decimal"/>
        <w:tab w:pos="2790" w:val="left"/>
      </w:tabs>
      <w:spacing w:before="160" w:line="240" w:lineRule="auto"/>
      <w:ind w:hanging="227" w:left="227"/>
    </w:pPr>
    <w:rPr>
      <w:b/>
      <w:bCs/>
      <w:color w:themeColor="background1" w:themeShade="80" w:val="808080"/>
      <w:sz w:val="18"/>
    </w:rPr>
  </w:style>
  <w:style w:styleId="Hyperlink" w:type="character">
    <w:name w:val="Hyperlink"/>
    <w:basedOn w:val="DefaultParagraphFont"/>
    <w:uiPriority w:val="99"/>
    <w:unhideWhenUsed/>
    <w:rsid w:val="00A370B4"/>
    <w:rPr>
      <w:color w:val="1E2DBE"/>
      <w:u w:val="single"/>
    </w:rPr>
  </w:style>
  <w:style w:customStyle="1" w:styleId="UnresolvedMention1" w:type="character">
    <w:name w:val="Unresolved Mention1"/>
    <w:basedOn w:val="DefaultParagraphFont"/>
    <w:uiPriority w:val="99"/>
    <w:semiHidden/>
    <w:unhideWhenUsed/>
    <w:rsid w:val="0063433F"/>
    <w:rPr>
      <w:color w:val="605E5C"/>
      <w:shd w:color="auto" w:fill="E1DFDD" w:val="clear"/>
    </w:rPr>
  </w:style>
  <w:style w:customStyle="1" w:styleId="LineFootnote" w:type="paragraph">
    <w:name w:val="LineFootnote"/>
    <w:basedOn w:val="NormalBody"/>
    <w:next w:val="FootnoteText"/>
    <w:uiPriority w:val="28"/>
    <w:semiHidden/>
    <w:qFormat/>
    <w:rsid w:val="009717DA"/>
    <w:pPr>
      <w:pBdr>
        <w:bottom w:color="1E2DBE" w:space="0" w:sz="8" w:val="single"/>
      </w:pBdr>
      <w:spacing w:after="60"/>
      <w:ind w:right="9921"/>
    </w:pPr>
  </w:style>
  <w:style w:customStyle="1" w:styleId="DocumentEndParagraph" w:type="paragraph">
    <w:name w:val="DocumentEndParagraph"/>
    <w:basedOn w:val="NormalBody"/>
    <w:uiPriority w:val="29"/>
    <w:semiHidden/>
    <w:qFormat/>
    <w:rsid w:val="00DF792D"/>
    <w:pPr>
      <w:spacing w:after="0" w:before="0"/>
    </w:pPr>
    <w:rPr>
      <w:sz w:val="6"/>
    </w:rPr>
  </w:style>
  <w:style w:customStyle="1" w:styleId="ListNoNumILO" w:type="numbering">
    <w:name w:val="ListNoNumILO"/>
    <w:basedOn w:val="NoList"/>
    <w:uiPriority w:val="99"/>
    <w:rsid w:val="002C28DB"/>
    <w:pPr>
      <w:numPr>
        <w:numId w:val="6"/>
      </w:numPr>
    </w:pPr>
  </w:style>
  <w:style w:customStyle="1" w:styleId="ContactDetailTitle" w:type="paragraph">
    <w:name w:val="ContactDetailTitle"/>
    <w:basedOn w:val="NormalBody"/>
    <w:uiPriority w:val="13"/>
    <w:qFormat/>
    <w:rsid w:val="004E2BE0"/>
    <w:pPr>
      <w:spacing w:after="0" w:before="0"/>
    </w:pPr>
    <w:rPr>
      <w:b/>
      <w:bCs/>
    </w:rPr>
  </w:style>
  <w:style w:customStyle="1" w:styleId="Headinglevel1" w:type="paragraph">
    <w:name w:val="Heading level 1"/>
    <w:next w:val="NormalBody"/>
    <w:uiPriority w:val="3"/>
    <w:qFormat/>
    <w:rsid w:val="00010016"/>
    <w:pPr>
      <w:keepNext/>
      <w:keepLines/>
      <w:pageBreakBefore/>
      <w:pBdr>
        <w:bottom w:color="1E2DBE" w:space="6" w:sz="4" w:val="single"/>
      </w:pBdr>
      <w:spacing w:after="360" w:before="480" w:line="240" w:lineRule="auto"/>
      <w:contextualSpacing/>
      <w:outlineLvl w:val="0"/>
    </w:pPr>
    <w:rPr>
      <w:rFonts w:ascii="Overpass" w:cs="Noto Sans" w:hAnsi="Overpass"/>
      <w:b/>
      <w:bCs/>
      <w:color w:val="1E2DBE"/>
      <w:sz w:val="36"/>
      <w:szCs w:val="36"/>
      <w:lang w:val="en-GB"/>
    </w:rPr>
  </w:style>
  <w:style w:customStyle="1" w:styleId="Authors" w:type="paragraph">
    <w:name w:val="Authors"/>
    <w:uiPriority w:val="1"/>
    <w:qFormat/>
    <w:rsid w:val="003C159D"/>
    <w:pPr>
      <w:spacing w:after="120" w:before="1800" w:line="240" w:lineRule="auto"/>
      <w:ind w:left="454"/>
    </w:pPr>
    <w:rPr>
      <w:rFonts w:ascii="Overpass" w:cs="Noto Sans" w:hAnsi="Overpass"/>
      <w:b/>
      <w:color w:val="1E2DBE"/>
      <w:sz w:val="20"/>
      <w:szCs w:val="20"/>
      <w:lang w:val="en-GB"/>
    </w:rPr>
  </w:style>
  <w:style w:customStyle="1" w:styleId="Headinglevel2" w:type="paragraph">
    <w:name w:val="Heading level 2"/>
    <w:next w:val="NormalBody"/>
    <w:uiPriority w:val="3"/>
    <w:qFormat/>
    <w:rsid w:val="006445F7"/>
    <w:pPr>
      <w:keepNext/>
      <w:tabs>
        <w:tab w:pos="567" w:val="left"/>
      </w:tabs>
      <w:spacing w:after="120" w:before="240" w:line="240" w:lineRule="auto"/>
      <w:contextualSpacing/>
      <w:outlineLvl w:val="1"/>
    </w:pPr>
    <w:rPr>
      <w:rFonts w:ascii="Overpass" w:cs="Noto Sans" w:hAnsi="Overpass"/>
      <w:b/>
      <w:bCs/>
      <w:color w:val="FA3C4B"/>
      <w:sz w:val="30"/>
      <w:szCs w:val="30"/>
      <w:lang w:val="en-US"/>
    </w:rPr>
  </w:style>
  <w:style w:customStyle="1" w:styleId="DocumentSubtitle" w:type="paragraph">
    <w:name w:val="DocumentSubtitle"/>
    <w:next w:val="NormalBody"/>
    <w:qFormat/>
    <w:rsid w:val="008059D3"/>
    <w:pPr>
      <w:spacing w:after="480" w:before="480" w:line="240" w:lineRule="auto"/>
      <w:ind w:left="454"/>
    </w:pPr>
    <w:rPr>
      <w:rFonts w:ascii="Overpass Light" w:cs="Noto Sans" w:hAnsi="Overpass Light"/>
      <w:color w:val="1E2DBE"/>
      <w:sz w:val="44"/>
      <w:szCs w:val="44"/>
      <w:lang w:val="en-GB"/>
    </w:rPr>
  </w:style>
  <w:style w:customStyle="1" w:styleId="Heading1Char" w:type="character">
    <w:name w:val="Heading 1 Char"/>
    <w:aliases w:val="DNV-H1 Char"/>
    <w:basedOn w:val="DefaultParagraphFont"/>
    <w:link w:val="Heading1"/>
    <w:uiPriority w:val="9"/>
    <w:rsid w:val="0087638A"/>
    <w:rPr>
      <w:rFonts w:ascii="Overpass" w:cs="Noto Sans" w:hAnsi="Overpass"/>
      <w:b/>
      <w:bCs/>
      <w:color w:val="1E2DBE"/>
      <w:sz w:val="36"/>
      <w:szCs w:val="36"/>
      <w:lang w:val="fr-FR"/>
    </w:rPr>
  </w:style>
  <w:style w:customStyle="1" w:styleId="DocumentTitle" w:type="paragraph">
    <w:name w:val="DocumentTitle"/>
    <w:next w:val="NormalBody"/>
    <w:qFormat/>
    <w:rsid w:val="008059D3"/>
    <w:pPr>
      <w:spacing w:after="480" w:before="1800" w:line="240" w:lineRule="auto"/>
    </w:pPr>
    <w:rPr>
      <w:rFonts w:ascii="Overpass" w:cs="Noto Sans" w:hAnsi="Overpass"/>
      <w:b/>
      <w:color w:val="1E2DBE"/>
      <w:sz w:val="60"/>
      <w:szCs w:val="60"/>
      <w:lang w:val="en-GB"/>
    </w:rPr>
  </w:style>
  <w:style w:customStyle="1" w:styleId="Headinglevel3" w:type="paragraph">
    <w:name w:val="Heading level 3"/>
    <w:next w:val="NormalBody"/>
    <w:uiPriority w:val="3"/>
    <w:qFormat/>
    <w:rsid w:val="00F148C5"/>
    <w:pPr>
      <w:keepNext/>
      <w:keepLines/>
      <w:tabs>
        <w:tab w:pos="567" w:val="left"/>
      </w:tabs>
      <w:spacing w:after="120" w:before="240" w:line="240" w:lineRule="auto"/>
      <w:outlineLvl w:val="2"/>
    </w:pPr>
    <w:rPr>
      <w:rFonts w:ascii="Overpass" w:cs="Noto Sans" w:hAnsi="Overpass"/>
      <w:b/>
      <w:color w:val="1E2DBE"/>
      <w:sz w:val="26"/>
      <w:szCs w:val="27"/>
      <w:lang w:val="en-US"/>
    </w:rPr>
  </w:style>
  <w:style w:customStyle="1" w:styleId="Headinglevel4" w:type="paragraph">
    <w:name w:val="Heading level 4"/>
    <w:next w:val="NormalBody"/>
    <w:link w:val="Headinglevel4Char"/>
    <w:uiPriority w:val="3"/>
    <w:qFormat/>
    <w:rsid w:val="00241016"/>
    <w:pPr>
      <w:keepNext/>
      <w:keepLines/>
      <w:spacing w:after="120" w:before="240" w:line="240" w:lineRule="auto"/>
      <w:outlineLvl w:val="3"/>
    </w:pPr>
    <w:rPr>
      <w:rFonts w:ascii="Overpass" w:cs="Noto Sans" w:hAnsi="Overpass"/>
      <w:b/>
      <w:color w:val="230050"/>
      <w:lang w:val="en-US"/>
    </w:rPr>
  </w:style>
  <w:style w:customStyle="1" w:styleId="Department" w:type="paragraph">
    <w:name w:val="Department"/>
    <w:uiPriority w:val="1"/>
    <w:qFormat/>
    <w:rsid w:val="00251EEC"/>
    <w:pPr>
      <w:spacing w:after="5400" w:line="240" w:lineRule="auto"/>
      <w:ind w:left="454"/>
    </w:pPr>
    <w:rPr>
      <w:rFonts w:ascii="Overpass" w:cs="Noto Sans" w:hAnsi="Overpass"/>
      <w:b/>
      <w:sz w:val="18"/>
      <w:szCs w:val="18"/>
      <w:lang w:val="en-GB"/>
    </w:rPr>
  </w:style>
  <w:style w:customStyle="1" w:styleId="ParaNum" w:type="paragraph">
    <w:name w:val="ParaNum"/>
    <w:link w:val="ParaNumChar"/>
    <w:uiPriority w:val="4"/>
    <w:qFormat/>
    <w:rsid w:val="00756130"/>
    <w:pPr>
      <w:numPr>
        <w:numId w:val="4"/>
      </w:numPr>
      <w:spacing w:after="120" w:before="120" w:line="240" w:lineRule="auto"/>
      <w:ind w:hanging="227" w:left="567"/>
      <w:jc w:val="both"/>
    </w:pPr>
    <w:rPr>
      <w:rFonts w:ascii="Noto Sans" w:hAnsi="Noto Sans"/>
      <w:sz w:val="20"/>
      <w:szCs w:val="20"/>
      <w:lang w:val="en-US"/>
    </w:rPr>
  </w:style>
  <w:style w:customStyle="1" w:styleId="ParaNumChar" w:type="character">
    <w:name w:val="ParaNum Char"/>
    <w:basedOn w:val="DefaultParagraphFont"/>
    <w:link w:val="ParaNum"/>
    <w:uiPriority w:val="4"/>
    <w:rsid w:val="00756130"/>
    <w:rPr>
      <w:rFonts w:ascii="Noto Sans" w:hAnsi="Noto Sans"/>
      <w:sz w:val="20"/>
      <w:szCs w:val="20"/>
      <w:lang w:val="en-US"/>
    </w:rPr>
  </w:style>
  <w:style w:styleId="TOC1" w:type="paragraph">
    <w:name w:val="toc 1"/>
    <w:basedOn w:val="Normal"/>
    <w:next w:val="Normal"/>
    <w:uiPriority w:val="39"/>
    <w:unhideWhenUsed/>
    <w:qFormat/>
    <w:rsid w:val="00EC05D8"/>
    <w:pPr>
      <w:tabs>
        <w:tab w:pos="567" w:val="left"/>
        <w:tab w:leader="dot" w:pos="8505" w:val="left"/>
        <w:tab w:pos="10206" w:val="right"/>
      </w:tabs>
      <w:spacing w:line="240" w:lineRule="auto"/>
      <w:ind w:hanging="567" w:left="567"/>
    </w:pPr>
    <w:rPr>
      <w:rFonts w:cstheme="minorBidi"/>
      <w:noProof/>
      <w:color w:themeColor="text1" w:val="000000"/>
      <w:szCs w:val="22"/>
      <w:lang w:val="en-US"/>
    </w:rPr>
  </w:style>
  <w:style w:customStyle="1" w:styleId="ListBullet20" w:type="paragraph">
    <w:name w:val="ListBullet2"/>
    <w:uiPriority w:val="5"/>
    <w:qFormat/>
    <w:rsid w:val="002A26DD"/>
    <w:pPr>
      <w:numPr>
        <w:numId w:val="5"/>
      </w:numPr>
      <w:spacing w:after="60" w:before="60" w:line="240" w:lineRule="auto"/>
      <w:jc w:val="both"/>
    </w:pPr>
    <w:rPr>
      <w:rFonts w:ascii="Noto Sans" w:eastAsia="SimSun" w:hAnsi="Noto Sans"/>
      <w:bCs/>
      <w:sz w:val="20"/>
      <w:szCs w:val="20"/>
      <w:lang w:val="en-GB"/>
    </w:rPr>
  </w:style>
  <w:style w:styleId="TOC2" w:type="paragraph">
    <w:name w:val="toc 2"/>
    <w:basedOn w:val="Normal"/>
    <w:next w:val="Normal"/>
    <w:uiPriority w:val="39"/>
    <w:unhideWhenUsed/>
    <w:qFormat/>
    <w:rsid w:val="00715ADA"/>
    <w:pPr>
      <w:tabs>
        <w:tab w:leader="dot" w:pos="8505" w:val="left"/>
        <w:tab w:pos="10206" w:val="right"/>
      </w:tabs>
      <w:spacing w:line="240" w:lineRule="auto"/>
      <w:ind w:hanging="567" w:left="1134"/>
      <w:contextualSpacing/>
    </w:pPr>
    <w:rPr>
      <w:rFonts w:cstheme="minorBidi"/>
      <w:noProof/>
      <w:color w:val="1E2DBE"/>
      <w:szCs w:val="20"/>
    </w:rPr>
  </w:style>
  <w:style w:customStyle="1" w:styleId="BoxTitle" w:type="paragraph">
    <w:name w:val="BoxTitle"/>
    <w:basedOn w:val="TableTitle"/>
    <w:next w:val="NormalBody"/>
    <w:qFormat/>
    <w:rsid w:val="000D7607"/>
    <w:rPr>
      <w:color w:themeColor="background1" w:themeShade="80" w:val="808080"/>
      <w:sz w:val="20"/>
      <w14:textFill>
        <w14:solidFill>
          <w14:schemeClr w14:val="bg1">
            <w14:lumMod w14:val="50000"/>
            <w14:lumMod w14:val="50000"/>
          </w14:schemeClr>
        </w14:solidFill>
      </w14:textFill>
    </w:rPr>
  </w:style>
  <w:style w:customStyle="1" w:styleId="GraphicTitle" w:type="paragraph">
    <w:name w:val="GraphicTitle"/>
    <w:basedOn w:val="TableTitle"/>
    <w:next w:val="NormalBody"/>
    <w:qFormat/>
    <w:rsid w:val="00B43F15"/>
    <w:rPr>
      <w:bCs w:val="0"/>
      <w:color w:themeColor="background1" w:themeShade="80" w:val="808080"/>
    </w:rPr>
  </w:style>
  <w:style w:customStyle="1" w:styleId="QuotationMarks" w:type="paragraph">
    <w:name w:val="QuotationMarks"/>
    <w:uiPriority w:val="11"/>
    <w:qFormat/>
    <w:rsid w:val="00FC4A9F"/>
    <w:pPr>
      <w:keepNext/>
      <w:pBdr>
        <w:bottom w:color="1E2DBE" w:space="6" w:sz="4" w:val="single"/>
      </w:pBdr>
      <w:spacing w:after="0" w:before="100" w:line="240" w:lineRule="auto"/>
    </w:pPr>
    <w:rPr>
      <w:rFonts w:ascii="Noto Sans" w:cs="Noto Sans" w:hAnsi="Noto Sans"/>
      <w:sz w:val="18"/>
      <w:szCs w:val="18"/>
      <w:lang w:val="en-GB"/>
    </w:rPr>
  </w:style>
  <w:style w:customStyle="1" w:styleId="Source-GraphicPicture" w:type="paragraph">
    <w:name w:val="Source - GraphicPicture"/>
    <w:next w:val="NormalBody"/>
    <w:uiPriority w:val="9"/>
    <w:qFormat/>
    <w:rsid w:val="00B02128"/>
    <w:pPr>
      <w:spacing w:after="0" w:line="240" w:lineRule="auto"/>
    </w:pPr>
    <w:rPr>
      <w:rFonts w:ascii="Noto Sans" w:cs="Noto Sans" w:hAnsi="Noto Sans"/>
      <w:sz w:val="18"/>
      <w:szCs w:val="15"/>
      <w:lang w:val="en-GB"/>
    </w:rPr>
  </w:style>
  <w:style w:customStyle="1" w:styleId="Tableheaderleft" w:type="paragraph">
    <w:name w:val="Table header left"/>
    <w:next w:val="Tabletextleft"/>
    <w:uiPriority w:val="8"/>
    <w:qFormat/>
    <w:rsid w:val="0009060B"/>
    <w:pPr>
      <w:spacing w:after="0" w:line="240" w:lineRule="auto"/>
    </w:pPr>
    <w:rPr>
      <w:rFonts w:ascii="Noto Sans" w:cs="Noto Sans" w:hAnsi="Noto Sans"/>
      <w:b/>
      <w:color w:themeColor="background1" w:val="FFFFFF"/>
      <w:sz w:val="20"/>
      <w:szCs w:val="18"/>
      <w:lang w:val="en-GB"/>
    </w:rPr>
  </w:style>
  <w:style w:styleId="BalloonText" w:type="paragraph">
    <w:name w:val="Balloon Text"/>
    <w:basedOn w:val="Normal"/>
    <w:link w:val="BalloonTextChar"/>
    <w:uiPriority w:val="99"/>
    <w:semiHidden/>
    <w:unhideWhenUsed/>
    <w:rsid w:val="003C7137"/>
    <w:pPr>
      <w:spacing w:line="240" w:lineRule="auto"/>
    </w:pPr>
    <w:rPr>
      <w:rFonts w:ascii="Segoe UI" w:cs="Segoe UI" w:hAnsi="Segoe UI"/>
    </w:rPr>
  </w:style>
  <w:style w:customStyle="1" w:styleId="BalloonTextChar" w:type="character">
    <w:name w:val="Balloon Text Char"/>
    <w:basedOn w:val="DefaultParagraphFont"/>
    <w:link w:val="BalloonText"/>
    <w:uiPriority w:val="99"/>
    <w:semiHidden/>
    <w:rsid w:val="003C7137"/>
    <w:rPr>
      <w:rFonts w:ascii="Segoe UI" w:cs="Segoe UI" w:hAnsi="Segoe UI"/>
      <w:sz w:val="18"/>
      <w:szCs w:val="18"/>
      <w:lang w:val="en-GB"/>
    </w:rPr>
  </w:style>
  <w:style w:customStyle="1" w:styleId="Tableheaderright" w:type="paragraph">
    <w:name w:val="Table header right"/>
    <w:basedOn w:val="NormalBody"/>
    <w:uiPriority w:val="8"/>
    <w:qFormat/>
    <w:rsid w:val="009E332C"/>
    <w:rPr>
      <w:b/>
      <w:bCs/>
      <w:lang w:val="fr-CH"/>
    </w:rPr>
  </w:style>
  <w:style w:customStyle="1" w:styleId="Tabletextright" w:type="paragraph">
    <w:name w:val="Table text right"/>
    <w:basedOn w:val="Tabletextleft"/>
    <w:uiPriority w:val="8"/>
    <w:qFormat/>
    <w:rsid w:val="003C7137"/>
    <w:pPr>
      <w:jc w:val="right"/>
    </w:pPr>
  </w:style>
  <w:style w:styleId="TOC3" w:type="paragraph">
    <w:name w:val="toc 3"/>
    <w:basedOn w:val="Normal"/>
    <w:next w:val="Normal"/>
    <w:uiPriority w:val="39"/>
    <w:unhideWhenUsed/>
    <w:qFormat/>
    <w:rsid w:val="00F6079B"/>
    <w:pPr>
      <w:tabs>
        <w:tab w:pos="10206" w:val="right"/>
      </w:tabs>
      <w:spacing w:line="240" w:lineRule="auto"/>
      <w:ind w:hanging="567" w:left="1701"/>
      <w:contextualSpacing/>
      <w:jc w:val="both"/>
    </w:pPr>
    <w:rPr>
      <w:rFonts w:cstheme="minorBidi"/>
      <w:noProof/>
      <w:szCs w:val="20"/>
      <w:lang w:val="en-US"/>
    </w:rPr>
  </w:style>
  <w:style w:styleId="PlainText" w:type="paragraph">
    <w:name w:val="Plain Text"/>
    <w:basedOn w:val="Normal"/>
    <w:link w:val="PlainTextChar"/>
    <w:uiPriority w:val="99"/>
    <w:unhideWhenUsed/>
    <w:rsid w:val="00277782"/>
    <w:pPr>
      <w:spacing w:line="240" w:lineRule="auto"/>
    </w:pPr>
    <w:rPr>
      <w:rFonts w:ascii="Arial" w:cs="Arial" w:hAnsi="Arial"/>
      <w:sz w:val="22"/>
      <w:szCs w:val="22"/>
      <w:lang w:eastAsia="en-GB"/>
    </w:rPr>
  </w:style>
  <w:style w:customStyle="1" w:styleId="PlainTextChar" w:type="character">
    <w:name w:val="Plain Text Char"/>
    <w:basedOn w:val="DefaultParagraphFont"/>
    <w:link w:val="PlainText"/>
    <w:uiPriority w:val="99"/>
    <w:rsid w:val="00277782"/>
    <w:rPr>
      <w:rFonts w:ascii="Arial" w:cs="Arial" w:hAnsi="Arial"/>
      <w:lang w:eastAsia="en-GB" w:val="en-GB"/>
    </w:rPr>
  </w:style>
  <w:style w:customStyle="1" w:styleId="Heading2Char" w:type="character">
    <w:name w:val="Heading 2 Char"/>
    <w:aliases w:val="DNV-H2 Char,t2 Char"/>
    <w:basedOn w:val="DefaultParagraphFont"/>
    <w:link w:val="Heading2"/>
    <w:rsid w:val="0087638A"/>
    <w:rPr>
      <w:rFonts w:ascii="Overpass" w:cs="Noto Sans" w:hAnsi="Overpass"/>
      <w:b/>
      <w:bCs/>
      <w:color w:val="FA3C4B"/>
      <w:sz w:val="30"/>
      <w:szCs w:val="30"/>
      <w:lang w:val="fr-FR"/>
    </w:rPr>
  </w:style>
  <w:style w:customStyle="1" w:styleId="Heading3Char" w:type="character">
    <w:name w:val="Heading 3 Char"/>
    <w:aliases w:val="t3 Char"/>
    <w:basedOn w:val="DefaultParagraphFont"/>
    <w:link w:val="Heading3"/>
    <w:rsid w:val="00D077E5"/>
    <w:rPr>
      <w:rFonts w:ascii="Noto Sans" w:cs="Arial" w:eastAsia="Batang" w:hAnsi="Noto Sans"/>
      <w:bCs/>
      <w:color w:val="1E2DBE"/>
      <w:kern w:val="32"/>
      <w:sz w:val="20"/>
      <w:szCs w:val="30"/>
      <w:lang w:val="fr-FR"/>
    </w:rPr>
  </w:style>
  <w:style w:customStyle="1" w:styleId="Heading4Char" w:type="character">
    <w:name w:val="Heading 4 Char"/>
    <w:basedOn w:val="DefaultParagraphFont"/>
    <w:link w:val="Heading4"/>
    <w:rsid w:val="00937DD7"/>
    <w:rPr>
      <w:rFonts w:ascii="Arial" w:cs="Arial" w:eastAsia="Times New Roman" w:hAnsi="Arial"/>
      <w:kern w:val="32"/>
      <w:szCs w:val="28"/>
      <w:lang w:val="en-US"/>
    </w:rPr>
  </w:style>
  <w:style w:customStyle="1" w:styleId="Heading5Char" w:type="character">
    <w:name w:val="Heading 5 Char"/>
    <w:basedOn w:val="DefaultParagraphFont"/>
    <w:link w:val="Heading5"/>
    <w:rsid w:val="00937DD7"/>
    <w:rPr>
      <w:rFonts w:ascii="Arial" w:cs="Arial" w:eastAsia="Times New Roman" w:hAnsi="Arial"/>
      <w:bCs/>
      <w:i/>
      <w:iCs/>
      <w:kern w:val="32"/>
      <w:szCs w:val="26"/>
      <w:lang w:val="en-US"/>
    </w:rPr>
  </w:style>
  <w:style w:customStyle="1" w:styleId="Heading6Char" w:type="character">
    <w:name w:val="Heading 6 Char"/>
    <w:basedOn w:val="DefaultParagraphFont"/>
    <w:link w:val="Heading6"/>
    <w:rsid w:val="00937DD7"/>
    <w:rPr>
      <w:rFonts w:ascii="Arial" w:cs="Arial" w:eastAsia="Times New Roman" w:hAnsi="Arial"/>
      <w:bCs/>
      <w:i/>
      <w:iCs/>
      <w:kern w:val="32"/>
      <w:szCs w:val="26"/>
      <w:lang w:val="en-US"/>
    </w:rPr>
  </w:style>
  <w:style w:customStyle="1" w:styleId="Heading7Char" w:type="character">
    <w:name w:val="Heading 7 Char"/>
    <w:basedOn w:val="DefaultParagraphFont"/>
    <w:link w:val="Heading7"/>
    <w:rsid w:val="00937DD7"/>
    <w:rPr>
      <w:rFonts w:ascii="Arial" w:cs="Arial" w:eastAsia="Times New Roman" w:hAnsi="Arial"/>
      <w:b/>
      <w:bCs/>
      <w:iCs/>
      <w:kern w:val="32"/>
      <w:szCs w:val="26"/>
      <w:lang w:val="en-US"/>
    </w:rPr>
  </w:style>
  <w:style w:customStyle="1" w:styleId="Heading8Char" w:type="character">
    <w:name w:val="Heading 8 Char"/>
    <w:basedOn w:val="DefaultParagraphFont"/>
    <w:link w:val="Heading8"/>
    <w:rsid w:val="00937DD7"/>
    <w:rPr>
      <w:rFonts w:ascii="Arial" w:cs="Arial" w:eastAsia="Times New Roman" w:hAnsi="Arial"/>
      <w:b/>
      <w:bCs/>
      <w:i/>
      <w:kern w:val="32"/>
      <w:szCs w:val="26"/>
      <w:lang w:val="en-US"/>
    </w:rPr>
  </w:style>
  <w:style w:customStyle="1" w:styleId="Heading9Char" w:type="character">
    <w:name w:val="Heading 9 Char"/>
    <w:basedOn w:val="DefaultParagraphFont"/>
    <w:link w:val="Heading9"/>
    <w:rsid w:val="00937DD7"/>
    <w:rPr>
      <w:rFonts w:ascii="Arial" w:cs="Arial" w:eastAsia="Times New Roman" w:hAnsi="Arial"/>
      <w:lang w:val="en-US"/>
    </w:rPr>
  </w:style>
  <w:style w:customStyle="1" w:styleId="UnresolvedMention11" w:type="character">
    <w:name w:val="Unresolved Mention11"/>
    <w:basedOn w:val="DefaultParagraphFont"/>
    <w:uiPriority w:val="99"/>
    <w:semiHidden/>
    <w:unhideWhenUsed/>
    <w:rsid w:val="00937DD7"/>
    <w:rPr>
      <w:color w:val="605E5C"/>
      <w:shd w:color="auto" w:fill="E1DFDD" w:val="clear"/>
    </w:rPr>
  </w:style>
  <w:style w:customStyle="1" w:styleId="H1" w:type="paragraph">
    <w:name w:val="H1"/>
    <w:next w:val="Normal"/>
    <w:qFormat/>
    <w:rsid w:val="00937DD7"/>
    <w:pPr>
      <w:keepNext/>
      <w:keepLines/>
      <w:tabs>
        <w:tab w:pos="680" w:val="left"/>
      </w:tabs>
      <w:spacing w:after="240" w:before="480" w:line="240" w:lineRule="auto"/>
      <w:ind w:right="2835"/>
      <w:outlineLvl w:val="0"/>
    </w:pPr>
    <w:rPr>
      <w:rFonts w:ascii="Arial" w:cs="Arial" w:eastAsia="SimHei" w:hAnsi="Arial"/>
      <w:b/>
      <w:bCs/>
      <w:color w:val="000000"/>
      <w:sz w:val="28"/>
      <w:szCs w:val="32"/>
      <w:lang w:val="fr-FR"/>
    </w:rPr>
  </w:style>
  <w:style w:styleId="PageNumber" w:type="character">
    <w:name w:val="page number"/>
    <w:basedOn w:val="DefaultParagraphFont"/>
    <w:rsid w:val="00937DD7"/>
    <w:rPr>
      <w:sz w:val="20"/>
      <w:lang w:val="fr-FR"/>
    </w:rPr>
  </w:style>
  <w:style w:styleId="ListNumber2" w:type="paragraph">
    <w:name w:val="List Number 2"/>
    <w:basedOn w:val="Normal"/>
    <w:rsid w:val="00937DD7"/>
    <w:pPr>
      <w:numPr>
        <w:numId w:val="8"/>
      </w:numPr>
      <w:tabs>
        <w:tab w:pos="360" w:val="clear"/>
        <w:tab w:pos="643" w:val="num"/>
      </w:tabs>
      <w:spacing w:line="240" w:lineRule="auto"/>
      <w:ind w:left="643"/>
    </w:pPr>
    <w:rPr>
      <w:rFonts w:ascii="Times New Roman" w:cs="Times New Roman" w:eastAsia="Times New Roman" w:hAnsi="Times New Roman"/>
      <w:sz w:val="24"/>
      <w:szCs w:val="24"/>
      <w:lang w:val="en-US"/>
    </w:rPr>
  </w:style>
  <w:style w:customStyle="1" w:styleId="HeaderPagenumber" w:type="character">
    <w:name w:val="Header Page number"/>
    <w:uiPriority w:val="29"/>
    <w:qFormat/>
    <w:rsid w:val="00937DD7"/>
    <w:rPr>
      <w:rFonts w:ascii="Noto Sans" w:cs="Noto Sans" w:hAnsi="Noto Sans"/>
      <w:color w:val="1E2DBE"/>
      <w:sz w:val="22"/>
      <w:szCs w:val="24"/>
    </w:rPr>
  </w:style>
  <w:style w:customStyle="1" w:styleId="TableGrid1" w:type="table">
    <w:name w:val="Table Grid1"/>
    <w:basedOn w:val="TableNormal"/>
    <w:next w:val="TableGrid"/>
    <w:rsid w:val="00937DD7"/>
    <w:pPr>
      <w:spacing w:after="0" w:before="240" w:line="240" w:lineRule="auto"/>
    </w:pPr>
    <w:rPr>
      <w:rFonts w:eastAsia="Euphemia"/>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Textleft0" w:type="paragraph">
    <w:name w:val="Table Text left"/>
    <w:uiPriority w:val="17"/>
    <w:qFormat/>
    <w:rsid w:val="00937DD7"/>
    <w:pPr>
      <w:spacing w:after="20" w:before="20" w:line="240" w:lineRule="auto"/>
    </w:pPr>
    <w:rPr>
      <w:rFonts w:ascii="Noto Sans" w:cs="Times New Roman" w:eastAsia="Times New Roman" w:hAnsi="Noto Sans"/>
      <w:sz w:val="18"/>
      <w:szCs w:val="18"/>
      <w:lang w:val="en-US"/>
    </w:rPr>
  </w:style>
  <w:style w:customStyle="1" w:styleId="ParaIndentFirstLine" w:type="paragraph">
    <w:name w:val="Para Indent FirstLine"/>
    <w:basedOn w:val="Normal"/>
    <w:rsid w:val="00937DD7"/>
    <w:pPr>
      <w:spacing w:line="240" w:lineRule="auto"/>
      <w:ind w:firstLine="510" w:left="340"/>
      <w:jc w:val="both"/>
    </w:pPr>
    <w:rPr>
      <w:rFonts w:cstheme="minorBidi"/>
      <w:szCs w:val="20"/>
      <w:lang w:val="en-US"/>
    </w:rPr>
  </w:style>
  <w:style w:customStyle="1" w:styleId="Indent1" w:type="paragraph">
    <w:name w:val="Indent 1"/>
    <w:qFormat/>
    <w:rsid w:val="00EC5432"/>
    <w:pPr>
      <w:spacing w:after="60" w:before="60" w:line="240" w:lineRule="auto"/>
      <w:ind w:hanging="284" w:left="624"/>
      <w:jc w:val="both"/>
    </w:pPr>
    <w:rPr>
      <w:rFonts w:ascii="Noto Sans" w:hAnsi="Noto Sans"/>
      <w:sz w:val="20"/>
      <w:szCs w:val="20"/>
      <w:lang w:val="es-ES_tradnl"/>
    </w:rPr>
  </w:style>
  <w:style w:customStyle="1" w:styleId="NonNumbered" w:type="paragraph">
    <w:name w:val="NonNumbered"/>
    <w:basedOn w:val="Normal"/>
    <w:link w:val="NonNumberedCar"/>
    <w:rsid w:val="00937DD7"/>
    <w:pPr>
      <w:spacing w:after="240" w:before="240" w:line="240" w:lineRule="auto"/>
      <w:ind w:left="1134"/>
      <w:jc w:val="both"/>
    </w:pPr>
    <w:rPr>
      <w:rFonts w:ascii="Times New Roman" w:cs="Times New Roman" w:eastAsia="Batang" w:hAnsi="Times New Roman"/>
      <w:sz w:val="22"/>
      <w:szCs w:val="20"/>
    </w:rPr>
  </w:style>
  <w:style w:customStyle="1" w:styleId="NonNumberedCar" w:type="character">
    <w:name w:val="NonNumbered Car"/>
    <w:basedOn w:val="DefaultParagraphFont"/>
    <w:link w:val="NonNumbered"/>
    <w:rsid w:val="00937DD7"/>
    <w:rPr>
      <w:rFonts w:ascii="Times New Roman" w:cs="Times New Roman" w:eastAsia="Batang" w:hAnsi="Times New Roman"/>
      <w:szCs w:val="20"/>
      <w:lang w:val="en-GB"/>
    </w:rPr>
  </w:style>
  <w:style w:customStyle="1" w:styleId="BoxBodyText" w:type="paragraph">
    <w:name w:val="Box Body Text"/>
    <w:rsid w:val="00937DD7"/>
    <w:pPr>
      <w:spacing w:after="60" w:before="60" w:line="240" w:lineRule="auto"/>
      <w:jc w:val="both"/>
    </w:pPr>
    <w:rPr>
      <w:rFonts w:ascii="Noto Sans" w:hAnsi="Noto Sans"/>
      <w:sz w:val="18"/>
      <w:szCs w:val="18"/>
      <w:lang w:val="en-US"/>
    </w:rPr>
  </w:style>
  <w:style w:customStyle="1" w:styleId="GBHeading2" w:type="paragraph">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customStyle="1" w:styleId="GBHeading2Zchn" w:type="character">
    <w:name w:val="GB Heading 2 Zchn"/>
    <w:basedOn w:val="DefaultParagraphFont"/>
    <w:link w:val="GBHeading2"/>
    <w:rsid w:val="00937DD7"/>
    <w:rPr>
      <w:rFonts w:ascii="Overpass" w:cs="Noto Sans" w:hAnsi="Overpass"/>
      <w:b/>
      <w:color w:val="1E2CBD"/>
      <w:sz w:val="28"/>
      <w:szCs w:val="28"/>
      <w:lang w:val="en-US"/>
    </w:rPr>
  </w:style>
  <w:style w:customStyle="1" w:styleId="Indent2" w:type="paragraph">
    <w:name w:val="Indent 2"/>
    <w:basedOn w:val="Indent1"/>
    <w:qFormat/>
    <w:rsid w:val="00937DD7"/>
    <w:pPr>
      <w:numPr>
        <w:numId w:val="21"/>
      </w:numPr>
      <w:ind w:hanging="284" w:left="851"/>
    </w:pPr>
    <w:rPr>
      <w:lang w:val="en-GB"/>
    </w:rPr>
  </w:style>
  <w:style w:customStyle="1" w:styleId="GBHeading1" w:type="paragraph">
    <w:name w:val="GB Heading 1"/>
    <w:basedOn w:val="Normal"/>
    <w:next w:val="Normal"/>
    <w:link w:val="GBHeading1Zchn"/>
    <w:qFormat/>
    <w:rsid w:val="00937DD7"/>
    <w:pPr>
      <w:keepNext/>
      <w:keepLines/>
      <w:pBdr>
        <w:bottom w:color="1E2DBE" w:space="1" w:sz="4" w:val="single"/>
      </w:pBdr>
      <w:tabs>
        <w:tab w:pos="907" w:val="left"/>
      </w:tabs>
      <w:spacing w:after="360" w:before="480" w:line="240" w:lineRule="auto"/>
      <w:ind w:hanging="340" w:left="340"/>
    </w:pPr>
    <w:rPr>
      <w:rFonts w:ascii="Overpass" w:cstheme="minorBidi" w:hAnsi="Overpass"/>
      <w:b/>
      <w:color w:val="1E2DBE"/>
      <w:sz w:val="32"/>
      <w:szCs w:val="20"/>
      <w:lang w:val="en-US"/>
    </w:rPr>
  </w:style>
  <w:style w:customStyle="1" w:styleId="GBHeading1Zchn" w:type="character">
    <w:name w:val="GB Heading 1 Zchn"/>
    <w:basedOn w:val="DefaultParagraphFont"/>
    <w:link w:val="GBHeading1"/>
    <w:rsid w:val="00937DD7"/>
    <w:rPr>
      <w:rFonts w:ascii="Overpass" w:hAnsi="Overpass"/>
      <w:b/>
      <w:color w:val="1E2DBE"/>
      <w:sz w:val="32"/>
      <w:szCs w:val="20"/>
      <w:lang w:val="en-US"/>
    </w:rPr>
  </w:style>
  <w:style w:customStyle="1" w:styleId="Quotation" w:type="paragraph">
    <w:name w:val="Quotation"/>
    <w:rsid w:val="00937DD7"/>
    <w:pPr>
      <w:spacing w:after="120" w:before="120" w:line="240" w:lineRule="auto"/>
      <w:ind w:firstLine="454" w:left="1588"/>
      <w:jc w:val="both"/>
    </w:pPr>
    <w:rPr>
      <w:rFonts w:ascii="Times New Roman" w:cs="Times New Roman" w:eastAsia="SimSun" w:hAnsi="Times New Roman"/>
      <w:color w:val="000000"/>
      <w:sz w:val="20"/>
      <w:lang w:val="fr-FR"/>
    </w:rPr>
  </w:style>
  <w:style w:customStyle="1" w:styleId="TableBody" w:type="paragraph">
    <w:name w:val="TableBody"/>
    <w:rsid w:val="00937DD7"/>
    <w:pPr>
      <w:spacing w:after="0" w:line="240" w:lineRule="auto"/>
    </w:pPr>
    <w:rPr>
      <w:rFonts w:ascii="Arial Narrow" w:cs="Arial" w:eastAsia="SimSun" w:hAnsi="Arial Narrow"/>
      <w:sz w:val="19"/>
      <w:szCs w:val="20"/>
      <w:lang w:val="fr-FR"/>
    </w:rPr>
  </w:style>
  <w:style w:customStyle="1" w:styleId="GBHeading3" w:type="paragraph">
    <w:name w:val="GB Heading 3"/>
    <w:basedOn w:val="Normal"/>
    <w:next w:val="Normal"/>
    <w:qFormat/>
    <w:rsid w:val="00937DD7"/>
    <w:pPr>
      <w:keepNext/>
      <w:keepLines/>
      <w:spacing w:before="240" w:line="240" w:lineRule="auto"/>
    </w:pPr>
    <w:rPr>
      <w:rFonts w:ascii="Overpass" w:cs="Arial" w:hAnsi="Overpass"/>
      <w:b/>
      <w:color w:val="1E2CBD"/>
      <w:sz w:val="24"/>
      <w:szCs w:val="28"/>
      <w:lang w:val="en-US"/>
    </w:rPr>
  </w:style>
  <w:style w:customStyle="1" w:styleId="TableTextright0" w:type="paragraph">
    <w:name w:val="Table Text right"/>
    <w:basedOn w:val="Normal"/>
    <w:qFormat/>
    <w:rsid w:val="00937DD7"/>
    <w:pPr>
      <w:spacing w:after="20" w:before="20" w:line="240" w:lineRule="auto"/>
      <w:jc w:val="right"/>
    </w:pPr>
    <w:rPr>
      <w:rFonts w:cs="Times New Roman" w:eastAsia="Times New Roman"/>
      <w:lang w:val="en-US"/>
    </w:rPr>
  </w:style>
  <w:style w:customStyle="1" w:styleId="TableHeaderright0" w:type="paragraph">
    <w:name w:val="Table Header right"/>
    <w:basedOn w:val="Tableheaderleft"/>
    <w:qFormat/>
    <w:rsid w:val="00937DD7"/>
    <w:pPr>
      <w:keepNext/>
      <w:shd w:color="auto" w:fill="1E2DBE" w:val="clear"/>
      <w:spacing w:after="20" w:before="20"/>
      <w:jc w:val="right"/>
    </w:pPr>
    <w:rPr>
      <w:rFonts w:eastAsia="Times New Roman"/>
      <w:lang w:eastAsia="en-GB" w:val="en-US"/>
    </w:rPr>
  </w:style>
  <w:style w:customStyle="1" w:styleId="TableBoxNoteSource" w:type="paragraph">
    <w:name w:val="TableBox NoteSource"/>
    <w:basedOn w:val="TableTextleft0"/>
    <w:qFormat/>
    <w:rsid w:val="00937DD7"/>
    <w:pPr>
      <w:spacing w:before="60"/>
      <w:jc w:val="both"/>
    </w:pPr>
    <w:rPr>
      <w:sz w:val="15"/>
      <w:szCs w:val="15"/>
    </w:rPr>
  </w:style>
  <w:style w:styleId="CommentReference" w:type="character">
    <w:name w:val="annotation reference"/>
    <w:basedOn w:val="DefaultParagraphFont"/>
    <w:semiHidden/>
    <w:unhideWhenUsed/>
    <w:rsid w:val="00937DD7"/>
    <w:rPr>
      <w:sz w:val="16"/>
      <w:szCs w:val="16"/>
    </w:rPr>
  </w:style>
  <w:style w:styleId="CommentText" w:type="paragraph">
    <w:name w:val="annotation text"/>
    <w:basedOn w:val="Normal"/>
    <w:link w:val="CommentTextChar"/>
    <w:unhideWhenUsed/>
    <w:rsid w:val="00937DD7"/>
    <w:pPr>
      <w:spacing w:line="240" w:lineRule="auto"/>
    </w:pPr>
    <w:rPr>
      <w:szCs w:val="20"/>
    </w:rPr>
  </w:style>
  <w:style w:customStyle="1" w:styleId="CommentTextChar" w:type="character">
    <w:name w:val="Comment Text Char"/>
    <w:basedOn w:val="DefaultParagraphFont"/>
    <w:link w:val="CommentText"/>
    <w:rsid w:val="00937DD7"/>
    <w:rPr>
      <w:rFonts w:ascii="Noto Sans" w:cs="Noto Sans" w:hAnsi="Noto Sans"/>
      <w:sz w:val="20"/>
      <w:szCs w:val="20"/>
      <w:lang w:val="en-GB"/>
    </w:rPr>
  </w:style>
  <w:style w:styleId="CommentSubject" w:type="paragraph">
    <w:name w:val="annotation subject"/>
    <w:basedOn w:val="CommentText"/>
    <w:next w:val="CommentText"/>
    <w:link w:val="CommentSubjectChar"/>
    <w:uiPriority w:val="99"/>
    <w:semiHidden/>
    <w:unhideWhenUsed/>
    <w:rsid w:val="00937DD7"/>
    <w:rPr>
      <w:b/>
      <w:bCs/>
    </w:rPr>
  </w:style>
  <w:style w:customStyle="1" w:styleId="CommentSubjectChar" w:type="character">
    <w:name w:val="Comment Subject Char"/>
    <w:basedOn w:val="CommentTextChar"/>
    <w:link w:val="CommentSubject"/>
    <w:uiPriority w:val="99"/>
    <w:semiHidden/>
    <w:rsid w:val="00937DD7"/>
    <w:rPr>
      <w:rFonts w:ascii="Noto Sans" w:cs="Noto Sans" w:hAnsi="Noto Sans"/>
      <w:b/>
      <w:bCs/>
      <w:sz w:val="20"/>
      <w:szCs w:val="20"/>
      <w:lang w:val="en-GB"/>
    </w:rPr>
  </w:style>
  <w:style w:customStyle="1" w:styleId="H3Indent" w:type="paragraph">
    <w:name w:val="H3Indent"/>
    <w:basedOn w:val="Normal"/>
    <w:next w:val="ParaNum"/>
    <w:rsid w:val="00937DD7"/>
    <w:pPr>
      <w:keepNext/>
      <w:keepLines/>
      <w:tabs>
        <w:tab w:pos="680" w:val="left"/>
      </w:tabs>
      <w:spacing w:after="240" w:before="360" w:line="240" w:lineRule="auto"/>
      <w:ind w:hanging="680" w:left="680" w:right="2835"/>
      <w:outlineLvl w:val="2"/>
    </w:pPr>
    <w:rPr>
      <w:rFonts w:ascii="Arial" w:cs="Arial" w:eastAsia="STKaiti" w:hAnsi="Arial"/>
      <w:b/>
      <w:bCs/>
      <w:i/>
      <w:iCs/>
      <w:color w:val="000000"/>
      <w:sz w:val="24"/>
      <w:szCs w:val="26"/>
      <w:lang w:val="fr-FR"/>
    </w:rPr>
  </w:style>
  <w:style w:customStyle="1" w:styleId="TableHeaderLeft0" w:type="paragraph">
    <w:name w:val="TableHeaderLeft"/>
    <w:basedOn w:val="TableBody"/>
    <w:rsid w:val="00937DD7"/>
    <w:rPr>
      <w:b/>
    </w:rPr>
  </w:style>
  <w:style w:customStyle="1" w:styleId="TableHeaderRight1" w:type="paragraph">
    <w:name w:val="TableHeaderRight"/>
    <w:basedOn w:val="TableHeaderLeft0"/>
    <w:rsid w:val="00937DD7"/>
    <w:pPr>
      <w:jc w:val="right"/>
    </w:pPr>
  </w:style>
  <w:style w:customStyle="1" w:styleId="TableNumber" w:type="paragraph">
    <w:name w:val="TableNumber"/>
    <w:basedOn w:val="TableBody"/>
    <w:rsid w:val="00937DD7"/>
    <w:pPr>
      <w:jc w:val="right"/>
    </w:pPr>
  </w:style>
  <w:style w:customStyle="1" w:styleId="Indent" w:type="paragraph">
    <w:name w:val="Indent"/>
    <w:basedOn w:val="Normal"/>
    <w:qFormat/>
    <w:rsid w:val="00937DD7"/>
    <w:pPr>
      <w:spacing w:after="240" w:before="240" w:line="240" w:lineRule="auto"/>
      <w:ind w:firstLine="454" w:left="1134"/>
      <w:jc w:val="both"/>
    </w:pPr>
    <w:rPr>
      <w:rFonts w:ascii="Times New Roman" w:cs="Times New Roman" w:eastAsia="SimSun" w:hAnsi="Times New Roman"/>
      <w:color w:val="000000"/>
      <w:sz w:val="22"/>
      <w:szCs w:val="24"/>
      <w:lang w:val="fr-FR"/>
    </w:rPr>
  </w:style>
  <w:style w:styleId="TOCHeading" w:type="paragraph">
    <w:name w:val="TOC Heading"/>
    <w:basedOn w:val="Heading1"/>
    <w:next w:val="Normal"/>
    <w:uiPriority w:val="39"/>
    <w:unhideWhenUsed/>
    <w:qFormat/>
    <w:rsid w:val="00937DD7"/>
    <w:pPr>
      <w:spacing w:line="259" w:lineRule="auto"/>
      <w:outlineLvl w:val="9"/>
    </w:pPr>
    <w:rPr>
      <w:lang w:val="en-US"/>
    </w:rPr>
  </w:style>
  <w:style w:styleId="NormalWeb" w:type="paragraph">
    <w:name w:val="Normal (Web)"/>
    <w:basedOn w:val="Normal"/>
    <w:uiPriority w:val="99"/>
    <w:unhideWhenUsed/>
    <w:rsid w:val="00937DD7"/>
    <w:pPr>
      <w:spacing w:after="100" w:afterAutospacing="1" w:before="100" w:beforeAutospacing="1" w:line="240" w:lineRule="auto"/>
    </w:pPr>
    <w:rPr>
      <w:rFonts w:ascii="Times New Roman" w:cs="Times New Roman" w:eastAsiaTheme="minorEastAsia" w:hAnsi="Times New Roman"/>
      <w:sz w:val="24"/>
      <w:szCs w:val="24"/>
      <w:lang w:eastAsia="fr-FR" w:val="fr-CA"/>
    </w:rPr>
  </w:style>
  <w:style w:styleId="Revision" w:type="paragraph">
    <w:name w:val="Revision"/>
    <w:hidden/>
    <w:uiPriority w:val="99"/>
    <w:semiHidden/>
    <w:rsid w:val="00937DD7"/>
    <w:pPr>
      <w:spacing w:after="0" w:line="240" w:lineRule="auto"/>
    </w:pPr>
    <w:rPr>
      <w:rFonts w:ascii="Noto Sans" w:cs="Noto Sans" w:hAnsi="Noto Sans"/>
      <w:sz w:val="18"/>
      <w:szCs w:val="18"/>
      <w:lang w:val="en-GB"/>
    </w:rPr>
  </w:style>
  <w:style w:styleId="Caption" w:type="paragraph">
    <w:name w:val="caption"/>
    <w:basedOn w:val="Normal"/>
    <w:next w:val="Normal"/>
    <w:link w:val="CaptionChar"/>
    <w:qFormat/>
    <w:rsid w:val="00E626D3"/>
    <w:pPr>
      <w:keepNext/>
      <w:keepLines/>
      <w:numPr>
        <w:numId w:val="44"/>
      </w:numPr>
      <w:tabs>
        <w:tab w:pos="284" w:val="left"/>
        <w:tab w:pos="810" w:val="decimal"/>
        <w:tab w:pos="2790" w:val="left"/>
      </w:tabs>
      <w:spacing w:before="160" w:line="240" w:lineRule="auto"/>
    </w:pPr>
    <w:rPr>
      <w:b/>
      <w:bCs/>
      <w:color w:themeColor="background1" w:themeShade="80" w:val="808080"/>
    </w:rPr>
  </w:style>
  <w:style w:customStyle="1" w:styleId="CaptionChar" w:type="character">
    <w:name w:val="Caption Char"/>
    <w:link w:val="Caption"/>
    <w:rsid w:val="00E626D3"/>
    <w:rPr>
      <w:rFonts w:ascii="Noto Sans" w:cs="Noto Sans" w:hAnsi="Noto Sans"/>
      <w:b/>
      <w:bCs/>
      <w:color w:themeColor="background1" w:themeShade="80" w:val="808080"/>
      <w:sz w:val="20"/>
      <w:szCs w:val="18"/>
    </w:rPr>
  </w:style>
  <w:style w:customStyle="1" w:styleId="Default" w:type="paragraph">
    <w:name w:val="Default"/>
    <w:rsid w:val="00937DD7"/>
    <w:pPr>
      <w:autoSpaceDE w:val="0"/>
      <w:autoSpaceDN w:val="0"/>
      <w:adjustRightInd w:val="0"/>
      <w:spacing w:after="0" w:line="240" w:lineRule="auto"/>
    </w:pPr>
    <w:rPr>
      <w:rFonts w:ascii="Times New Roman" w:cs="Times New Roman" w:eastAsiaTheme="minorEastAsia" w:hAnsi="Times New Roman"/>
      <w:color w:val="000000"/>
      <w:sz w:val="24"/>
      <w:szCs w:val="24"/>
      <w:lang w:eastAsia="zh-CN" w:val="fr-CA"/>
    </w:rPr>
  </w:style>
  <w:style w:customStyle="1" w:styleId="AppendixH1" w:type="paragraph">
    <w:name w:val="AppendixH1"/>
    <w:next w:val="Normal"/>
    <w:rsid w:val="00937DD7"/>
    <w:pPr>
      <w:keepNext/>
      <w:keepLines/>
      <w:tabs>
        <w:tab w:pos="680" w:val="left"/>
      </w:tabs>
      <w:spacing w:after="240" w:before="480" w:line="240" w:lineRule="auto"/>
      <w:ind w:right="2835"/>
    </w:pPr>
    <w:rPr>
      <w:rFonts w:ascii="Arial" w:cs="Arial" w:eastAsia="SimHei" w:hAnsi="Arial"/>
      <w:b/>
      <w:bCs/>
      <w:sz w:val="28"/>
      <w:szCs w:val="30"/>
      <w:lang w:val="fr-FR"/>
    </w:rPr>
  </w:style>
  <w:style w:customStyle="1" w:styleId="AppendixIndent" w:type="paragraph">
    <w:name w:val="AppendixIndent"/>
    <w:basedOn w:val="Normal"/>
    <w:rsid w:val="00937DD7"/>
    <w:pPr>
      <w:spacing w:line="240" w:lineRule="auto"/>
      <w:ind w:firstLine="454" w:left="1134"/>
      <w:jc w:val="both"/>
    </w:pPr>
    <w:rPr>
      <w:rFonts w:ascii="Times New Roman" w:cs="Times New Roman" w:eastAsia="SimSun" w:hAnsi="Times New Roman"/>
      <w:color w:val="000000"/>
      <w:szCs w:val="22"/>
      <w:lang w:val="fr-FR"/>
    </w:rPr>
  </w:style>
  <w:style w:customStyle="1" w:styleId="AppendixH2" w:type="paragraph">
    <w:name w:val="AppendixH2"/>
    <w:next w:val="Normal"/>
    <w:rsid w:val="00937DD7"/>
    <w:pPr>
      <w:keepNext/>
      <w:keepLines/>
      <w:tabs>
        <w:tab w:pos="680" w:val="left"/>
      </w:tabs>
      <w:spacing w:after="240" w:before="360" w:line="240" w:lineRule="auto"/>
      <w:ind w:right="2835"/>
    </w:pPr>
    <w:rPr>
      <w:rFonts w:ascii="Arial" w:cs="Arial" w:eastAsia="SimHei" w:hAnsi="Arial"/>
      <w:b/>
      <w:bCs/>
      <w:color w:val="000000"/>
      <w:sz w:val="24"/>
      <w:szCs w:val="26"/>
      <w:lang w:val="fr-FR"/>
    </w:rPr>
  </w:style>
  <w:style w:customStyle="1" w:styleId="AppendixIndent1" w:type="paragraph">
    <w:name w:val="AppendixIndent1"/>
    <w:basedOn w:val="AppendixIndent"/>
    <w:rsid w:val="00937DD7"/>
    <w:pPr>
      <w:ind w:hanging="454" w:left="1588"/>
    </w:pPr>
  </w:style>
  <w:style w:customStyle="1" w:styleId="AppendixH4" w:type="paragraph">
    <w:name w:val="AppendixH4"/>
    <w:next w:val="Normal"/>
    <w:rsid w:val="00937DD7"/>
    <w:pPr>
      <w:keepNext/>
      <w:keepLines/>
      <w:tabs>
        <w:tab w:pos="680" w:val="left"/>
      </w:tabs>
      <w:spacing w:after="240" w:before="240" w:line="240" w:lineRule="auto"/>
      <w:ind w:right="2835"/>
    </w:pPr>
    <w:rPr>
      <w:rFonts w:ascii="Arial" w:cs="Arial" w:eastAsia="SimSun" w:hAnsi="Arial"/>
      <w:color w:val="000000"/>
      <w:lang w:val="fr-FR"/>
    </w:rPr>
  </w:style>
  <w:style w:customStyle="1" w:styleId="Para" w:type="paragraph">
    <w:name w:val="Para"/>
    <w:qFormat/>
    <w:rsid w:val="00937DD7"/>
    <w:pPr>
      <w:spacing w:after="240" w:before="240" w:line="240" w:lineRule="auto"/>
      <w:ind w:left="1134"/>
      <w:jc w:val="both"/>
    </w:pPr>
    <w:rPr>
      <w:rFonts w:ascii="Times New Roman" w:cs="Times New Roman" w:eastAsia="SimSun" w:hAnsi="Times New Roman"/>
      <w:color w:val="000000"/>
      <w:szCs w:val="24"/>
      <w:lang w:val="fr-FR"/>
    </w:rPr>
  </w:style>
  <w:style w:customStyle="1" w:styleId="AgendaItem" w:type="paragraph">
    <w:name w:val="AgendaItem"/>
    <w:basedOn w:val="Para"/>
    <w:rsid w:val="00937DD7"/>
    <w:pPr>
      <w:spacing w:before="480"/>
      <w:jc w:val="center"/>
    </w:pPr>
    <w:rPr>
      <w:rFonts w:eastAsia="SimHei"/>
      <w:b/>
      <w:bCs/>
      <w:sz w:val="24"/>
      <w:szCs w:val="26"/>
    </w:rPr>
  </w:style>
  <w:style w:customStyle="1" w:styleId="AgendaSub1" w:type="paragraph">
    <w:name w:val="AgendaSub1"/>
    <w:basedOn w:val="Para"/>
    <w:rsid w:val="00937DD7"/>
    <w:pPr>
      <w:keepNext/>
      <w:jc w:val="center"/>
    </w:pPr>
    <w:rPr>
      <w:rFonts w:eastAsia="STKaiti"/>
      <w:i/>
      <w:iCs/>
    </w:rPr>
  </w:style>
  <w:style w:customStyle="1" w:styleId="AgendaTitle" w:type="paragraph">
    <w:name w:val="AgendaTitle"/>
    <w:basedOn w:val="Para"/>
    <w:rsid w:val="00937DD7"/>
    <w:pPr>
      <w:jc w:val="center"/>
    </w:pPr>
    <w:rPr>
      <w:smallCaps/>
    </w:rPr>
  </w:style>
  <w:style w:customStyle="1" w:styleId="Allegations" w:type="paragraph">
    <w:name w:val="Allegations"/>
    <w:rsid w:val="00937DD7"/>
    <w:pPr>
      <w:keepNext/>
      <w:spacing w:after="0" w:before="240" w:line="240" w:lineRule="auto"/>
      <w:ind w:right="1418"/>
    </w:pPr>
    <w:rPr>
      <w:rFonts w:ascii="Times New Roman" w:cs="Times New Roman" w:eastAsia="SimHei" w:hAnsi="Times New Roman"/>
      <w:b/>
      <w:bCs/>
      <w:i/>
      <w:iCs/>
      <w:color w:val="000000"/>
      <w:sz w:val="26"/>
      <w:szCs w:val="28"/>
      <w:lang w:val="fr-FR"/>
    </w:rPr>
  </w:style>
  <w:style w:customStyle="1" w:styleId="Appendix" w:type="paragraph">
    <w:name w:val="Appendix"/>
    <w:rsid w:val="00937DD7"/>
    <w:pPr>
      <w:spacing w:after="120" w:before="120" w:line="240" w:lineRule="auto"/>
      <w:ind w:left="1134"/>
      <w:jc w:val="both"/>
    </w:pPr>
    <w:rPr>
      <w:rFonts w:ascii="Times New Roman" w:cs="Times New Roman" w:eastAsia="SimSun" w:hAnsi="Times New Roman"/>
      <w:color w:val="000000"/>
      <w:sz w:val="20"/>
      <w:lang w:val="fr-FR"/>
    </w:rPr>
  </w:style>
  <w:style w:customStyle="1" w:styleId="AppendixH1Indent" w:type="paragraph">
    <w:name w:val="AppendixH1Indent"/>
    <w:basedOn w:val="AppendixH1"/>
    <w:next w:val="Normal"/>
    <w:rsid w:val="00937DD7"/>
    <w:pPr>
      <w:ind w:hanging="680" w:left="680"/>
    </w:pPr>
  </w:style>
  <w:style w:customStyle="1" w:styleId="AppendixH2Indent" w:type="paragraph">
    <w:name w:val="AppendixH2Indent"/>
    <w:basedOn w:val="AppendixH2"/>
    <w:next w:val="Normal"/>
    <w:rsid w:val="00937DD7"/>
    <w:pPr>
      <w:ind w:hanging="680" w:left="680"/>
    </w:pPr>
  </w:style>
  <w:style w:customStyle="1" w:styleId="AppendixH3" w:type="paragraph">
    <w:name w:val="AppendixH3"/>
    <w:next w:val="Normal"/>
    <w:rsid w:val="00937DD7"/>
    <w:pPr>
      <w:keepNext/>
      <w:keepLines/>
      <w:tabs>
        <w:tab w:pos="680" w:val="left"/>
      </w:tabs>
      <w:spacing w:after="240" w:before="240" w:line="240" w:lineRule="auto"/>
      <w:ind w:right="2835"/>
    </w:pPr>
    <w:rPr>
      <w:rFonts w:ascii="Arial" w:cs="Arial" w:eastAsia="STKaiti" w:hAnsi="Arial"/>
      <w:b/>
      <w:bCs/>
      <w:i/>
      <w:iCs/>
      <w:color w:val="000000"/>
      <w:sz w:val="24"/>
      <w:szCs w:val="26"/>
      <w:lang w:val="fr-FR"/>
    </w:rPr>
  </w:style>
  <w:style w:customStyle="1" w:styleId="AppendixH3Indent" w:type="paragraph">
    <w:name w:val="AppendixH3Indent"/>
    <w:basedOn w:val="AppendixH3"/>
    <w:next w:val="Normal"/>
    <w:rsid w:val="00937DD7"/>
    <w:pPr>
      <w:ind w:hanging="680" w:left="680"/>
    </w:pPr>
  </w:style>
  <w:style w:customStyle="1" w:styleId="AppendixH4Indent" w:type="paragraph">
    <w:name w:val="AppendixH4Indent"/>
    <w:basedOn w:val="AppendixH4"/>
    <w:next w:val="Normal"/>
    <w:rsid w:val="00937DD7"/>
    <w:pPr>
      <w:ind w:hanging="680" w:left="680"/>
    </w:pPr>
  </w:style>
  <w:style w:customStyle="1" w:styleId="AppendixIndent2" w:type="paragraph">
    <w:name w:val="AppendixIndent2"/>
    <w:basedOn w:val="AppendixIndent"/>
    <w:rsid w:val="00937DD7"/>
    <w:pPr>
      <w:ind w:hanging="454" w:left="2042"/>
    </w:pPr>
  </w:style>
  <w:style w:customStyle="1" w:styleId="AppendixIndent3" w:type="paragraph">
    <w:name w:val="AppendixIndent3"/>
    <w:basedOn w:val="AppendixIndent"/>
    <w:rsid w:val="00937DD7"/>
    <w:pPr>
      <w:ind w:hanging="454" w:left="2495"/>
    </w:pPr>
  </w:style>
  <w:style w:customStyle="1" w:styleId="AppendixNum" w:type="paragraph">
    <w:name w:val="AppendixNum"/>
    <w:basedOn w:val="Appendix"/>
    <w:rsid w:val="00937DD7"/>
    <w:pPr>
      <w:ind w:hanging="340"/>
    </w:pPr>
  </w:style>
  <w:style w:customStyle="1" w:styleId="AppendixQuotation" w:type="paragraph">
    <w:name w:val="AppendixQuotation"/>
    <w:rsid w:val="00937DD7"/>
    <w:pPr>
      <w:spacing w:after="120" w:before="120" w:line="240" w:lineRule="auto"/>
      <w:ind w:firstLine="454" w:left="1588"/>
      <w:jc w:val="both"/>
    </w:pPr>
    <w:rPr>
      <w:rFonts w:ascii="Times New Roman" w:cs="Times New Roman" w:eastAsia="SimSun" w:hAnsi="Times New Roman"/>
      <w:color w:val="000000"/>
      <w:sz w:val="19"/>
      <w:szCs w:val="21"/>
      <w:lang w:val="fr-FR"/>
    </w:rPr>
  </w:style>
  <w:style w:customStyle="1" w:styleId="AppendixQuotationIndent1" w:type="paragraph">
    <w:name w:val="AppendixQuotationIndent1"/>
    <w:basedOn w:val="AppendixQuotation"/>
    <w:rsid w:val="00937DD7"/>
    <w:pPr>
      <w:ind w:hanging="454" w:left="2042"/>
    </w:pPr>
  </w:style>
  <w:style w:customStyle="1" w:styleId="AppendixQuotationIndent2" w:type="paragraph">
    <w:name w:val="AppendixQuotationIndent2"/>
    <w:basedOn w:val="AppendixQuotation"/>
    <w:rsid w:val="00937DD7"/>
    <w:pPr>
      <w:ind w:hanging="454" w:left="2495"/>
    </w:pPr>
  </w:style>
  <w:style w:customStyle="1" w:styleId="AppendixQuotationNum" w:type="paragraph">
    <w:name w:val="AppendixQuotationNum"/>
    <w:basedOn w:val="AppendixQuotation"/>
    <w:rsid w:val="00937DD7"/>
    <w:pPr>
      <w:numPr>
        <w:numId w:val="9"/>
      </w:numPr>
    </w:pPr>
  </w:style>
  <w:style w:customStyle="1" w:styleId="AppendixQuotationTitle" w:type="paragraph">
    <w:name w:val="AppendixQuotationTitle"/>
    <w:basedOn w:val="AppendixQuotation"/>
    <w:rsid w:val="00937DD7"/>
    <w:pPr>
      <w:ind w:firstLine="0"/>
    </w:pPr>
    <w:rPr>
      <w:i/>
    </w:rPr>
  </w:style>
  <w:style w:customStyle="1" w:styleId="Article" w:type="paragraph">
    <w:name w:val="Article"/>
    <w:rsid w:val="00937DD7"/>
    <w:pPr>
      <w:keepNext/>
      <w:keepLines/>
      <w:spacing w:after="240" w:before="360" w:line="240" w:lineRule="auto"/>
      <w:ind w:left="1134"/>
      <w:jc w:val="center"/>
    </w:pPr>
    <w:rPr>
      <w:rFonts w:ascii="Times New Roman" w:cs="Times New Roman" w:eastAsia="SimSun" w:hAnsi="Times New Roman"/>
      <w:i/>
      <w:iCs/>
      <w:color w:val="000000"/>
      <w:sz w:val="24"/>
      <w:szCs w:val="26"/>
      <w:lang w:val="fr-FR"/>
    </w:rPr>
  </w:style>
  <w:style w:customStyle="1" w:styleId="ArticleSmCp" w:type="paragraph">
    <w:name w:val="ArticleSmCp"/>
    <w:basedOn w:val="Article"/>
    <w:rsid w:val="00937DD7"/>
    <w:rPr>
      <w:i w:val="0"/>
      <w:iCs w:val="0"/>
      <w:smallCaps/>
    </w:rPr>
  </w:style>
  <w:style w:customStyle="1" w:styleId="Box" w:type="paragraph">
    <w:name w:val="Box"/>
    <w:rsid w:val="00937DD7"/>
    <w:pPr>
      <w:spacing w:after="120" w:before="120" w:line="240" w:lineRule="auto"/>
      <w:ind w:left="170" w:right="170"/>
      <w:jc w:val="both"/>
    </w:pPr>
    <w:rPr>
      <w:rFonts w:ascii="Arial Narrow" w:cs="Arial" w:eastAsia="STKaiti" w:hAnsi="Arial Narrow"/>
      <w:color w:val="000000"/>
      <w:sz w:val="19"/>
      <w:szCs w:val="20"/>
      <w:lang w:val="fr-FR"/>
    </w:rPr>
  </w:style>
  <w:style w:customStyle="1" w:styleId="BoxIndent" w:type="paragraph">
    <w:name w:val="BoxIndent"/>
    <w:basedOn w:val="Box"/>
    <w:rsid w:val="00937DD7"/>
    <w:pPr>
      <w:ind w:firstLine="340"/>
    </w:pPr>
  </w:style>
  <w:style w:customStyle="1" w:styleId="BoxIndent1" w:type="paragraph">
    <w:name w:val="BoxIndent1"/>
    <w:basedOn w:val="Box"/>
    <w:rsid w:val="00937DD7"/>
    <w:pPr>
      <w:ind w:hanging="340" w:left="510"/>
    </w:pPr>
  </w:style>
  <w:style w:customStyle="1" w:styleId="BoxIndent2" w:type="paragraph">
    <w:name w:val="BoxIndent2"/>
    <w:basedOn w:val="Box"/>
    <w:rsid w:val="00937DD7"/>
    <w:pPr>
      <w:ind w:hanging="340" w:left="850"/>
    </w:pPr>
  </w:style>
  <w:style w:customStyle="1" w:styleId="BoxIndent3" w:type="paragraph">
    <w:name w:val="BoxIndent3"/>
    <w:basedOn w:val="Box"/>
    <w:rsid w:val="00937DD7"/>
    <w:pPr>
      <w:ind w:hanging="340" w:left="1191"/>
    </w:pPr>
  </w:style>
  <w:style w:customStyle="1" w:styleId="BoxIndent4" w:type="paragraph">
    <w:name w:val="BoxIndent4"/>
    <w:basedOn w:val="Box"/>
    <w:rsid w:val="00937DD7"/>
    <w:pPr>
      <w:ind w:hanging="340" w:left="1531"/>
    </w:pPr>
  </w:style>
  <w:style w:customStyle="1" w:styleId="BoxNoteSource" w:type="paragraph">
    <w:name w:val="BoxNoteSource"/>
    <w:basedOn w:val="Box"/>
    <w:rsid w:val="00937DD7"/>
    <w:pPr>
      <w:spacing w:before="240"/>
    </w:pPr>
    <w:rPr>
      <w:sz w:val="17"/>
      <w:szCs w:val="18"/>
    </w:rPr>
  </w:style>
  <w:style w:customStyle="1" w:styleId="BoxNum" w:type="paragraph">
    <w:name w:val="BoxNum"/>
    <w:basedOn w:val="Box"/>
    <w:rsid w:val="00937DD7"/>
    <w:pPr>
      <w:numPr>
        <w:numId w:val="10"/>
      </w:numPr>
      <w:tabs>
        <w:tab w:pos="567" w:val="left"/>
      </w:tabs>
    </w:pPr>
  </w:style>
  <w:style w:customStyle="1" w:styleId="BoxSubTitle" w:type="paragraph">
    <w:name w:val="BoxSubTitle"/>
    <w:basedOn w:val="Box"/>
    <w:rsid w:val="00937DD7"/>
    <w:rPr>
      <w:b/>
    </w:rPr>
  </w:style>
  <w:style w:customStyle="1" w:styleId="CaseNo" w:type="paragraph">
    <w:name w:val="CaseNo"/>
    <w:rsid w:val="00937DD7"/>
    <w:pPr>
      <w:keepNext/>
      <w:spacing w:after="0" w:line="240" w:lineRule="auto"/>
    </w:pPr>
    <w:rPr>
      <w:rFonts w:ascii="Times New Roman" w:cs="Times New Roman" w:eastAsia="SimSun" w:hAnsi="Times New Roman"/>
      <w:smallCaps/>
      <w:color w:val="000000"/>
      <w:szCs w:val="24"/>
      <w:lang w:val="fr-FR"/>
    </w:rPr>
  </w:style>
  <w:style w:customStyle="1" w:styleId="CaseNo2" w:type="paragraph">
    <w:name w:val="CaseNo2"/>
    <w:basedOn w:val="CaseNo"/>
    <w:rsid w:val="00937DD7"/>
    <w:pPr>
      <w:spacing w:before="240"/>
    </w:pPr>
  </w:style>
  <w:style w:customStyle="1" w:styleId="Complaint" w:type="paragraph">
    <w:name w:val="Complaint"/>
    <w:rsid w:val="00937DD7"/>
    <w:pPr>
      <w:keepNext/>
      <w:spacing w:after="0" w:line="240" w:lineRule="auto"/>
      <w:ind w:hanging="312" w:left="312"/>
    </w:pPr>
    <w:rPr>
      <w:rFonts w:ascii="Times New Roman" w:cs="Times New Roman" w:eastAsia="SimHei" w:hAnsi="Times New Roman"/>
      <w:b/>
      <w:bCs/>
      <w:color w:val="000000"/>
      <w:sz w:val="26"/>
      <w:szCs w:val="28"/>
      <w:lang w:val="fr-FR"/>
    </w:rPr>
  </w:style>
  <w:style w:customStyle="1" w:styleId="ComplaintTitle" w:type="paragraph">
    <w:name w:val="ComplaintTitle"/>
    <w:rsid w:val="00937DD7"/>
    <w:pPr>
      <w:keepNext/>
      <w:spacing w:after="0" w:line="240" w:lineRule="auto"/>
      <w:ind w:right="1264"/>
    </w:pPr>
    <w:rPr>
      <w:rFonts w:ascii="Times New Roman" w:cs="Times New Roman" w:eastAsia="SimHei" w:hAnsi="Times New Roman"/>
      <w:b/>
      <w:bCs/>
      <w:color w:val="000000"/>
      <w:sz w:val="26"/>
      <w:szCs w:val="28"/>
      <w:lang w:val="fr-FR"/>
    </w:rPr>
  </w:style>
  <w:style w:customStyle="1" w:styleId="Conclusions" w:type="paragraph">
    <w:name w:val="Conclusions"/>
    <w:basedOn w:val="ParaNum"/>
    <w:rsid w:val="00937DD7"/>
    <w:pPr>
      <w:numPr>
        <w:numId w:val="0"/>
      </w:numPr>
      <w:tabs>
        <w:tab w:pos="1134" w:val="num"/>
      </w:tabs>
      <w:spacing w:after="240" w:before="240"/>
      <w:ind w:hanging="113" w:left="1134"/>
    </w:pPr>
    <w:rPr>
      <w:rFonts w:ascii="Times New Roman" w:cs="Times New Roman" w:eastAsia="SimSun" w:hAnsi="Times New Roman"/>
      <w:i/>
      <w:iCs/>
      <w:color w:val="000000"/>
      <w:sz w:val="22"/>
      <w:szCs w:val="24"/>
      <w:lang w:val="fr-FR"/>
    </w:rPr>
  </w:style>
  <w:style w:customStyle="1" w:styleId="Contents" w:type="paragraph">
    <w:name w:val="Contents"/>
    <w:rsid w:val="00937DD7"/>
    <w:pPr>
      <w:spacing w:after="120" w:before="360" w:line="240" w:lineRule="auto"/>
      <w:ind w:right="567"/>
    </w:pPr>
    <w:rPr>
      <w:rFonts w:ascii="Arial" w:cs="Times New Roman" w:eastAsia="SimSun" w:hAnsi="Arial"/>
      <w:b/>
      <w:bCs/>
      <w:i/>
      <w:iCs/>
      <w:color w:val="000000"/>
      <w:lang w:val="fr-FR"/>
    </w:rPr>
  </w:style>
  <w:style w:customStyle="1" w:styleId="ContentsRef" w:type="paragraph">
    <w:name w:val="ContentsRef"/>
    <w:rsid w:val="00937DD7"/>
    <w:pPr>
      <w:spacing w:after="120" w:before="360" w:line="240" w:lineRule="auto"/>
      <w:jc w:val="right"/>
    </w:pPr>
    <w:rPr>
      <w:rFonts w:ascii="Times New Roman" w:cs="Times New Roman" w:eastAsia="STKaiti" w:hAnsi="Times New Roman"/>
      <w:i/>
      <w:iCs/>
      <w:sz w:val="20"/>
      <w:lang w:val="fr-FR"/>
    </w:rPr>
  </w:style>
  <w:style w:customStyle="1" w:styleId="Country" w:type="paragraph">
    <w:name w:val="Country"/>
    <w:basedOn w:val="AgendaTitle"/>
    <w:rsid w:val="00937DD7"/>
    <w:rPr>
      <w:rFonts w:eastAsia="SimHei"/>
      <w:b/>
      <w:bCs/>
      <w:sz w:val="24"/>
      <w:szCs w:val="26"/>
    </w:rPr>
  </w:style>
  <w:style w:customStyle="1" w:styleId="DecisionType" w:type="character">
    <w:name w:val="DecisionType"/>
    <w:basedOn w:val="DefaultParagraphFont"/>
    <w:rsid w:val="00937DD7"/>
    <w:rPr>
      <w:b/>
      <w:i/>
      <w:sz w:val="24"/>
      <w:lang w:val="fr-FR"/>
    </w:rPr>
  </w:style>
  <w:style w:customStyle="1" w:styleId="DocTitle" w:type="paragraph">
    <w:name w:val="DocTitle"/>
    <w:next w:val="Normal"/>
    <w:rsid w:val="00937DD7"/>
    <w:pPr>
      <w:spacing w:after="360" w:before="300" w:line="240" w:lineRule="auto"/>
      <w:ind w:right="2835"/>
    </w:pPr>
    <w:rPr>
      <w:rFonts w:ascii="Arial" w:cs="Arial" w:eastAsia="SimHei" w:hAnsi="Arial"/>
      <w:b/>
      <w:bCs/>
      <w:sz w:val="32"/>
      <w:szCs w:val="34"/>
      <w:lang w:val="fr-FR"/>
    </w:rPr>
  </w:style>
  <w:style w:customStyle="1" w:styleId="ParaTable" w:type="paragraph">
    <w:name w:val="ParaTable"/>
    <w:basedOn w:val="Para"/>
    <w:rsid w:val="00937DD7"/>
    <w:pPr>
      <w:spacing w:after="0" w:before="0"/>
      <w:ind w:left="0"/>
      <w:jc w:val="left"/>
    </w:pPr>
  </w:style>
  <w:style w:customStyle="1" w:styleId="FirstLevel" w:type="paragraph">
    <w:name w:val="FirstLevel"/>
    <w:basedOn w:val="ParaTable"/>
    <w:rsid w:val="00937DD7"/>
    <w:pPr>
      <w:ind w:hanging="454" w:left="454"/>
    </w:pPr>
    <w:rPr>
      <w:rFonts w:eastAsia="Times New Roman"/>
      <w:color w:val="auto"/>
      <w:szCs w:val="20"/>
    </w:rPr>
  </w:style>
  <w:style w:customStyle="1" w:styleId="FirstLevelSub1" w:type="paragraph">
    <w:name w:val="FirstLevelSub1"/>
    <w:basedOn w:val="FirstLevel"/>
    <w:rsid w:val="00937DD7"/>
    <w:pPr>
      <w:ind w:left="908"/>
    </w:pPr>
  </w:style>
  <w:style w:customStyle="1" w:styleId="FirstLevelSub2" w:type="paragraph">
    <w:name w:val="FirstLevelSub2"/>
    <w:basedOn w:val="FirstLevelSub1"/>
    <w:rsid w:val="00937DD7"/>
    <w:pPr>
      <w:ind w:left="1361"/>
    </w:pPr>
  </w:style>
  <w:style w:customStyle="1" w:styleId="H1Indent" w:type="paragraph">
    <w:name w:val="H1Indent"/>
    <w:basedOn w:val="H1"/>
    <w:next w:val="Normal"/>
    <w:rsid w:val="00937DD7"/>
    <w:pPr>
      <w:ind w:hanging="680" w:left="680"/>
    </w:pPr>
  </w:style>
  <w:style w:customStyle="1" w:styleId="H1Instrument" w:type="paragraph">
    <w:name w:val="H1Instrument"/>
    <w:next w:val="Normal"/>
    <w:rsid w:val="00937DD7"/>
    <w:pPr>
      <w:spacing w:after="240" w:before="480" w:line="240" w:lineRule="auto"/>
      <w:jc w:val="center"/>
      <w:outlineLvl w:val="0"/>
    </w:pPr>
    <w:rPr>
      <w:rFonts w:ascii="Times New Roman" w:cs="Times New Roman" w:eastAsia="SimSun" w:hAnsi="Times New Roman"/>
      <w:b/>
      <w:bCs/>
      <w:color w:val="000000"/>
      <w:sz w:val="28"/>
      <w:szCs w:val="30"/>
      <w:lang w:val="fr-FR"/>
    </w:rPr>
  </w:style>
  <w:style w:customStyle="1" w:styleId="H2" w:type="paragraph">
    <w:name w:val="H2"/>
    <w:next w:val="ParaNum"/>
    <w:qFormat/>
    <w:rsid w:val="00937DD7"/>
    <w:pPr>
      <w:keepNext/>
      <w:keepLines/>
      <w:tabs>
        <w:tab w:pos="680" w:val="left"/>
      </w:tabs>
      <w:spacing w:after="240" w:before="480" w:line="240" w:lineRule="auto"/>
      <w:ind w:right="2835"/>
      <w:outlineLvl w:val="1"/>
    </w:pPr>
    <w:rPr>
      <w:rFonts w:ascii="Arial" w:cs="Arial" w:eastAsia="SimHei" w:hAnsi="Arial"/>
      <w:b/>
      <w:bCs/>
      <w:color w:val="000000"/>
      <w:sz w:val="24"/>
      <w:szCs w:val="28"/>
      <w:lang w:val="fr-FR"/>
    </w:rPr>
  </w:style>
  <w:style w:customStyle="1" w:styleId="H2Indent" w:type="paragraph">
    <w:name w:val="H2Indent"/>
    <w:basedOn w:val="H2"/>
    <w:next w:val="ParaNum"/>
    <w:rsid w:val="00937DD7"/>
    <w:pPr>
      <w:ind w:hanging="680" w:left="680"/>
    </w:pPr>
  </w:style>
  <w:style w:customStyle="1" w:styleId="H2Instrument" w:type="paragraph">
    <w:name w:val="H2Instrument"/>
    <w:basedOn w:val="H1Instrument"/>
    <w:next w:val="Normal"/>
    <w:rsid w:val="00937DD7"/>
    <w:pPr>
      <w:spacing w:before="360"/>
    </w:pPr>
    <w:rPr>
      <w:sz w:val="24"/>
      <w:szCs w:val="26"/>
    </w:rPr>
  </w:style>
  <w:style w:customStyle="1" w:styleId="H3" w:type="paragraph">
    <w:name w:val="H3"/>
    <w:next w:val="ParaNum"/>
    <w:qFormat/>
    <w:rsid w:val="00937DD7"/>
    <w:pPr>
      <w:keepNext/>
      <w:keepLines/>
      <w:tabs>
        <w:tab w:pos="680" w:val="left"/>
      </w:tabs>
      <w:spacing w:after="240" w:before="360" w:line="240" w:lineRule="auto"/>
      <w:ind w:right="2835"/>
      <w:outlineLvl w:val="2"/>
    </w:pPr>
    <w:rPr>
      <w:rFonts w:ascii="Arial" w:cs="Arial" w:eastAsia="STKaiti" w:hAnsi="Arial"/>
      <w:b/>
      <w:bCs/>
      <w:i/>
      <w:iCs/>
      <w:color w:val="000000"/>
      <w:sz w:val="24"/>
      <w:szCs w:val="26"/>
      <w:lang w:val="fr-FR"/>
    </w:rPr>
  </w:style>
  <w:style w:customStyle="1" w:styleId="H4" w:type="paragraph">
    <w:name w:val="H4"/>
    <w:next w:val="ParaNum"/>
    <w:qFormat/>
    <w:rsid w:val="00937DD7"/>
    <w:pPr>
      <w:keepNext/>
      <w:keepLines/>
      <w:tabs>
        <w:tab w:pos="680" w:val="left"/>
      </w:tabs>
      <w:spacing w:after="240" w:before="240" w:line="240" w:lineRule="auto"/>
      <w:ind w:right="2835"/>
      <w:outlineLvl w:val="3"/>
    </w:pPr>
    <w:rPr>
      <w:rFonts w:ascii="Arial" w:cs="Arial" w:eastAsia="Times New Roman" w:hAnsi="Arial"/>
      <w:color w:val="000000"/>
      <w:szCs w:val="24"/>
      <w:lang w:val="fr-FR"/>
    </w:rPr>
  </w:style>
  <w:style w:customStyle="1" w:styleId="H4Indent" w:type="paragraph">
    <w:name w:val="H4Indent"/>
    <w:basedOn w:val="H4"/>
    <w:next w:val="ParaNum"/>
    <w:rsid w:val="00937DD7"/>
    <w:pPr>
      <w:ind w:hanging="680" w:left="680"/>
    </w:pPr>
  </w:style>
  <w:style w:customStyle="1" w:styleId="H5" w:type="paragraph">
    <w:name w:val="H5"/>
    <w:next w:val="ParaNum"/>
    <w:rsid w:val="00937DD7"/>
    <w:pPr>
      <w:keepNext/>
      <w:keepLines/>
      <w:tabs>
        <w:tab w:pos="680" w:val="left"/>
      </w:tabs>
      <w:spacing w:after="60" w:before="120" w:line="240" w:lineRule="auto"/>
      <w:ind w:right="2835"/>
      <w:outlineLvl w:val="4"/>
    </w:pPr>
    <w:rPr>
      <w:rFonts w:ascii="Arial" w:cs="Arial" w:eastAsia="STKaiti" w:hAnsi="Arial"/>
      <w:i/>
      <w:iCs/>
      <w:color w:val="000000"/>
      <w:szCs w:val="24"/>
      <w:lang w:val="fr-FR"/>
    </w:rPr>
  </w:style>
  <w:style w:customStyle="1" w:styleId="H5Indent" w:type="paragraph">
    <w:name w:val="H5Indent"/>
    <w:basedOn w:val="H5"/>
    <w:next w:val="ParaNum"/>
    <w:rsid w:val="00937DD7"/>
    <w:pPr>
      <w:ind w:hanging="680" w:left="680"/>
    </w:pPr>
  </w:style>
  <w:style w:customStyle="1" w:styleId="Indent10" w:type="paragraph">
    <w:name w:val="Indent1"/>
    <w:basedOn w:val="Indent"/>
    <w:qFormat/>
    <w:rsid w:val="00937DD7"/>
    <w:pPr>
      <w:ind w:hanging="454" w:left="1588"/>
    </w:pPr>
  </w:style>
  <w:style w:customStyle="1" w:styleId="Indent1Table" w:type="paragraph">
    <w:name w:val="Indent1Table"/>
    <w:basedOn w:val="Indent10"/>
    <w:rsid w:val="00937DD7"/>
    <w:pPr>
      <w:spacing w:after="0" w:before="0"/>
      <w:ind w:left="454"/>
      <w:jc w:val="left"/>
    </w:pPr>
  </w:style>
  <w:style w:customStyle="1" w:styleId="Indent20" w:type="paragraph">
    <w:name w:val="Indent2"/>
    <w:basedOn w:val="Indent"/>
    <w:qFormat/>
    <w:rsid w:val="00937DD7"/>
    <w:pPr>
      <w:ind w:hanging="454" w:left="2042"/>
    </w:pPr>
  </w:style>
  <w:style w:customStyle="1" w:styleId="Indent2Table" w:type="paragraph">
    <w:name w:val="Indent2Table"/>
    <w:basedOn w:val="Indent20"/>
    <w:rsid w:val="00937DD7"/>
    <w:pPr>
      <w:spacing w:after="0" w:before="0"/>
      <w:ind w:left="908"/>
      <w:jc w:val="left"/>
    </w:pPr>
  </w:style>
  <w:style w:customStyle="1" w:styleId="Indent3" w:type="paragraph">
    <w:name w:val="Indent3"/>
    <w:basedOn w:val="Indent"/>
    <w:qFormat/>
    <w:rsid w:val="00937DD7"/>
    <w:pPr>
      <w:ind w:hanging="454" w:left="2495"/>
    </w:pPr>
  </w:style>
  <w:style w:customStyle="1" w:styleId="Indent3Table" w:type="paragraph">
    <w:name w:val="Indent3Table"/>
    <w:basedOn w:val="Indent3"/>
    <w:rsid w:val="00937DD7"/>
    <w:pPr>
      <w:spacing w:after="0" w:before="0"/>
      <w:ind w:left="1361"/>
      <w:jc w:val="left"/>
    </w:pPr>
  </w:style>
  <w:style w:customStyle="1" w:styleId="IndentItalic" w:type="paragraph">
    <w:name w:val="IndentItalic"/>
    <w:basedOn w:val="Indent"/>
    <w:rsid w:val="00937DD7"/>
    <w:rPr>
      <w:i/>
    </w:rPr>
  </w:style>
  <w:style w:customStyle="1" w:styleId="IndentTable" w:type="paragraph">
    <w:name w:val="IndentTable"/>
    <w:basedOn w:val="Indent"/>
    <w:rsid w:val="00937DD7"/>
    <w:pPr>
      <w:spacing w:after="0" w:before="0"/>
      <w:ind w:left="0"/>
      <w:jc w:val="left"/>
    </w:pPr>
  </w:style>
  <w:style w:customStyle="1" w:styleId="InstrumentC1" w:type="paragraph">
    <w:name w:val="InstrumentC1"/>
    <w:basedOn w:val="Appendix"/>
    <w:rsid w:val="00937DD7"/>
    <w:pPr>
      <w:ind w:hanging="510" w:left="1644"/>
    </w:pPr>
  </w:style>
  <w:style w:customStyle="1" w:styleId="InstrumentC2" w:type="paragraph">
    <w:name w:val="InstrumentC2"/>
    <w:basedOn w:val="InstrumentC1"/>
    <w:rsid w:val="00937DD7"/>
    <w:pPr>
      <w:ind w:hanging="680" w:left="2324"/>
    </w:pPr>
  </w:style>
  <w:style w:customStyle="1" w:styleId="InstrumentC3" w:type="paragraph">
    <w:name w:val="InstrumentC3"/>
    <w:basedOn w:val="InstrumentC2"/>
    <w:rsid w:val="00937DD7"/>
    <w:pPr>
      <w:ind w:hanging="851" w:left="3176"/>
    </w:pPr>
  </w:style>
  <w:style w:customStyle="1" w:styleId="InstrumentCsub" w:type="paragraph">
    <w:name w:val="InstrumentCsub"/>
    <w:basedOn w:val="Appendix"/>
    <w:rsid w:val="00937DD7"/>
    <w:pPr>
      <w:ind w:hanging="454" w:left="2098"/>
    </w:pPr>
  </w:style>
  <w:style w:customStyle="1" w:styleId="Officers" w:type="paragraph">
    <w:name w:val="Officers"/>
    <w:rsid w:val="00937DD7"/>
    <w:pPr>
      <w:spacing w:after="120" w:before="120" w:line="240" w:lineRule="auto"/>
      <w:ind w:hanging="1928" w:left="3062"/>
    </w:pPr>
    <w:rPr>
      <w:rFonts w:ascii="Times New Roman" w:cs="Times New Roman" w:eastAsia="SimSun" w:hAnsi="Times New Roman"/>
      <w:color w:val="000000"/>
      <w:szCs w:val="24"/>
      <w:lang w:val="fr-FR"/>
    </w:rPr>
  </w:style>
  <w:style w:customStyle="1" w:styleId="ParaInstrument" w:type="paragraph">
    <w:name w:val="ParaInstrument"/>
    <w:rsid w:val="00937DD7"/>
    <w:pPr>
      <w:spacing w:after="80" w:before="80" w:line="240" w:lineRule="auto"/>
      <w:ind w:hanging="567" w:left="2155" w:right="851"/>
      <w:jc w:val="both"/>
    </w:pPr>
    <w:rPr>
      <w:rFonts w:ascii="Times New Roman" w:cs="Times New Roman" w:eastAsia="SimSun" w:hAnsi="Times New Roman"/>
      <w:color w:val="000000"/>
      <w:szCs w:val="24"/>
      <w:lang w:val="fr-FR"/>
    </w:rPr>
  </w:style>
  <w:style w:customStyle="1" w:styleId="Participants" w:type="paragraph">
    <w:name w:val="Participants"/>
    <w:basedOn w:val="Para"/>
    <w:rsid w:val="00937DD7"/>
    <w:pPr>
      <w:ind w:left="0"/>
    </w:pPr>
    <w:rPr>
      <w:sz w:val="24"/>
    </w:rPr>
  </w:style>
  <w:style w:customStyle="1" w:styleId="QuotationIndent1" w:type="paragraph">
    <w:name w:val="QuotationIndent1"/>
    <w:basedOn w:val="Quotation"/>
    <w:rsid w:val="00937DD7"/>
    <w:pPr>
      <w:ind w:hanging="454" w:left="2042"/>
    </w:pPr>
  </w:style>
  <w:style w:customStyle="1" w:styleId="QuotationIndent2" w:type="paragraph">
    <w:name w:val="QuotationIndent2"/>
    <w:basedOn w:val="Quotation"/>
    <w:rsid w:val="00937DD7"/>
    <w:pPr>
      <w:ind w:hanging="454" w:left="2495"/>
    </w:pPr>
  </w:style>
  <w:style w:customStyle="1" w:styleId="QuotationNum" w:type="paragraph">
    <w:name w:val="QuotationNum"/>
    <w:basedOn w:val="Quotation"/>
    <w:rsid w:val="00937DD7"/>
    <w:pPr>
      <w:numPr>
        <w:numId w:val="11"/>
      </w:numPr>
    </w:pPr>
  </w:style>
  <w:style w:customStyle="1" w:styleId="QuotationPointDecision" w:type="paragraph">
    <w:name w:val="QuotationPointDecision"/>
    <w:basedOn w:val="Quotation"/>
    <w:rsid w:val="00937DD7"/>
    <w:pPr>
      <w:ind w:hanging="454" w:left="2042"/>
    </w:pPr>
    <w:rPr>
      <w:b/>
      <w:i/>
    </w:rPr>
  </w:style>
  <w:style w:customStyle="1" w:styleId="QuotationTitle" w:type="paragraph">
    <w:name w:val="QuotationTitle"/>
    <w:basedOn w:val="Quotation"/>
    <w:rsid w:val="00937DD7"/>
    <w:pPr>
      <w:ind w:firstLine="0"/>
      <w:jc w:val="left"/>
    </w:pPr>
    <w:rPr>
      <w:i/>
    </w:rPr>
  </w:style>
  <w:style w:customStyle="1" w:styleId="ReportIndent" w:type="paragraph">
    <w:name w:val="ReportIndent"/>
    <w:basedOn w:val="ParaTable"/>
    <w:rsid w:val="00937DD7"/>
    <w:pPr>
      <w:ind w:hanging="1361" w:left="1361"/>
    </w:pPr>
  </w:style>
  <w:style w:customStyle="1" w:styleId="ReportTitle" w:type="paragraph">
    <w:name w:val="ReportTitle"/>
    <w:basedOn w:val="DocTitle"/>
    <w:next w:val="Para"/>
    <w:rsid w:val="00937DD7"/>
    <w:pPr>
      <w:spacing w:after="240" w:before="120"/>
    </w:pPr>
    <w:rPr>
      <w:color w:val="000000"/>
      <w:sz w:val="30"/>
      <w:szCs w:val="30"/>
    </w:rPr>
  </w:style>
  <w:style w:customStyle="1" w:styleId="SittingDate" w:type="paragraph">
    <w:name w:val="SittingDate"/>
    <w:basedOn w:val="Para"/>
    <w:rsid w:val="00937DD7"/>
    <w:pPr>
      <w:keepNext/>
      <w:spacing w:after="360" w:before="360"/>
      <w:jc w:val="center"/>
    </w:pPr>
  </w:style>
  <w:style w:customStyle="1" w:styleId="SittingTitle" w:type="paragraph">
    <w:name w:val="SittingTitle"/>
    <w:basedOn w:val="AgendaItem"/>
    <w:rsid w:val="00937DD7"/>
  </w:style>
  <w:style w:customStyle="1" w:styleId="TableHeaderCender" w:type="paragraph">
    <w:name w:val="TableHeaderCender"/>
    <w:basedOn w:val="TableBody"/>
    <w:rsid w:val="00937DD7"/>
    <w:pPr>
      <w:jc w:val="center"/>
    </w:pPr>
  </w:style>
  <w:style w:customStyle="1" w:styleId="TableHeaderCenter" w:type="paragraph">
    <w:name w:val="TableHeaderCenter"/>
    <w:basedOn w:val="TableHeaderLeft0"/>
    <w:rsid w:val="00937DD7"/>
    <w:pPr>
      <w:jc w:val="center"/>
    </w:pPr>
  </w:style>
  <w:style w:customStyle="1" w:styleId="TableNoteSource" w:type="paragraph">
    <w:name w:val="TableNoteSource"/>
    <w:basedOn w:val="TableBody"/>
    <w:rsid w:val="00937DD7"/>
    <w:pPr>
      <w:spacing w:before="60"/>
      <w:jc w:val="both"/>
    </w:pPr>
    <w:rPr>
      <w:sz w:val="17"/>
      <w:szCs w:val="18"/>
    </w:rPr>
  </w:style>
  <w:style w:customStyle="1" w:styleId="TableText" w:type="paragraph">
    <w:name w:val="TableText"/>
    <w:basedOn w:val="TableBody"/>
    <w:rsid w:val="00937DD7"/>
    <w:pPr>
      <w:spacing w:after="60" w:before="60"/>
    </w:pPr>
  </w:style>
  <w:style w:customStyle="1" w:styleId="TableTextIndent1" w:type="paragraph">
    <w:name w:val="TableTextIndent1"/>
    <w:basedOn w:val="TableText"/>
    <w:rsid w:val="00937DD7"/>
    <w:pPr>
      <w:ind w:hanging="227" w:left="227"/>
    </w:pPr>
  </w:style>
  <w:style w:customStyle="1" w:styleId="TableTextIndent2" w:type="paragraph">
    <w:name w:val="TableTextIndent2"/>
    <w:basedOn w:val="TableText"/>
    <w:rsid w:val="00937DD7"/>
    <w:pPr>
      <w:ind w:hanging="227" w:left="454"/>
    </w:pPr>
  </w:style>
  <w:style w:styleId="TOC4" w:type="paragraph">
    <w:name w:val="toc 4"/>
    <w:next w:val="Normal"/>
    <w:uiPriority w:val="39"/>
    <w:rsid w:val="00937DD7"/>
    <w:pPr>
      <w:tabs>
        <w:tab w:leader="dot" w:pos="8618" w:val="right"/>
        <w:tab w:pos="9185" w:val="right"/>
      </w:tabs>
      <w:spacing w:after="60" w:before="60" w:line="240" w:lineRule="auto"/>
      <w:ind w:left="1701"/>
    </w:pPr>
    <w:rPr>
      <w:rFonts w:ascii="Times New Roman" w:cs="Times New Roman" w:eastAsia="SimSun" w:hAnsi="Times New Roman"/>
      <w:color w:val="000000"/>
      <w:lang w:val="fr-FR"/>
    </w:rPr>
  </w:style>
  <w:style w:styleId="TOC5" w:type="paragraph">
    <w:name w:val="toc 5"/>
    <w:next w:val="Normal"/>
    <w:uiPriority w:val="39"/>
    <w:rsid w:val="00937DD7"/>
    <w:pPr>
      <w:tabs>
        <w:tab w:leader="dot" w:pos="8618" w:val="right"/>
        <w:tab w:pos="9185" w:val="right"/>
      </w:tabs>
      <w:spacing w:after="60" w:before="60" w:line="240" w:lineRule="auto"/>
      <w:ind w:left="2268"/>
    </w:pPr>
    <w:rPr>
      <w:rFonts w:ascii="Times New Roman" w:cs="Times New Roman" w:eastAsia="SimSun" w:hAnsi="Times New Roman"/>
      <w:color w:val="000000"/>
      <w:lang w:val="fr-FR"/>
    </w:rPr>
  </w:style>
  <w:style w:customStyle="1" w:styleId="TWPHeading" w:type="paragraph">
    <w:name w:val="TWPHeading"/>
    <w:rsid w:val="00937DD7"/>
    <w:pPr>
      <w:keepLines/>
      <w:tabs>
        <w:tab w:pos="680" w:val="left"/>
      </w:tabs>
      <w:spacing w:after="240" w:before="360" w:line="240" w:lineRule="auto"/>
      <w:ind w:right="2835"/>
    </w:pPr>
    <w:rPr>
      <w:rFonts w:ascii="Arial" w:cs="Arial" w:eastAsia="SimHei" w:hAnsi="Arial"/>
      <w:b/>
      <w:bCs/>
      <w:color w:val="000000"/>
      <w:kern w:val="32"/>
      <w:sz w:val="24"/>
      <w:szCs w:val="26"/>
      <w:lang w:val="fr-FR"/>
    </w:rPr>
  </w:style>
  <w:style w:styleId="NoSpacing" w:type="paragraph">
    <w:name w:val="No Spacing"/>
    <w:uiPriority w:val="1"/>
    <w:qFormat/>
    <w:rsid w:val="00937DD7"/>
    <w:pPr>
      <w:spacing w:after="0" w:line="240" w:lineRule="auto"/>
    </w:pPr>
    <w:rPr>
      <w:rFonts w:ascii="Times New Roman" w:cs="Times New Roman" w:eastAsia="SimSun" w:hAnsi="Times New Roman"/>
      <w:color w:val="000000"/>
      <w:sz w:val="24"/>
      <w:szCs w:val="24"/>
      <w:lang w:val="fr-FR"/>
    </w:rPr>
  </w:style>
  <w:style w:customStyle="1" w:styleId="PointDecision" w:type="paragraph">
    <w:name w:val="PointDecision"/>
    <w:basedOn w:val="ParaNum"/>
    <w:qFormat/>
    <w:rsid w:val="00937DD7"/>
    <w:pPr>
      <w:numPr>
        <w:numId w:val="0"/>
      </w:numPr>
      <w:tabs>
        <w:tab w:pos="1134" w:val="num"/>
      </w:tabs>
      <w:spacing w:after="240" w:before="240"/>
      <w:ind w:hanging="113" w:left="1134"/>
    </w:pPr>
    <w:rPr>
      <w:rFonts w:ascii="Times New Roman" w:cs="Times New Roman" w:eastAsia="SimSun" w:hAnsi="Times New Roman"/>
      <w:b/>
      <w:i/>
      <w:color w:val="000000"/>
      <w:sz w:val="24"/>
      <w:szCs w:val="24"/>
      <w:lang w:val="fr-FR"/>
    </w:rPr>
  </w:style>
  <w:style w:customStyle="1" w:styleId="Numbered" w:type="paragraph">
    <w:name w:val="Numbered"/>
    <w:rsid w:val="00937DD7"/>
    <w:pPr>
      <w:numPr>
        <w:numId w:val="20"/>
      </w:numPr>
      <w:spacing w:after="240" w:before="240" w:line="240" w:lineRule="auto"/>
      <w:jc w:val="both"/>
    </w:pPr>
    <w:rPr>
      <w:rFonts w:ascii="Times New Roman" w:cs="Times New Roman" w:eastAsia="Times New Roman" w:hAnsi="Times New Roman"/>
      <w:szCs w:val="20"/>
      <w:lang w:val="en-US"/>
    </w:rPr>
  </w:style>
  <w:style w:customStyle="1" w:styleId="Indent4" w:type="paragraph">
    <w:name w:val="Indent4"/>
    <w:basedOn w:val="Indent3"/>
    <w:rsid w:val="00937DD7"/>
    <w:pPr>
      <w:ind w:left="2949"/>
    </w:pPr>
    <w:rPr>
      <w:rFonts w:eastAsia="Times New Roman"/>
      <w:color w:val="auto"/>
      <w:szCs w:val="20"/>
      <w:lang w:val="en-US"/>
    </w:rPr>
  </w:style>
  <w:style w:customStyle="1" w:styleId="Indent5" w:type="paragraph">
    <w:name w:val="Indent5"/>
    <w:basedOn w:val="Indent4"/>
    <w:rsid w:val="00937DD7"/>
    <w:pPr>
      <w:ind w:left="3402"/>
    </w:pPr>
  </w:style>
  <w:style w:customStyle="1" w:styleId="QuestionTitle" w:type="paragraph">
    <w:name w:val="QuestionTitle"/>
    <w:rsid w:val="00937DD7"/>
    <w:pPr>
      <w:spacing w:after="0" w:line="240" w:lineRule="auto"/>
    </w:pPr>
    <w:rPr>
      <w:rFonts w:ascii="Arial" w:cs="Arial" w:eastAsia="Times New Roman" w:hAnsi="Arial"/>
      <w:sz w:val="24"/>
      <w:szCs w:val="20"/>
      <w:lang w:val="en-US"/>
    </w:rPr>
  </w:style>
  <w:style w:customStyle="1" w:styleId="Questiontitre" w:type="paragraph">
    <w:name w:val="Question titre"/>
    <w:rsid w:val="00937DD7"/>
    <w:pPr>
      <w:spacing w:after="0" w:line="240" w:lineRule="auto"/>
    </w:pPr>
    <w:rPr>
      <w:rFonts w:ascii="Arial" w:cs="Arial" w:eastAsia="Times New Roman" w:hAnsi="Arial"/>
      <w:sz w:val="24"/>
      <w:szCs w:val="20"/>
      <w:lang w:val="en-US"/>
    </w:rPr>
  </w:style>
  <w:style w:customStyle="1" w:styleId="PointDecision0" w:type="paragraph">
    <w:name w:val="Point Decision"/>
    <w:basedOn w:val="Numbered"/>
    <w:rsid w:val="00937DD7"/>
    <w:rPr>
      <w:b/>
      <w:bCs/>
      <w:i/>
      <w:iCs/>
      <w:sz w:val="24"/>
    </w:rPr>
  </w:style>
  <w:style w:styleId="TableofFigures" w:type="paragraph">
    <w:name w:val="table of figures"/>
    <w:next w:val="Normal"/>
    <w:uiPriority w:val="99"/>
    <w:rsid w:val="00937DD7"/>
    <w:pPr>
      <w:tabs>
        <w:tab w:pos="960" w:val="left"/>
        <w:tab w:leader="dot" w:pos="8618" w:val="right"/>
        <w:tab w:pos="9185" w:val="right"/>
      </w:tabs>
      <w:spacing w:after="0" w:line="240" w:lineRule="auto"/>
      <w:ind w:hanging="958" w:left="958" w:right="567"/>
    </w:pPr>
    <w:rPr>
      <w:rFonts w:ascii="Times New Roman" w:cs="Times New Roman" w:eastAsia="Times New Roman" w:hAnsi="Times New Roman"/>
      <w:bCs/>
      <w:noProof/>
      <w:szCs w:val="24"/>
      <w:lang w:val="en-US"/>
    </w:rPr>
  </w:style>
  <w:style w:styleId="Title" w:type="paragraph">
    <w:name w:val="Title"/>
    <w:link w:val="TitleChar"/>
    <w:qFormat/>
    <w:rsid w:val="00937DD7"/>
    <w:pPr>
      <w:spacing w:after="360" w:before="300" w:line="240" w:lineRule="auto"/>
      <w:ind w:right="2835"/>
    </w:pPr>
    <w:rPr>
      <w:rFonts w:ascii="Arial" w:cs="Arial" w:eastAsia="Times New Roman" w:hAnsi="Arial"/>
      <w:b/>
      <w:bCs/>
      <w:kern w:val="28"/>
      <w:sz w:val="32"/>
      <w:szCs w:val="32"/>
      <w:lang w:val="en-US"/>
    </w:rPr>
  </w:style>
  <w:style w:customStyle="1" w:styleId="TitleChar" w:type="character">
    <w:name w:val="Title Char"/>
    <w:basedOn w:val="DefaultParagraphFont"/>
    <w:link w:val="Title"/>
    <w:rsid w:val="00937DD7"/>
    <w:rPr>
      <w:rFonts w:ascii="Arial" w:cs="Arial" w:eastAsia="Times New Roman" w:hAnsi="Arial"/>
      <w:b/>
      <w:bCs/>
      <w:kern w:val="28"/>
      <w:sz w:val="32"/>
      <w:szCs w:val="32"/>
      <w:lang w:val="en-US"/>
    </w:rPr>
  </w:style>
  <w:style w:styleId="TOC6" w:type="paragraph">
    <w:name w:val="toc 6"/>
    <w:basedOn w:val="Normal"/>
    <w:next w:val="Normal"/>
    <w:uiPriority w:val="39"/>
    <w:rsid w:val="00937DD7"/>
    <w:pPr>
      <w:spacing w:line="240" w:lineRule="auto"/>
      <w:ind w:left="1200"/>
    </w:pPr>
    <w:rPr>
      <w:rFonts w:ascii="Times New Roman" w:cs="Times New Roman" w:eastAsia="Times New Roman" w:hAnsi="Times New Roman"/>
      <w:sz w:val="24"/>
      <w:szCs w:val="21"/>
      <w:lang w:val="en-US"/>
    </w:rPr>
  </w:style>
  <w:style w:styleId="TOC7" w:type="paragraph">
    <w:name w:val="toc 7"/>
    <w:basedOn w:val="Normal"/>
    <w:next w:val="Normal"/>
    <w:uiPriority w:val="39"/>
    <w:rsid w:val="00937DD7"/>
    <w:pPr>
      <w:spacing w:line="240" w:lineRule="auto"/>
      <w:ind w:left="1440"/>
    </w:pPr>
    <w:rPr>
      <w:rFonts w:ascii="Times New Roman" w:cs="Times New Roman" w:eastAsia="Times New Roman" w:hAnsi="Times New Roman"/>
      <w:sz w:val="24"/>
      <w:szCs w:val="21"/>
      <w:lang w:val="en-US"/>
    </w:rPr>
  </w:style>
  <w:style w:styleId="TOC8" w:type="paragraph">
    <w:name w:val="toc 8"/>
    <w:basedOn w:val="Normal"/>
    <w:next w:val="Normal"/>
    <w:uiPriority w:val="39"/>
    <w:rsid w:val="00937DD7"/>
    <w:pPr>
      <w:spacing w:line="240" w:lineRule="auto"/>
      <w:ind w:left="1680"/>
    </w:pPr>
    <w:rPr>
      <w:rFonts w:ascii="Times New Roman" w:cs="Times New Roman" w:eastAsia="Times New Roman" w:hAnsi="Times New Roman"/>
      <w:sz w:val="24"/>
      <w:szCs w:val="21"/>
      <w:lang w:val="en-US"/>
    </w:rPr>
  </w:style>
  <w:style w:styleId="TOC9" w:type="paragraph">
    <w:name w:val="toc 9"/>
    <w:basedOn w:val="Normal"/>
    <w:next w:val="Normal"/>
    <w:uiPriority w:val="39"/>
    <w:rsid w:val="00937DD7"/>
    <w:pPr>
      <w:spacing w:line="240" w:lineRule="auto"/>
      <w:ind w:left="1920"/>
    </w:pPr>
    <w:rPr>
      <w:rFonts w:ascii="Times New Roman" w:cs="Times New Roman" w:eastAsia="Times New Roman" w:hAnsi="Times New Roman"/>
      <w:sz w:val="24"/>
      <w:szCs w:val="21"/>
      <w:lang w:val="en-US"/>
    </w:rPr>
  </w:style>
  <w:style w:customStyle="1" w:styleId="ContentRef" w:type="paragraph">
    <w:name w:val="Content Ref"/>
    <w:basedOn w:val="Normal"/>
    <w:rsid w:val="00937DD7"/>
    <w:pPr>
      <w:tabs>
        <w:tab w:leader="dot" w:pos="7370" w:val="right"/>
        <w:tab w:pos="9071" w:val="right"/>
      </w:tabs>
      <w:spacing w:before="360" w:line="240" w:lineRule="auto"/>
      <w:jc w:val="right"/>
    </w:pPr>
    <w:rPr>
      <w:rFonts w:ascii="Times New Roman" w:cs="Times New Roman" w:eastAsia="Times New Roman" w:hAnsi="Times New Roman"/>
      <w:i/>
      <w:iCs/>
      <w:szCs w:val="22"/>
      <w:lang w:val="en-US"/>
    </w:rPr>
  </w:style>
  <w:style w:customStyle="1" w:styleId="Content" w:type="paragraph">
    <w:name w:val="Content"/>
    <w:rsid w:val="00937DD7"/>
    <w:pPr>
      <w:spacing w:after="120" w:before="360" w:line="240" w:lineRule="auto"/>
      <w:ind w:right="567"/>
    </w:pPr>
    <w:rPr>
      <w:rFonts w:ascii="Arial" w:cs="Times New Roman" w:eastAsia="Times New Roman" w:hAnsi="Arial"/>
      <w:b/>
      <w:bCs/>
      <w:i/>
      <w:iCs/>
      <w:szCs w:val="24"/>
      <w:lang w:val="en-US"/>
    </w:rPr>
  </w:style>
  <w:style w:styleId="BlockText" w:type="paragraph">
    <w:name w:val="Block Text"/>
    <w:basedOn w:val="Normal"/>
    <w:rsid w:val="00937DD7"/>
    <w:pPr>
      <w:spacing w:line="240" w:lineRule="auto"/>
      <w:ind w:left="1440" w:right="1440"/>
    </w:pPr>
    <w:rPr>
      <w:rFonts w:ascii="Times New Roman" w:cs="Times New Roman" w:eastAsia="Times New Roman" w:hAnsi="Times New Roman"/>
      <w:sz w:val="24"/>
      <w:szCs w:val="24"/>
      <w:lang w:val="en-US"/>
    </w:rPr>
  </w:style>
  <w:style w:customStyle="1" w:styleId="TableHeader" w:type="paragraph">
    <w:name w:val="TableHeader"/>
    <w:basedOn w:val="TableBody"/>
    <w:rsid w:val="00937DD7"/>
    <w:rPr>
      <w:rFonts w:cs="Times New Roman" w:eastAsia="Times New Roman"/>
      <w:b/>
      <w:szCs w:val="22"/>
      <w:lang w:val="en-US"/>
    </w:rPr>
  </w:style>
  <w:style w:customStyle="1" w:styleId="ReportTitle0" w:type="paragraph">
    <w:name w:val="Report Title"/>
    <w:basedOn w:val="Title"/>
    <w:rsid w:val="00937DD7"/>
    <w:pPr>
      <w:spacing w:after="240" w:before="240"/>
    </w:pPr>
    <w:rPr>
      <w:bCs w:val="0"/>
      <w:sz w:val="28"/>
    </w:rPr>
  </w:style>
  <w:style w:customStyle="1" w:styleId="QuestionTitle0" w:type="paragraph">
    <w:name w:val="Question Title"/>
    <w:rsid w:val="00937DD7"/>
    <w:pPr>
      <w:spacing w:after="0" w:line="240" w:lineRule="auto"/>
    </w:pPr>
    <w:rPr>
      <w:rFonts w:ascii="Arial" w:cs="Arial" w:eastAsia="Times New Roman" w:hAnsi="Arial"/>
      <w:sz w:val="24"/>
      <w:szCs w:val="20"/>
      <w:lang w:val="en-US"/>
    </w:rPr>
  </w:style>
  <w:style w:customStyle="1" w:styleId="IndentNonNumbered" w:type="paragraph">
    <w:name w:val="IndentNonNumbered"/>
    <w:basedOn w:val="NonNumbered"/>
    <w:rsid w:val="00937DD7"/>
    <w:pPr>
      <w:ind w:firstLine="454"/>
    </w:pPr>
    <w:rPr>
      <w:rFonts w:eastAsia="Times New Roman"/>
      <w:lang w:val="en-US"/>
    </w:rPr>
  </w:style>
  <w:style w:customStyle="1" w:styleId="AppendixIndent4" w:type="paragraph">
    <w:name w:val="AppendixIndent4"/>
    <w:basedOn w:val="AppendixIndent3"/>
    <w:rsid w:val="00937DD7"/>
    <w:pPr>
      <w:spacing w:after="240" w:before="240"/>
      <w:ind w:left="2949"/>
    </w:pPr>
    <w:rPr>
      <w:rFonts w:eastAsia="Times New Roman"/>
      <w:color w:val="auto"/>
      <w:szCs w:val="20"/>
      <w:lang w:val="en-US"/>
    </w:rPr>
  </w:style>
  <w:style w:customStyle="1" w:styleId="AppendixIndent5" w:type="paragraph">
    <w:name w:val="AppendixIndent5"/>
    <w:basedOn w:val="AppendixIndent4"/>
    <w:rsid w:val="00937DD7"/>
    <w:pPr>
      <w:ind w:left="3402"/>
    </w:pPr>
  </w:style>
  <w:style w:customStyle="1" w:styleId="AppendixIndentNonNumbered" w:type="paragraph">
    <w:name w:val="AppendixIndentNonNumbered"/>
    <w:basedOn w:val="NonNumbered"/>
    <w:rsid w:val="00937DD7"/>
    <w:pPr>
      <w:ind w:firstLine="454"/>
    </w:pPr>
    <w:rPr>
      <w:rFonts w:eastAsia="Times New Roman"/>
      <w:sz w:val="20"/>
      <w:szCs w:val="22"/>
      <w:lang w:val="en-US"/>
    </w:rPr>
  </w:style>
  <w:style w:customStyle="1" w:styleId="AppendixQuotationNumbered" w:type="paragraph">
    <w:name w:val="AppendixQuotationNumbered"/>
    <w:basedOn w:val="AppendixQuotation"/>
    <w:rsid w:val="00937DD7"/>
    <w:pPr>
      <w:spacing w:after="240" w:before="240"/>
      <w:ind w:hanging="454" w:left="2042"/>
    </w:pPr>
    <w:rPr>
      <w:rFonts w:cs="Arial" w:eastAsia="Times New Roman"/>
      <w:bCs/>
      <w:color w:val="auto"/>
      <w:sz w:val="18"/>
      <w:szCs w:val="22"/>
      <w:lang w:val="en-US"/>
    </w:rPr>
  </w:style>
  <w:style w:customStyle="1" w:styleId="AppendixQuotationTitle2" w:type="paragraph">
    <w:name w:val="AppendixQuotationTitle2"/>
    <w:basedOn w:val="QuotationTitle2"/>
    <w:rsid w:val="00937DD7"/>
    <w:rPr>
      <w:szCs w:val="20"/>
    </w:rPr>
  </w:style>
  <w:style w:customStyle="1" w:styleId="QuotationTitle2" w:type="paragraph">
    <w:name w:val="QuotationTitle2"/>
    <w:basedOn w:val="QuotationTitle"/>
    <w:rsid w:val="00937DD7"/>
    <w:pPr>
      <w:jc w:val="center"/>
    </w:pPr>
    <w:rPr>
      <w:rFonts w:cs="Arial" w:eastAsia="Times New Roman"/>
      <w:color w:val="auto"/>
      <w:lang w:val="en-US"/>
    </w:rPr>
  </w:style>
  <w:style w:customStyle="1" w:styleId="AppendixNonNumbered" w:type="paragraph">
    <w:name w:val="AppendixNonNumbered"/>
    <w:basedOn w:val="NonNumbered"/>
    <w:rsid w:val="00937DD7"/>
    <w:rPr>
      <w:rFonts w:eastAsia="Times New Roman"/>
      <w:sz w:val="20"/>
      <w:lang w:val="en-US"/>
    </w:rPr>
  </w:style>
  <w:style w:customStyle="1" w:styleId="AppendixNumbered" w:type="paragraph">
    <w:name w:val="AppendixNumbered"/>
    <w:basedOn w:val="Numbered"/>
    <w:rsid w:val="00937DD7"/>
    <w:pPr>
      <w:numPr>
        <w:numId w:val="0"/>
      </w:numPr>
      <w:tabs>
        <w:tab w:pos="1134" w:val="left"/>
      </w:tabs>
      <w:ind w:hanging="340" w:left="1134"/>
    </w:pPr>
    <w:rPr>
      <w:sz w:val="20"/>
    </w:rPr>
  </w:style>
  <w:style w:customStyle="1" w:styleId="AppendixHeading1" w:type="paragraph">
    <w:name w:val="AppendixHeading1"/>
    <w:basedOn w:val="Heading1"/>
    <w:next w:val="AppendixIndentNonNumbered"/>
    <w:rsid w:val="00937DD7"/>
    <w:pPr>
      <w:keepLines w:val="0"/>
      <w:tabs>
        <w:tab w:pos="680" w:val="left"/>
      </w:tabs>
      <w:spacing w:after="240"/>
      <w:ind w:right="2835"/>
      <w:outlineLvl w:val="9"/>
    </w:pPr>
    <w:rPr>
      <w:rFonts w:ascii="Arial" w:cs="Arial" w:eastAsia="Times New Roman" w:hAnsi="Arial"/>
      <w:b w:val="0"/>
      <w:bCs w:val="0"/>
      <w:color w:val="auto"/>
      <w:kern w:val="32"/>
      <w:sz w:val="28"/>
      <w:lang w:val="en-US"/>
    </w:rPr>
  </w:style>
  <w:style w:customStyle="1" w:styleId="AppendixHeading2" w:type="paragraph">
    <w:name w:val="AppendixHeading2"/>
    <w:basedOn w:val="AppendixHeading1"/>
    <w:next w:val="AppendixIndentNonNumbered"/>
    <w:rsid w:val="00937DD7"/>
    <w:pPr>
      <w:spacing w:before="360"/>
    </w:pPr>
    <w:rPr>
      <w:sz w:val="24"/>
    </w:rPr>
  </w:style>
  <w:style w:customStyle="1" w:styleId="AppendixHeading3" w:type="paragraph">
    <w:name w:val="AppendixHeading3"/>
    <w:basedOn w:val="AppendixHeading2"/>
    <w:next w:val="AppendixIndentNonNumbered"/>
    <w:rsid w:val="00937DD7"/>
    <w:pPr>
      <w:spacing w:before="240"/>
    </w:pPr>
    <w:rPr>
      <w:i/>
    </w:rPr>
  </w:style>
  <w:style w:customStyle="1" w:styleId="AppendixHeading4" w:type="paragraph">
    <w:name w:val="AppendixHeading4"/>
    <w:basedOn w:val="AppendixHeading3"/>
    <w:next w:val="AppendixIndentNonNumbered"/>
    <w:rsid w:val="00937DD7"/>
    <w:rPr>
      <w:b/>
      <w:i w:val="0"/>
      <w:sz w:val="22"/>
    </w:rPr>
  </w:style>
  <w:style w:customStyle="1" w:styleId="QuotationNumbered" w:type="paragraph">
    <w:name w:val="QuotationNumbered"/>
    <w:basedOn w:val="Quotation"/>
    <w:rsid w:val="00937DD7"/>
    <w:pPr>
      <w:spacing w:after="240" w:before="240"/>
      <w:ind w:hanging="454" w:left="2042" w:right="454"/>
    </w:pPr>
    <w:rPr>
      <w:rFonts w:ascii="Arial" w:cs="Arial" w:eastAsia="Times New Roman" w:hAnsi="Arial"/>
      <w:color w:val="auto"/>
      <w:lang w:val="en-US"/>
    </w:rPr>
  </w:style>
  <w:style w:customStyle="1" w:styleId="BoxIndent5" w:type="paragraph">
    <w:name w:val="BoxIndent5"/>
    <w:basedOn w:val="BoxIndent4"/>
    <w:rsid w:val="00937DD7"/>
    <w:pPr>
      <w:ind w:left="2268"/>
    </w:pPr>
    <w:rPr>
      <w:rFonts w:cs="Times New Roman" w:eastAsia="Times New Roman"/>
      <w:color w:val="auto"/>
      <w:lang w:val="en-US"/>
    </w:rPr>
  </w:style>
  <w:style w:customStyle="1" w:styleId="BoxIndentNonNumbered" w:type="paragraph">
    <w:name w:val="BoxIndentNonNumbered"/>
    <w:basedOn w:val="IndentNonNumbered"/>
    <w:rsid w:val="00937DD7"/>
    <w:pPr>
      <w:spacing w:after="120" w:before="120"/>
      <w:ind w:firstLine="397" w:left="170" w:right="170"/>
    </w:pPr>
    <w:rPr>
      <w:rFonts w:ascii="Arial Narrow" w:hAnsi="Arial Narrow"/>
      <w:sz w:val="19"/>
    </w:rPr>
  </w:style>
  <w:style w:customStyle="1" w:styleId="BoxNonNumbered" w:type="paragraph">
    <w:name w:val="BoxNonNumbered"/>
    <w:basedOn w:val="NonNumbered"/>
    <w:rsid w:val="00937DD7"/>
    <w:pPr>
      <w:spacing w:after="120" w:before="120"/>
      <w:ind w:left="567" w:right="170"/>
    </w:pPr>
    <w:rPr>
      <w:rFonts w:ascii="Arial Narrow" w:eastAsia="Times New Roman" w:hAnsi="Arial Narrow"/>
      <w:sz w:val="19"/>
      <w:lang w:val="en-US"/>
    </w:rPr>
  </w:style>
  <w:style w:customStyle="1" w:styleId="BoxNote" w:type="paragraph">
    <w:name w:val="BoxNote"/>
    <w:basedOn w:val="TableNoteSource"/>
    <w:rsid w:val="00937DD7"/>
    <w:pPr>
      <w:spacing w:after="120" w:before="240"/>
      <w:ind w:left="170" w:right="170"/>
    </w:pPr>
    <w:rPr>
      <w:rFonts w:cs="Times New Roman" w:eastAsia="Times New Roman"/>
      <w:szCs w:val="22"/>
      <w:lang w:val="en-US"/>
    </w:rPr>
  </w:style>
  <w:style w:customStyle="1" w:styleId="BoxNumbered" w:type="paragraph">
    <w:name w:val="BoxNumbered"/>
    <w:basedOn w:val="Numbered"/>
    <w:rsid w:val="00937DD7"/>
    <w:pPr>
      <w:numPr>
        <w:numId w:val="0"/>
      </w:numPr>
      <w:spacing w:after="120" w:before="120"/>
      <w:ind w:hanging="397" w:left="567" w:right="170"/>
    </w:pPr>
    <w:rPr>
      <w:rFonts w:ascii="Arial Narrow" w:hAnsi="Arial Narrow"/>
      <w:sz w:val="19"/>
    </w:rPr>
  </w:style>
  <w:style w:customStyle="1" w:styleId="HeadingIndent1" w:type="paragraph">
    <w:name w:val="HeadingIndent1"/>
    <w:basedOn w:val="Heading1"/>
    <w:next w:val="Numbered"/>
    <w:rsid w:val="00937DD7"/>
    <w:pPr>
      <w:keepLines w:val="0"/>
      <w:tabs>
        <w:tab w:pos="680" w:val="left"/>
      </w:tabs>
      <w:spacing w:after="240"/>
      <w:ind w:hanging="680" w:left="680" w:right="2835"/>
    </w:pPr>
    <w:rPr>
      <w:rFonts w:ascii="Arial" w:cs="Arial" w:eastAsia="Times New Roman" w:hAnsi="Arial"/>
      <w:b w:val="0"/>
      <w:bCs w:val="0"/>
      <w:color w:val="auto"/>
      <w:kern w:val="32"/>
      <w:sz w:val="28"/>
      <w:lang w:val="en-US"/>
    </w:rPr>
  </w:style>
  <w:style w:customStyle="1" w:styleId="HeadingIndent2" w:type="paragraph">
    <w:name w:val="HeadingIndent2"/>
    <w:basedOn w:val="HeadingIndent1"/>
    <w:next w:val="Numbered"/>
    <w:rsid w:val="00937DD7"/>
    <w:pPr>
      <w:outlineLvl w:val="1"/>
    </w:pPr>
    <w:rPr>
      <w:sz w:val="24"/>
    </w:rPr>
  </w:style>
  <w:style w:customStyle="1" w:styleId="HeadingIndent3" w:type="paragraph">
    <w:name w:val="HeadingIndent3"/>
    <w:basedOn w:val="HeadingIndent2"/>
    <w:next w:val="Numbered"/>
    <w:rsid w:val="00937DD7"/>
    <w:pPr>
      <w:spacing w:before="360"/>
      <w:outlineLvl w:val="2"/>
    </w:pPr>
    <w:rPr>
      <w:i/>
    </w:rPr>
  </w:style>
  <w:style w:customStyle="1" w:styleId="HeadingIndent4" w:type="paragraph">
    <w:name w:val="HeadingIndent4"/>
    <w:basedOn w:val="HeadingIndent3"/>
    <w:next w:val="Numbered"/>
    <w:rsid w:val="00937DD7"/>
    <w:pPr>
      <w:spacing w:before="240"/>
      <w:outlineLvl w:val="3"/>
    </w:pPr>
    <w:rPr>
      <w:b/>
      <w:i w:val="0"/>
      <w:sz w:val="22"/>
    </w:rPr>
  </w:style>
  <w:style w:customStyle="1" w:styleId="HeadingIndent5" w:type="paragraph">
    <w:name w:val="HeadingIndent5"/>
    <w:basedOn w:val="HeadingIndent4"/>
    <w:next w:val="Numbered"/>
    <w:rsid w:val="00663C88"/>
    <w:pPr>
      <w:spacing w:after="60" w:before="120"/>
      <w:outlineLvl w:val="4"/>
    </w:pPr>
    <w:rPr>
      <w:rFonts w:ascii="Overpass" w:hAnsi="Overpass"/>
      <w:i/>
    </w:rPr>
  </w:style>
  <w:style w:customStyle="1" w:styleId="AppendixHeadingIndent1" w:type="paragraph">
    <w:name w:val="AppendixHeadingIndent1"/>
    <w:next w:val="AppendixIndentNonNumbered"/>
    <w:rsid w:val="00937DD7"/>
    <w:pPr>
      <w:keepNext/>
      <w:spacing w:after="240" w:before="480" w:line="240" w:lineRule="auto"/>
      <w:ind w:hanging="680" w:left="680" w:right="2835"/>
    </w:pPr>
    <w:rPr>
      <w:rFonts w:ascii="Arial" w:cs="Times New Roman" w:eastAsia="Times New Roman" w:hAnsi="Arial"/>
      <w:b/>
      <w:sz w:val="28"/>
      <w:szCs w:val="20"/>
      <w:lang w:val="en-US"/>
    </w:rPr>
  </w:style>
  <w:style w:customStyle="1" w:styleId="AppendixHeadingIndent2" w:type="paragraph">
    <w:name w:val="AppendixHeadingIndent2"/>
    <w:basedOn w:val="AppendixHeadingIndent1"/>
    <w:next w:val="AppendixIndentNonNumbered"/>
    <w:rsid w:val="00937DD7"/>
    <w:pPr>
      <w:spacing w:before="360"/>
    </w:pPr>
    <w:rPr>
      <w:sz w:val="24"/>
    </w:rPr>
  </w:style>
  <w:style w:customStyle="1" w:styleId="AppendixHeadingIndent3" w:type="paragraph">
    <w:name w:val="AppendixHeadingIndent3"/>
    <w:basedOn w:val="AppendixHeadingIndent2"/>
    <w:next w:val="AppendixIndentNonNumbered"/>
    <w:rsid w:val="00937DD7"/>
    <w:pPr>
      <w:spacing w:before="240"/>
    </w:pPr>
    <w:rPr>
      <w:i/>
    </w:rPr>
  </w:style>
  <w:style w:customStyle="1" w:styleId="AppendixHeadingIndent4" w:type="paragraph">
    <w:name w:val="AppendixHeadingIndent4"/>
    <w:basedOn w:val="AppendixHeadingIndent3"/>
    <w:next w:val="AppendixIndentNonNumbered"/>
    <w:rsid w:val="00937DD7"/>
    <w:rPr>
      <w:b w:val="0"/>
      <w:i w:val="0"/>
      <w:sz w:val="22"/>
    </w:rPr>
  </w:style>
  <w:style w:customStyle="1" w:styleId="TableHeaderNumber" w:type="paragraph">
    <w:name w:val="TableHeaderNumber"/>
    <w:basedOn w:val="TableHeader"/>
    <w:rsid w:val="00937DD7"/>
    <w:pPr>
      <w:jc w:val="right"/>
    </w:pPr>
  </w:style>
  <w:style w:customStyle="1" w:styleId="TableBodyIndent1" w:type="paragraph">
    <w:name w:val="TableBodyIndent1"/>
    <w:basedOn w:val="TableBody"/>
    <w:rsid w:val="00937DD7"/>
    <w:pPr>
      <w:spacing w:after="60" w:before="60"/>
      <w:ind w:hanging="227" w:left="227"/>
    </w:pPr>
    <w:rPr>
      <w:rFonts w:cs="Times New Roman" w:eastAsia="Times New Roman"/>
      <w:szCs w:val="22"/>
      <w:lang w:val="en-US"/>
    </w:rPr>
  </w:style>
  <w:style w:customStyle="1" w:styleId="TableBodyIndent2" w:type="paragraph">
    <w:name w:val="TableBodyIndent2"/>
    <w:basedOn w:val="TableBodyIndent1"/>
    <w:rsid w:val="00937DD7"/>
    <w:pPr>
      <w:ind w:left="454"/>
    </w:pPr>
  </w:style>
  <w:style w:styleId="BodyText" w:type="paragraph">
    <w:name w:val="Body Text"/>
    <w:basedOn w:val="Normal"/>
    <w:link w:val="BodyTextChar"/>
    <w:rsid w:val="00937DD7"/>
    <w:pPr>
      <w:spacing w:line="240" w:lineRule="auto"/>
    </w:pPr>
    <w:rPr>
      <w:rFonts w:ascii="Times New Roman" w:cs="Times New Roman" w:eastAsia="Times New Roman" w:hAnsi="Times New Roman"/>
      <w:sz w:val="24"/>
      <w:szCs w:val="24"/>
      <w:lang w:val="en-US"/>
    </w:rPr>
  </w:style>
  <w:style w:customStyle="1" w:styleId="BodyTextChar" w:type="character">
    <w:name w:val="Body Text Char"/>
    <w:basedOn w:val="DefaultParagraphFont"/>
    <w:link w:val="BodyText"/>
    <w:rsid w:val="00937DD7"/>
    <w:rPr>
      <w:rFonts w:ascii="Times New Roman" w:cs="Times New Roman" w:eastAsia="Times New Roman" w:hAnsi="Times New Roman"/>
      <w:sz w:val="24"/>
      <w:szCs w:val="24"/>
      <w:lang w:val="en-US"/>
    </w:rPr>
  </w:style>
  <w:style w:styleId="BodyText2" w:type="paragraph">
    <w:name w:val="Body Text 2"/>
    <w:basedOn w:val="Normal"/>
    <w:link w:val="BodyText2Char"/>
    <w:rsid w:val="00937DD7"/>
    <w:pPr>
      <w:spacing w:line="480" w:lineRule="auto"/>
    </w:pPr>
    <w:rPr>
      <w:rFonts w:ascii="Times New Roman" w:cs="Times New Roman" w:eastAsia="Times New Roman" w:hAnsi="Times New Roman"/>
      <w:sz w:val="24"/>
      <w:szCs w:val="24"/>
      <w:lang w:val="en-US"/>
    </w:rPr>
  </w:style>
  <w:style w:customStyle="1" w:styleId="BodyText2Char" w:type="character">
    <w:name w:val="Body Text 2 Char"/>
    <w:basedOn w:val="DefaultParagraphFont"/>
    <w:link w:val="BodyText2"/>
    <w:rsid w:val="00937DD7"/>
    <w:rPr>
      <w:rFonts w:ascii="Times New Roman" w:cs="Times New Roman" w:eastAsia="Times New Roman" w:hAnsi="Times New Roman"/>
      <w:sz w:val="24"/>
      <w:szCs w:val="24"/>
      <w:lang w:val="en-US"/>
    </w:rPr>
  </w:style>
  <w:style w:styleId="BodyText3" w:type="paragraph">
    <w:name w:val="Body Text 3"/>
    <w:basedOn w:val="Normal"/>
    <w:link w:val="BodyText3Char"/>
    <w:rsid w:val="00937DD7"/>
    <w:pPr>
      <w:spacing w:line="240" w:lineRule="auto"/>
    </w:pPr>
    <w:rPr>
      <w:rFonts w:ascii="Times New Roman" w:cs="Times New Roman" w:eastAsia="Times New Roman" w:hAnsi="Times New Roman"/>
      <w:szCs w:val="16"/>
      <w:lang w:val="en-US"/>
    </w:rPr>
  </w:style>
  <w:style w:customStyle="1" w:styleId="BodyText3Char" w:type="character">
    <w:name w:val="Body Text 3 Char"/>
    <w:basedOn w:val="DefaultParagraphFont"/>
    <w:link w:val="BodyText3"/>
    <w:rsid w:val="00937DD7"/>
    <w:rPr>
      <w:rFonts w:ascii="Times New Roman" w:cs="Times New Roman" w:eastAsia="Times New Roman" w:hAnsi="Times New Roman"/>
      <w:sz w:val="16"/>
      <w:szCs w:val="16"/>
      <w:lang w:val="en-US"/>
    </w:rPr>
  </w:style>
  <w:style w:styleId="BodyTextFirstIndent" w:type="paragraph">
    <w:name w:val="Body Text First Indent"/>
    <w:basedOn w:val="BodyText"/>
    <w:link w:val="BodyTextFirstIndentChar"/>
    <w:rsid w:val="00937DD7"/>
    <w:pPr>
      <w:ind w:firstLine="210"/>
    </w:pPr>
  </w:style>
  <w:style w:customStyle="1" w:styleId="BodyTextFirstIndentChar" w:type="character">
    <w:name w:val="Body Text First Indent Char"/>
    <w:basedOn w:val="BodyTextChar"/>
    <w:link w:val="BodyTextFirstIndent"/>
    <w:rsid w:val="00937DD7"/>
    <w:rPr>
      <w:rFonts w:ascii="Times New Roman" w:cs="Times New Roman" w:eastAsia="Times New Roman" w:hAnsi="Times New Roman"/>
      <w:sz w:val="24"/>
      <w:szCs w:val="24"/>
      <w:lang w:val="en-US"/>
    </w:rPr>
  </w:style>
  <w:style w:styleId="BodyTextIndent" w:type="paragraph">
    <w:name w:val="Body Text Indent"/>
    <w:basedOn w:val="Normal"/>
    <w:link w:val="BodyTextIndentChar"/>
    <w:uiPriority w:val="99"/>
    <w:rsid w:val="00937DD7"/>
    <w:pPr>
      <w:spacing w:line="240" w:lineRule="auto"/>
      <w:ind w:left="283"/>
    </w:pPr>
    <w:rPr>
      <w:rFonts w:ascii="Times New Roman" w:cs="Times New Roman" w:eastAsia="Times New Roman" w:hAnsi="Times New Roman"/>
      <w:sz w:val="24"/>
      <w:szCs w:val="24"/>
      <w:lang w:val="en-US"/>
    </w:rPr>
  </w:style>
  <w:style w:customStyle="1" w:styleId="BodyTextIndentChar" w:type="character">
    <w:name w:val="Body Text Indent Char"/>
    <w:basedOn w:val="DefaultParagraphFont"/>
    <w:link w:val="BodyTextIndent"/>
    <w:uiPriority w:val="99"/>
    <w:rsid w:val="00937DD7"/>
    <w:rPr>
      <w:rFonts w:ascii="Times New Roman" w:cs="Times New Roman" w:eastAsia="Times New Roman" w:hAnsi="Times New Roman"/>
      <w:sz w:val="24"/>
      <w:szCs w:val="24"/>
      <w:lang w:val="en-US"/>
    </w:rPr>
  </w:style>
  <w:style w:styleId="BodyTextFirstIndent2" w:type="paragraph">
    <w:name w:val="Body Text First Indent 2"/>
    <w:basedOn w:val="BodyTextIndent"/>
    <w:link w:val="BodyTextFirstIndent2Char"/>
    <w:rsid w:val="00937DD7"/>
    <w:pPr>
      <w:ind w:firstLine="210"/>
    </w:pPr>
  </w:style>
  <w:style w:customStyle="1" w:styleId="BodyTextFirstIndent2Char" w:type="character">
    <w:name w:val="Body Text First Indent 2 Char"/>
    <w:basedOn w:val="BodyTextIndentChar"/>
    <w:link w:val="BodyTextFirstIndent2"/>
    <w:rsid w:val="00937DD7"/>
    <w:rPr>
      <w:rFonts w:ascii="Times New Roman" w:cs="Times New Roman" w:eastAsia="Times New Roman" w:hAnsi="Times New Roman"/>
      <w:sz w:val="24"/>
      <w:szCs w:val="24"/>
      <w:lang w:val="en-US"/>
    </w:rPr>
  </w:style>
  <w:style w:styleId="BodyTextIndent2" w:type="paragraph">
    <w:name w:val="Body Text Indent 2"/>
    <w:basedOn w:val="Normal"/>
    <w:link w:val="BodyTextIndent2Char"/>
    <w:rsid w:val="00937DD7"/>
    <w:pPr>
      <w:spacing w:line="480" w:lineRule="auto"/>
      <w:ind w:left="283"/>
    </w:pPr>
    <w:rPr>
      <w:rFonts w:ascii="Times New Roman" w:cs="Times New Roman" w:eastAsia="Times New Roman" w:hAnsi="Times New Roman"/>
      <w:sz w:val="24"/>
      <w:szCs w:val="24"/>
      <w:lang w:val="en-US"/>
    </w:rPr>
  </w:style>
  <w:style w:customStyle="1" w:styleId="BodyTextIndent2Char" w:type="character">
    <w:name w:val="Body Text Indent 2 Char"/>
    <w:basedOn w:val="DefaultParagraphFont"/>
    <w:link w:val="BodyTextIndent2"/>
    <w:rsid w:val="00937DD7"/>
    <w:rPr>
      <w:rFonts w:ascii="Times New Roman" w:cs="Times New Roman" w:eastAsia="Times New Roman" w:hAnsi="Times New Roman"/>
      <w:sz w:val="24"/>
      <w:szCs w:val="24"/>
      <w:lang w:val="en-US"/>
    </w:rPr>
  </w:style>
  <w:style w:styleId="BodyTextIndent3" w:type="paragraph">
    <w:name w:val="Body Text Indent 3"/>
    <w:basedOn w:val="Normal"/>
    <w:link w:val="BodyTextIndent3Char"/>
    <w:rsid w:val="00937DD7"/>
    <w:pPr>
      <w:spacing w:line="240" w:lineRule="auto"/>
      <w:ind w:left="283"/>
    </w:pPr>
    <w:rPr>
      <w:rFonts w:ascii="Times New Roman" w:cs="Times New Roman" w:eastAsia="Times New Roman" w:hAnsi="Times New Roman"/>
      <w:szCs w:val="16"/>
      <w:lang w:val="en-US"/>
    </w:rPr>
  </w:style>
  <w:style w:customStyle="1" w:styleId="BodyTextIndent3Char" w:type="character">
    <w:name w:val="Body Text Indent 3 Char"/>
    <w:basedOn w:val="DefaultParagraphFont"/>
    <w:link w:val="BodyTextIndent3"/>
    <w:rsid w:val="00937DD7"/>
    <w:rPr>
      <w:rFonts w:ascii="Times New Roman" w:cs="Times New Roman" w:eastAsia="Times New Roman" w:hAnsi="Times New Roman"/>
      <w:sz w:val="16"/>
      <w:szCs w:val="16"/>
      <w:lang w:val="en-US"/>
    </w:rPr>
  </w:style>
  <w:style w:styleId="Closing" w:type="paragraph">
    <w:name w:val="Closing"/>
    <w:basedOn w:val="Normal"/>
    <w:link w:val="ClosingChar"/>
    <w:rsid w:val="00937DD7"/>
    <w:pPr>
      <w:spacing w:line="240" w:lineRule="auto"/>
      <w:ind w:left="4252"/>
    </w:pPr>
    <w:rPr>
      <w:rFonts w:ascii="Times New Roman" w:cs="Times New Roman" w:eastAsia="Times New Roman" w:hAnsi="Times New Roman"/>
      <w:sz w:val="24"/>
      <w:szCs w:val="24"/>
      <w:lang w:val="en-US"/>
    </w:rPr>
  </w:style>
  <w:style w:customStyle="1" w:styleId="ClosingChar" w:type="character">
    <w:name w:val="Closing Char"/>
    <w:basedOn w:val="DefaultParagraphFont"/>
    <w:link w:val="Closing"/>
    <w:rsid w:val="00937DD7"/>
    <w:rPr>
      <w:rFonts w:ascii="Times New Roman" w:cs="Times New Roman" w:eastAsia="Times New Roman" w:hAnsi="Times New Roman"/>
      <w:sz w:val="24"/>
      <w:szCs w:val="24"/>
      <w:lang w:val="en-US"/>
    </w:rPr>
  </w:style>
  <w:style w:styleId="Date" w:type="paragraph">
    <w:name w:val="Date"/>
    <w:basedOn w:val="Normal"/>
    <w:next w:val="Normal"/>
    <w:link w:val="DateChar"/>
    <w:rsid w:val="00937DD7"/>
    <w:pPr>
      <w:spacing w:line="240" w:lineRule="auto"/>
    </w:pPr>
    <w:rPr>
      <w:rFonts w:ascii="Times New Roman" w:cs="Times New Roman" w:eastAsia="Times New Roman" w:hAnsi="Times New Roman"/>
      <w:sz w:val="24"/>
      <w:szCs w:val="24"/>
      <w:lang w:val="en-US"/>
    </w:rPr>
  </w:style>
  <w:style w:customStyle="1" w:styleId="DateChar" w:type="character">
    <w:name w:val="Date Char"/>
    <w:basedOn w:val="DefaultParagraphFont"/>
    <w:link w:val="Date"/>
    <w:rsid w:val="00937DD7"/>
    <w:rPr>
      <w:rFonts w:ascii="Times New Roman" w:cs="Times New Roman" w:eastAsia="Times New Roman" w:hAnsi="Times New Roman"/>
      <w:sz w:val="24"/>
      <w:szCs w:val="24"/>
      <w:lang w:val="en-US"/>
    </w:rPr>
  </w:style>
  <w:style w:styleId="DocumentMap" w:type="paragraph">
    <w:name w:val="Document Map"/>
    <w:basedOn w:val="Normal"/>
    <w:link w:val="DocumentMapChar"/>
    <w:semiHidden/>
    <w:rsid w:val="00937DD7"/>
    <w:pPr>
      <w:shd w:color="auto" w:fill="000080" w:val="clear"/>
      <w:spacing w:line="240" w:lineRule="auto"/>
    </w:pPr>
    <w:rPr>
      <w:rFonts w:ascii="Tahoma" w:cs="Tahoma" w:eastAsia="Times New Roman" w:hAnsi="Tahoma"/>
      <w:sz w:val="24"/>
      <w:szCs w:val="24"/>
      <w:lang w:val="en-US"/>
    </w:rPr>
  </w:style>
  <w:style w:customStyle="1" w:styleId="DocumentMapChar" w:type="character">
    <w:name w:val="Document Map Char"/>
    <w:basedOn w:val="DefaultParagraphFont"/>
    <w:link w:val="DocumentMap"/>
    <w:semiHidden/>
    <w:rsid w:val="00937DD7"/>
    <w:rPr>
      <w:rFonts w:ascii="Tahoma" w:cs="Tahoma" w:eastAsia="Times New Roman" w:hAnsi="Tahoma"/>
      <w:sz w:val="24"/>
      <w:szCs w:val="24"/>
      <w:shd w:color="auto" w:fill="000080" w:val="clear"/>
      <w:lang w:val="en-US"/>
    </w:rPr>
  </w:style>
  <w:style w:customStyle="1" w:styleId="SignatureE-mail" w:type="paragraph">
    <w:name w:val="Signature E-mail"/>
    <w:basedOn w:val="Normal"/>
    <w:rsid w:val="00937DD7"/>
    <w:pPr>
      <w:spacing w:line="240" w:lineRule="auto"/>
    </w:pPr>
    <w:rPr>
      <w:rFonts w:ascii="Times New Roman" w:cs="Times New Roman" w:eastAsia="Times New Roman" w:hAnsi="Times New Roman"/>
      <w:sz w:val="24"/>
      <w:szCs w:val="24"/>
      <w:lang w:val="en-US"/>
    </w:rPr>
  </w:style>
  <w:style w:styleId="Emphasis" w:type="character">
    <w:name w:val="Emphasis"/>
    <w:basedOn w:val="DefaultParagraphFont"/>
    <w:qFormat/>
    <w:rsid w:val="00937DD7"/>
    <w:rPr>
      <w:i/>
      <w:iCs/>
      <w:lang w:val="en-US"/>
    </w:rPr>
  </w:style>
  <w:style w:styleId="EndnoteReference" w:type="character">
    <w:name w:val="endnote reference"/>
    <w:basedOn w:val="DefaultParagraphFont"/>
    <w:semiHidden/>
    <w:rsid w:val="00937DD7"/>
    <w:rPr>
      <w:vertAlign w:val="superscript"/>
      <w:lang w:val="en-US"/>
    </w:rPr>
  </w:style>
  <w:style w:styleId="EndnoteText" w:type="paragraph">
    <w:name w:val="endnote text"/>
    <w:basedOn w:val="Normal"/>
    <w:link w:val="EndnoteTextChar"/>
    <w:semiHidden/>
    <w:rsid w:val="00937DD7"/>
    <w:pPr>
      <w:spacing w:line="240" w:lineRule="auto"/>
    </w:pPr>
    <w:rPr>
      <w:rFonts w:ascii="Times New Roman" w:cs="Times New Roman" w:eastAsia="Times New Roman" w:hAnsi="Times New Roman"/>
      <w:szCs w:val="20"/>
      <w:lang w:val="en-US"/>
    </w:rPr>
  </w:style>
  <w:style w:customStyle="1" w:styleId="EndnoteTextChar" w:type="character">
    <w:name w:val="Endnote Text Char"/>
    <w:basedOn w:val="DefaultParagraphFont"/>
    <w:link w:val="EndnoteText"/>
    <w:semiHidden/>
    <w:rsid w:val="00937DD7"/>
    <w:rPr>
      <w:rFonts w:ascii="Times New Roman" w:cs="Times New Roman" w:eastAsia="Times New Roman" w:hAnsi="Times New Roman"/>
      <w:sz w:val="20"/>
      <w:szCs w:val="20"/>
      <w:lang w:val="en-US"/>
    </w:rPr>
  </w:style>
  <w:style w:styleId="EnvelopeAddress" w:type="paragraph">
    <w:name w:val="envelope address"/>
    <w:basedOn w:val="Normal"/>
    <w:rsid w:val="00937DD7"/>
    <w:pPr>
      <w:framePr w:h="1980" w:hAnchor="page" w:hRule="exact" w:hSpace="180" w:w="7920" w:wrap="auto" w:xAlign="center" w:yAlign="bottom"/>
      <w:spacing w:line="240" w:lineRule="auto"/>
      <w:ind w:left="2880"/>
    </w:pPr>
    <w:rPr>
      <w:rFonts w:ascii="Arial" w:cs="Arial" w:eastAsia="Times New Roman" w:hAnsi="Arial"/>
      <w:sz w:val="24"/>
      <w:szCs w:val="24"/>
      <w:lang w:val="en-US"/>
    </w:rPr>
  </w:style>
  <w:style w:styleId="EnvelopeReturn" w:type="paragraph">
    <w:name w:val="envelope return"/>
    <w:basedOn w:val="Normal"/>
    <w:rsid w:val="00937DD7"/>
    <w:pPr>
      <w:spacing w:line="240" w:lineRule="auto"/>
    </w:pPr>
    <w:rPr>
      <w:rFonts w:ascii="Arial" w:cs="Arial" w:eastAsia="Times New Roman" w:hAnsi="Arial"/>
      <w:szCs w:val="20"/>
      <w:lang w:val="en-US"/>
    </w:rPr>
  </w:style>
  <w:style w:styleId="FollowedHyperlink" w:type="character">
    <w:name w:val="FollowedHyperlink"/>
    <w:basedOn w:val="DefaultParagraphFont"/>
    <w:rsid w:val="00937DD7"/>
    <w:rPr>
      <w:color w:val="800080"/>
      <w:u w:val="single"/>
      <w:lang w:val="en-US"/>
    </w:rPr>
  </w:style>
  <w:style w:styleId="HTMLAcronym" w:type="character">
    <w:name w:val="HTML Acronym"/>
    <w:basedOn w:val="DefaultParagraphFont"/>
    <w:rsid w:val="00937DD7"/>
    <w:rPr>
      <w:lang w:val="en-US"/>
    </w:rPr>
  </w:style>
  <w:style w:styleId="HTMLAddress" w:type="paragraph">
    <w:name w:val="HTML Address"/>
    <w:basedOn w:val="Normal"/>
    <w:link w:val="HTMLAddressChar"/>
    <w:rsid w:val="00937DD7"/>
    <w:pPr>
      <w:spacing w:line="240" w:lineRule="auto"/>
    </w:pPr>
    <w:rPr>
      <w:rFonts w:ascii="Times New Roman" w:cs="Times New Roman" w:eastAsia="Times New Roman" w:hAnsi="Times New Roman"/>
      <w:i/>
      <w:iCs/>
      <w:sz w:val="24"/>
      <w:szCs w:val="24"/>
      <w:lang w:val="en-US"/>
    </w:rPr>
  </w:style>
  <w:style w:customStyle="1" w:styleId="HTMLAddressChar" w:type="character">
    <w:name w:val="HTML Address Char"/>
    <w:basedOn w:val="DefaultParagraphFont"/>
    <w:link w:val="HTMLAddress"/>
    <w:rsid w:val="00937DD7"/>
    <w:rPr>
      <w:rFonts w:ascii="Times New Roman" w:cs="Times New Roman" w:eastAsia="Times New Roman" w:hAnsi="Times New Roman"/>
      <w:i/>
      <w:iCs/>
      <w:sz w:val="24"/>
      <w:szCs w:val="24"/>
      <w:lang w:val="en-US"/>
    </w:rPr>
  </w:style>
  <w:style w:styleId="HTMLCite" w:type="character">
    <w:name w:val="HTML Cite"/>
    <w:basedOn w:val="DefaultParagraphFont"/>
    <w:rsid w:val="00937DD7"/>
    <w:rPr>
      <w:i/>
      <w:iCs/>
      <w:lang w:val="en-US"/>
    </w:rPr>
  </w:style>
  <w:style w:styleId="HTMLCode" w:type="character">
    <w:name w:val="HTML Code"/>
    <w:basedOn w:val="DefaultParagraphFont"/>
    <w:rsid w:val="00937DD7"/>
    <w:rPr>
      <w:rFonts w:ascii="Courier New" w:hAnsi="Courier New"/>
      <w:sz w:val="20"/>
      <w:szCs w:val="20"/>
      <w:lang w:val="en-US"/>
    </w:rPr>
  </w:style>
  <w:style w:styleId="HTMLDefinition" w:type="character">
    <w:name w:val="HTML Definition"/>
    <w:basedOn w:val="DefaultParagraphFont"/>
    <w:rsid w:val="00937DD7"/>
    <w:rPr>
      <w:i/>
      <w:iCs/>
      <w:lang w:val="en-US"/>
    </w:rPr>
  </w:style>
  <w:style w:styleId="HTMLKeyboard" w:type="character">
    <w:name w:val="HTML Keyboard"/>
    <w:basedOn w:val="DefaultParagraphFont"/>
    <w:rsid w:val="00937DD7"/>
    <w:rPr>
      <w:rFonts w:ascii="Courier New" w:hAnsi="Courier New"/>
      <w:sz w:val="20"/>
      <w:szCs w:val="20"/>
      <w:lang w:val="en-US"/>
    </w:rPr>
  </w:style>
  <w:style w:styleId="HTMLPreformatted" w:type="paragraph">
    <w:name w:val="HTML Preformatted"/>
    <w:basedOn w:val="Normal"/>
    <w:link w:val="HTMLPreformattedChar"/>
    <w:rsid w:val="00937DD7"/>
    <w:pPr>
      <w:spacing w:line="240" w:lineRule="auto"/>
    </w:pPr>
    <w:rPr>
      <w:rFonts w:ascii="Courier New" w:cs="Courier New" w:eastAsia="Times New Roman" w:hAnsi="Courier New"/>
      <w:szCs w:val="20"/>
      <w:lang w:val="en-US"/>
    </w:rPr>
  </w:style>
  <w:style w:customStyle="1" w:styleId="HTMLPreformattedChar" w:type="character">
    <w:name w:val="HTML Preformatted Char"/>
    <w:basedOn w:val="DefaultParagraphFont"/>
    <w:link w:val="HTMLPreformatted"/>
    <w:rsid w:val="00937DD7"/>
    <w:rPr>
      <w:rFonts w:ascii="Courier New" w:cs="Courier New" w:eastAsia="Times New Roman" w:hAnsi="Courier New"/>
      <w:sz w:val="20"/>
      <w:szCs w:val="20"/>
      <w:lang w:val="en-US"/>
    </w:rPr>
  </w:style>
  <w:style w:styleId="HTMLSample" w:type="character">
    <w:name w:val="HTML Sample"/>
    <w:basedOn w:val="DefaultParagraphFont"/>
    <w:rsid w:val="00937DD7"/>
    <w:rPr>
      <w:rFonts w:ascii="Courier New" w:hAnsi="Courier New"/>
      <w:lang w:val="en-US"/>
    </w:rPr>
  </w:style>
  <w:style w:styleId="HTMLTypewriter" w:type="character">
    <w:name w:val="HTML Typewriter"/>
    <w:basedOn w:val="DefaultParagraphFont"/>
    <w:rsid w:val="00937DD7"/>
    <w:rPr>
      <w:rFonts w:ascii="Courier New" w:hAnsi="Courier New"/>
      <w:sz w:val="20"/>
      <w:szCs w:val="20"/>
      <w:lang w:val="en-US"/>
    </w:rPr>
  </w:style>
  <w:style w:styleId="HTMLVariable" w:type="character">
    <w:name w:val="HTML Variable"/>
    <w:basedOn w:val="DefaultParagraphFont"/>
    <w:rsid w:val="00937DD7"/>
    <w:rPr>
      <w:i/>
      <w:iCs/>
      <w:lang w:val="en-US"/>
    </w:rPr>
  </w:style>
  <w:style w:styleId="Index1" w:type="paragraph">
    <w:name w:val="index 1"/>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Index2" w:type="paragraph">
    <w:name w:val="index 2"/>
    <w:basedOn w:val="Normal"/>
    <w:next w:val="Normal"/>
    <w:semiHidden/>
    <w:rsid w:val="00937DD7"/>
    <w:pPr>
      <w:spacing w:line="240" w:lineRule="auto"/>
      <w:ind w:hanging="240" w:left="480"/>
    </w:pPr>
    <w:rPr>
      <w:rFonts w:ascii="Times New Roman" w:cs="Times New Roman" w:eastAsia="Times New Roman" w:hAnsi="Times New Roman"/>
      <w:sz w:val="24"/>
      <w:szCs w:val="24"/>
      <w:lang w:val="en-US"/>
    </w:rPr>
  </w:style>
  <w:style w:styleId="Index3" w:type="paragraph">
    <w:name w:val="index 3"/>
    <w:basedOn w:val="Normal"/>
    <w:next w:val="Normal"/>
    <w:semiHidden/>
    <w:rsid w:val="00937DD7"/>
    <w:pPr>
      <w:spacing w:line="240" w:lineRule="auto"/>
      <w:ind w:hanging="240" w:left="720"/>
    </w:pPr>
    <w:rPr>
      <w:rFonts w:ascii="Times New Roman" w:cs="Times New Roman" w:eastAsia="Times New Roman" w:hAnsi="Times New Roman"/>
      <w:sz w:val="24"/>
      <w:szCs w:val="24"/>
      <w:lang w:val="en-US"/>
    </w:rPr>
  </w:style>
  <w:style w:styleId="Index4" w:type="paragraph">
    <w:name w:val="index 4"/>
    <w:basedOn w:val="Normal"/>
    <w:next w:val="Normal"/>
    <w:semiHidden/>
    <w:rsid w:val="00937DD7"/>
    <w:pPr>
      <w:spacing w:line="240" w:lineRule="auto"/>
      <w:ind w:hanging="240" w:left="960"/>
    </w:pPr>
    <w:rPr>
      <w:rFonts w:ascii="Times New Roman" w:cs="Times New Roman" w:eastAsia="Times New Roman" w:hAnsi="Times New Roman"/>
      <w:sz w:val="24"/>
      <w:szCs w:val="24"/>
      <w:lang w:val="en-US"/>
    </w:rPr>
  </w:style>
  <w:style w:styleId="Index5" w:type="paragraph">
    <w:name w:val="index 5"/>
    <w:basedOn w:val="Normal"/>
    <w:next w:val="Normal"/>
    <w:semiHidden/>
    <w:rsid w:val="00937DD7"/>
    <w:pPr>
      <w:spacing w:line="240" w:lineRule="auto"/>
      <w:ind w:hanging="240" w:left="1200"/>
    </w:pPr>
    <w:rPr>
      <w:rFonts w:ascii="Times New Roman" w:cs="Times New Roman" w:eastAsia="Times New Roman" w:hAnsi="Times New Roman"/>
      <w:sz w:val="24"/>
      <w:szCs w:val="24"/>
      <w:lang w:val="en-US"/>
    </w:rPr>
  </w:style>
  <w:style w:styleId="Index6" w:type="paragraph">
    <w:name w:val="index 6"/>
    <w:basedOn w:val="Normal"/>
    <w:next w:val="Normal"/>
    <w:semiHidden/>
    <w:rsid w:val="00937DD7"/>
    <w:pPr>
      <w:spacing w:line="240" w:lineRule="auto"/>
      <w:ind w:hanging="240" w:left="1440"/>
    </w:pPr>
    <w:rPr>
      <w:rFonts w:ascii="Times New Roman" w:cs="Times New Roman" w:eastAsia="Times New Roman" w:hAnsi="Times New Roman"/>
      <w:sz w:val="24"/>
      <w:szCs w:val="24"/>
      <w:lang w:val="en-US"/>
    </w:rPr>
  </w:style>
  <w:style w:styleId="Index7" w:type="paragraph">
    <w:name w:val="index 7"/>
    <w:basedOn w:val="Normal"/>
    <w:next w:val="Normal"/>
    <w:semiHidden/>
    <w:rsid w:val="00937DD7"/>
    <w:pPr>
      <w:spacing w:line="240" w:lineRule="auto"/>
      <w:ind w:hanging="240" w:left="1680"/>
    </w:pPr>
    <w:rPr>
      <w:rFonts w:ascii="Times New Roman" w:cs="Times New Roman" w:eastAsia="Times New Roman" w:hAnsi="Times New Roman"/>
      <w:sz w:val="24"/>
      <w:szCs w:val="24"/>
      <w:lang w:val="en-US"/>
    </w:rPr>
  </w:style>
  <w:style w:styleId="Index8" w:type="paragraph">
    <w:name w:val="index 8"/>
    <w:basedOn w:val="Normal"/>
    <w:next w:val="Normal"/>
    <w:semiHidden/>
    <w:rsid w:val="00937DD7"/>
    <w:pPr>
      <w:spacing w:line="240" w:lineRule="auto"/>
      <w:ind w:hanging="240" w:left="1920"/>
    </w:pPr>
    <w:rPr>
      <w:rFonts w:ascii="Times New Roman" w:cs="Times New Roman" w:eastAsia="Times New Roman" w:hAnsi="Times New Roman"/>
      <w:sz w:val="24"/>
      <w:szCs w:val="24"/>
      <w:lang w:val="en-US"/>
    </w:rPr>
  </w:style>
  <w:style w:styleId="Index9" w:type="paragraph">
    <w:name w:val="index 9"/>
    <w:basedOn w:val="Normal"/>
    <w:next w:val="Normal"/>
    <w:semiHidden/>
    <w:rsid w:val="00937DD7"/>
    <w:pPr>
      <w:spacing w:line="240" w:lineRule="auto"/>
      <w:ind w:hanging="240" w:left="2160"/>
    </w:pPr>
    <w:rPr>
      <w:rFonts w:ascii="Times New Roman" w:cs="Times New Roman" w:eastAsia="Times New Roman" w:hAnsi="Times New Roman"/>
      <w:sz w:val="24"/>
      <w:szCs w:val="24"/>
      <w:lang w:val="en-US"/>
    </w:rPr>
  </w:style>
  <w:style w:styleId="IndexHeading" w:type="paragraph">
    <w:name w:val="index heading"/>
    <w:basedOn w:val="Normal"/>
    <w:next w:val="Index1"/>
    <w:semiHidden/>
    <w:rsid w:val="00937DD7"/>
    <w:pPr>
      <w:spacing w:line="240" w:lineRule="auto"/>
    </w:pPr>
    <w:rPr>
      <w:rFonts w:ascii="Arial" w:cs="Arial" w:eastAsia="Times New Roman" w:hAnsi="Arial"/>
      <w:b/>
      <w:bCs/>
      <w:sz w:val="24"/>
      <w:szCs w:val="24"/>
      <w:lang w:val="en-US"/>
    </w:rPr>
  </w:style>
  <w:style w:styleId="LineNumber" w:type="character">
    <w:name w:val="line number"/>
    <w:basedOn w:val="DefaultParagraphFont"/>
    <w:rsid w:val="00937DD7"/>
    <w:rPr>
      <w:lang w:val="en-US"/>
    </w:rPr>
  </w:style>
  <w:style w:styleId="List" w:type="paragraph">
    <w:name w:val="List"/>
    <w:basedOn w:val="Normal"/>
    <w:rsid w:val="00937DD7"/>
    <w:pPr>
      <w:spacing w:line="240" w:lineRule="auto"/>
      <w:ind w:hanging="283" w:left="283"/>
    </w:pPr>
    <w:rPr>
      <w:rFonts w:ascii="Times New Roman" w:cs="Times New Roman" w:eastAsia="Times New Roman" w:hAnsi="Times New Roman"/>
      <w:sz w:val="24"/>
      <w:szCs w:val="24"/>
      <w:lang w:val="en-US"/>
    </w:rPr>
  </w:style>
  <w:style w:styleId="List2" w:type="paragraph">
    <w:name w:val="List 2"/>
    <w:basedOn w:val="Normal"/>
    <w:rsid w:val="00937DD7"/>
    <w:pPr>
      <w:spacing w:line="240" w:lineRule="auto"/>
      <w:ind w:hanging="283" w:left="566"/>
    </w:pPr>
    <w:rPr>
      <w:rFonts w:ascii="Times New Roman" w:cs="Times New Roman" w:eastAsia="Times New Roman" w:hAnsi="Times New Roman"/>
      <w:sz w:val="24"/>
      <w:szCs w:val="24"/>
      <w:lang w:val="en-US"/>
    </w:rPr>
  </w:style>
  <w:style w:styleId="List3" w:type="paragraph">
    <w:name w:val="List 3"/>
    <w:basedOn w:val="Normal"/>
    <w:rsid w:val="00937DD7"/>
    <w:pPr>
      <w:spacing w:line="240" w:lineRule="auto"/>
      <w:ind w:hanging="283" w:left="849"/>
    </w:pPr>
    <w:rPr>
      <w:rFonts w:ascii="Times New Roman" w:cs="Times New Roman" w:eastAsia="Times New Roman" w:hAnsi="Times New Roman"/>
      <w:sz w:val="24"/>
      <w:szCs w:val="24"/>
      <w:lang w:val="en-US"/>
    </w:rPr>
  </w:style>
  <w:style w:styleId="List4" w:type="paragraph">
    <w:name w:val="List 4"/>
    <w:basedOn w:val="Normal"/>
    <w:rsid w:val="00937DD7"/>
    <w:pPr>
      <w:spacing w:line="240" w:lineRule="auto"/>
      <w:ind w:hanging="283" w:left="1132"/>
    </w:pPr>
    <w:rPr>
      <w:rFonts w:ascii="Times New Roman" w:cs="Times New Roman" w:eastAsia="Times New Roman" w:hAnsi="Times New Roman"/>
      <w:sz w:val="24"/>
      <w:szCs w:val="24"/>
      <w:lang w:val="en-US"/>
    </w:rPr>
  </w:style>
  <w:style w:styleId="List5" w:type="paragraph">
    <w:name w:val="List 5"/>
    <w:basedOn w:val="Normal"/>
    <w:rsid w:val="00937DD7"/>
    <w:pPr>
      <w:spacing w:line="240" w:lineRule="auto"/>
      <w:ind w:hanging="283" w:left="1415"/>
    </w:pPr>
    <w:rPr>
      <w:rFonts w:ascii="Times New Roman" w:cs="Times New Roman" w:eastAsia="Times New Roman" w:hAnsi="Times New Roman"/>
      <w:sz w:val="24"/>
      <w:szCs w:val="24"/>
      <w:lang w:val="en-US"/>
    </w:rPr>
  </w:style>
  <w:style w:styleId="ListBullet" w:type="paragraph">
    <w:name w:val="List Bullet"/>
    <w:basedOn w:val="Normal"/>
    <w:rsid w:val="00937DD7"/>
    <w:pPr>
      <w:numPr>
        <w:numId w:val="12"/>
      </w:numPr>
      <w:spacing w:line="240" w:lineRule="auto"/>
    </w:pPr>
    <w:rPr>
      <w:rFonts w:ascii="Times New Roman" w:cs="Times New Roman" w:eastAsia="Times New Roman" w:hAnsi="Times New Roman"/>
      <w:sz w:val="24"/>
      <w:szCs w:val="24"/>
      <w:lang w:val="en-US"/>
    </w:rPr>
  </w:style>
  <w:style w:styleId="ListBullet2" w:type="paragraph">
    <w:name w:val="List Bullet 2"/>
    <w:basedOn w:val="Normal"/>
    <w:rsid w:val="00937DD7"/>
    <w:pPr>
      <w:numPr>
        <w:numId w:val="13"/>
      </w:numPr>
      <w:spacing w:line="240" w:lineRule="auto"/>
    </w:pPr>
    <w:rPr>
      <w:rFonts w:ascii="Times New Roman" w:cs="Times New Roman" w:eastAsia="Times New Roman" w:hAnsi="Times New Roman"/>
      <w:sz w:val="24"/>
      <w:szCs w:val="24"/>
      <w:lang w:val="en-US"/>
    </w:rPr>
  </w:style>
  <w:style w:styleId="ListBullet3" w:type="paragraph">
    <w:name w:val="List Bullet 3"/>
    <w:basedOn w:val="Normal"/>
    <w:rsid w:val="00937DD7"/>
    <w:pPr>
      <w:numPr>
        <w:numId w:val="14"/>
      </w:numPr>
      <w:spacing w:line="240" w:lineRule="auto"/>
    </w:pPr>
    <w:rPr>
      <w:rFonts w:ascii="Times New Roman" w:cs="Times New Roman" w:eastAsia="Times New Roman" w:hAnsi="Times New Roman"/>
      <w:sz w:val="24"/>
      <w:szCs w:val="24"/>
      <w:lang w:val="en-US"/>
    </w:rPr>
  </w:style>
  <w:style w:styleId="ListBullet4" w:type="paragraph">
    <w:name w:val="List Bullet 4"/>
    <w:basedOn w:val="Normal"/>
    <w:rsid w:val="00937DD7"/>
    <w:pPr>
      <w:numPr>
        <w:numId w:val="15"/>
      </w:numPr>
      <w:spacing w:line="240" w:lineRule="auto"/>
    </w:pPr>
    <w:rPr>
      <w:rFonts w:ascii="Times New Roman" w:cs="Times New Roman" w:eastAsia="Times New Roman" w:hAnsi="Times New Roman"/>
      <w:sz w:val="24"/>
      <w:szCs w:val="24"/>
      <w:lang w:val="en-US"/>
    </w:rPr>
  </w:style>
  <w:style w:styleId="ListBullet5" w:type="paragraph">
    <w:name w:val="List Bullet 5"/>
    <w:basedOn w:val="Normal"/>
    <w:rsid w:val="00937DD7"/>
    <w:pPr>
      <w:numPr>
        <w:numId w:val="16"/>
      </w:numPr>
      <w:spacing w:line="240" w:lineRule="auto"/>
    </w:pPr>
    <w:rPr>
      <w:rFonts w:ascii="Times New Roman" w:cs="Times New Roman" w:eastAsia="Times New Roman" w:hAnsi="Times New Roman"/>
      <w:sz w:val="24"/>
      <w:szCs w:val="24"/>
      <w:lang w:val="en-US"/>
    </w:rPr>
  </w:style>
  <w:style w:styleId="ListContinue" w:type="paragraph">
    <w:name w:val="List Continue"/>
    <w:basedOn w:val="Normal"/>
    <w:rsid w:val="00937DD7"/>
    <w:pPr>
      <w:spacing w:line="240" w:lineRule="auto"/>
      <w:ind w:left="283"/>
    </w:pPr>
    <w:rPr>
      <w:rFonts w:ascii="Times New Roman" w:cs="Times New Roman" w:eastAsia="Times New Roman" w:hAnsi="Times New Roman"/>
      <w:sz w:val="24"/>
      <w:szCs w:val="24"/>
      <w:lang w:val="en-US"/>
    </w:rPr>
  </w:style>
  <w:style w:styleId="ListContinue2" w:type="paragraph">
    <w:name w:val="List Continue 2"/>
    <w:basedOn w:val="Normal"/>
    <w:rsid w:val="00937DD7"/>
    <w:pPr>
      <w:spacing w:line="240" w:lineRule="auto"/>
      <w:ind w:left="566"/>
    </w:pPr>
    <w:rPr>
      <w:rFonts w:ascii="Times New Roman" w:cs="Times New Roman" w:eastAsia="Times New Roman" w:hAnsi="Times New Roman"/>
      <w:sz w:val="24"/>
      <w:szCs w:val="24"/>
      <w:lang w:val="en-US"/>
    </w:rPr>
  </w:style>
  <w:style w:styleId="ListContinue3" w:type="paragraph">
    <w:name w:val="List Continue 3"/>
    <w:basedOn w:val="Normal"/>
    <w:rsid w:val="00937DD7"/>
    <w:pPr>
      <w:spacing w:line="240" w:lineRule="auto"/>
      <w:ind w:left="849"/>
    </w:pPr>
    <w:rPr>
      <w:rFonts w:ascii="Times New Roman" w:cs="Times New Roman" w:eastAsia="Times New Roman" w:hAnsi="Times New Roman"/>
      <w:sz w:val="24"/>
      <w:szCs w:val="24"/>
      <w:lang w:val="en-US"/>
    </w:rPr>
  </w:style>
  <w:style w:styleId="ListContinue4" w:type="paragraph">
    <w:name w:val="List Continue 4"/>
    <w:basedOn w:val="Normal"/>
    <w:rsid w:val="00937DD7"/>
    <w:pPr>
      <w:spacing w:line="240" w:lineRule="auto"/>
      <w:ind w:left="1132"/>
    </w:pPr>
    <w:rPr>
      <w:rFonts w:ascii="Times New Roman" w:cs="Times New Roman" w:eastAsia="Times New Roman" w:hAnsi="Times New Roman"/>
      <w:sz w:val="24"/>
      <w:szCs w:val="24"/>
      <w:lang w:val="en-US"/>
    </w:rPr>
  </w:style>
  <w:style w:styleId="ListContinue5" w:type="paragraph">
    <w:name w:val="List Continue 5"/>
    <w:basedOn w:val="Normal"/>
    <w:rsid w:val="00937DD7"/>
    <w:pPr>
      <w:spacing w:line="240" w:lineRule="auto"/>
      <w:ind w:left="1415"/>
    </w:pPr>
    <w:rPr>
      <w:rFonts w:ascii="Times New Roman" w:cs="Times New Roman" w:eastAsia="Times New Roman" w:hAnsi="Times New Roman"/>
      <w:sz w:val="24"/>
      <w:szCs w:val="24"/>
      <w:lang w:val="en-US"/>
    </w:rPr>
  </w:style>
  <w:style w:styleId="ListNumber" w:type="paragraph">
    <w:name w:val="List Number"/>
    <w:basedOn w:val="Normal"/>
    <w:rsid w:val="00937DD7"/>
    <w:pPr>
      <w:tabs>
        <w:tab w:pos="360" w:val="num"/>
      </w:tabs>
      <w:spacing w:line="240" w:lineRule="auto"/>
      <w:ind w:hanging="360" w:left="360"/>
    </w:pPr>
    <w:rPr>
      <w:rFonts w:ascii="Times New Roman" w:cs="Times New Roman" w:eastAsia="Times New Roman" w:hAnsi="Times New Roman"/>
      <w:sz w:val="24"/>
      <w:szCs w:val="24"/>
      <w:lang w:val="en-US"/>
    </w:rPr>
  </w:style>
  <w:style w:styleId="ListNumber3" w:type="paragraph">
    <w:name w:val="List Number 3"/>
    <w:basedOn w:val="Normal"/>
    <w:rsid w:val="00937DD7"/>
    <w:pPr>
      <w:numPr>
        <w:numId w:val="17"/>
      </w:numPr>
      <w:spacing w:line="240" w:lineRule="auto"/>
    </w:pPr>
    <w:rPr>
      <w:rFonts w:ascii="Times New Roman" w:cs="Times New Roman" w:eastAsia="Times New Roman" w:hAnsi="Times New Roman"/>
      <w:sz w:val="24"/>
      <w:szCs w:val="24"/>
      <w:lang w:val="en-US"/>
    </w:rPr>
  </w:style>
  <w:style w:styleId="ListNumber4" w:type="paragraph">
    <w:name w:val="List Number 4"/>
    <w:basedOn w:val="Normal"/>
    <w:rsid w:val="00937DD7"/>
    <w:pPr>
      <w:numPr>
        <w:numId w:val="18"/>
      </w:numPr>
      <w:spacing w:line="240" w:lineRule="auto"/>
    </w:pPr>
    <w:rPr>
      <w:rFonts w:ascii="Times New Roman" w:cs="Times New Roman" w:eastAsia="Times New Roman" w:hAnsi="Times New Roman"/>
      <w:sz w:val="24"/>
      <w:szCs w:val="24"/>
      <w:lang w:val="en-US"/>
    </w:rPr>
  </w:style>
  <w:style w:styleId="ListNumber5" w:type="paragraph">
    <w:name w:val="List Number 5"/>
    <w:basedOn w:val="Normal"/>
    <w:rsid w:val="00937DD7"/>
    <w:pPr>
      <w:numPr>
        <w:numId w:val="19"/>
      </w:numPr>
      <w:spacing w:line="240" w:lineRule="auto"/>
    </w:pPr>
    <w:rPr>
      <w:rFonts w:ascii="Times New Roman" w:cs="Times New Roman" w:eastAsia="Times New Roman" w:hAnsi="Times New Roman"/>
      <w:sz w:val="24"/>
      <w:szCs w:val="24"/>
      <w:lang w:val="en-US"/>
    </w:rPr>
  </w:style>
  <w:style w:styleId="MacroText" w:type="paragraph">
    <w:name w:val="macro"/>
    <w:link w:val="MacroTextChar"/>
    <w:semiHidden/>
    <w:rsid w:val="00937DD7"/>
    <w:pPr>
      <w:tabs>
        <w:tab w:pos="480" w:val="left"/>
        <w:tab w:pos="960" w:val="left"/>
        <w:tab w:pos="1440" w:val="left"/>
        <w:tab w:pos="1920" w:val="left"/>
        <w:tab w:pos="2400" w:val="left"/>
        <w:tab w:pos="2880" w:val="left"/>
        <w:tab w:pos="3360" w:val="left"/>
        <w:tab w:pos="3840" w:val="left"/>
        <w:tab w:pos="4320" w:val="left"/>
      </w:tabs>
      <w:spacing w:after="0" w:line="240" w:lineRule="auto"/>
    </w:pPr>
    <w:rPr>
      <w:rFonts w:ascii="Courier New" w:cs="Courier New" w:eastAsia="Times New Roman" w:hAnsi="Courier New"/>
      <w:sz w:val="20"/>
      <w:szCs w:val="20"/>
      <w:lang w:val="en-US"/>
    </w:rPr>
  </w:style>
  <w:style w:customStyle="1" w:styleId="MacroTextChar" w:type="character">
    <w:name w:val="Macro Text Char"/>
    <w:basedOn w:val="DefaultParagraphFont"/>
    <w:link w:val="MacroText"/>
    <w:semiHidden/>
    <w:rsid w:val="00937DD7"/>
    <w:rPr>
      <w:rFonts w:ascii="Courier New" w:cs="Courier New" w:eastAsia="Times New Roman" w:hAnsi="Courier New"/>
      <w:sz w:val="20"/>
      <w:szCs w:val="20"/>
      <w:lang w:val="en-US"/>
    </w:rPr>
  </w:style>
  <w:style w:styleId="MessageHeader" w:type="paragraph">
    <w:name w:val="Message Header"/>
    <w:basedOn w:val="Normal"/>
    <w:link w:val="MessageHeaderChar"/>
    <w:rsid w:val="00937DD7"/>
    <w:pPr>
      <w:pBdr>
        <w:top w:color="auto" w:space="1" w:sz="6" w:val="single"/>
        <w:left w:color="auto" w:space="1" w:sz="6" w:val="single"/>
        <w:bottom w:color="auto" w:space="1" w:sz="6" w:val="single"/>
        <w:right w:color="auto" w:space="1" w:sz="6" w:val="single"/>
      </w:pBdr>
      <w:shd w:color="auto" w:fill="auto" w:val="pct20"/>
      <w:spacing w:line="240" w:lineRule="auto"/>
      <w:ind w:hanging="1134" w:left="1134"/>
    </w:pPr>
    <w:rPr>
      <w:rFonts w:ascii="Arial" w:cs="Arial" w:eastAsia="Times New Roman" w:hAnsi="Arial"/>
      <w:sz w:val="24"/>
      <w:szCs w:val="24"/>
      <w:lang w:val="en-US"/>
    </w:rPr>
  </w:style>
  <w:style w:customStyle="1" w:styleId="MessageHeaderChar" w:type="character">
    <w:name w:val="Message Header Char"/>
    <w:basedOn w:val="DefaultParagraphFont"/>
    <w:link w:val="MessageHeader"/>
    <w:rsid w:val="00937DD7"/>
    <w:rPr>
      <w:rFonts w:ascii="Arial" w:cs="Arial" w:eastAsia="Times New Roman" w:hAnsi="Arial"/>
      <w:sz w:val="24"/>
      <w:szCs w:val="24"/>
      <w:shd w:color="auto" w:fill="auto" w:val="pct20"/>
      <w:lang w:val="en-US"/>
    </w:rPr>
  </w:style>
  <w:style w:styleId="NormalIndent" w:type="paragraph">
    <w:name w:val="Normal Indent"/>
    <w:basedOn w:val="Normal"/>
    <w:rsid w:val="00937DD7"/>
    <w:pPr>
      <w:spacing w:line="240" w:lineRule="auto"/>
      <w:ind w:left="720"/>
    </w:pPr>
    <w:rPr>
      <w:rFonts w:ascii="Times New Roman" w:cs="Times New Roman" w:eastAsia="Times New Roman" w:hAnsi="Times New Roman"/>
      <w:sz w:val="24"/>
      <w:szCs w:val="24"/>
      <w:lang w:val="en-US"/>
    </w:rPr>
  </w:style>
  <w:style w:styleId="NoteHeading" w:type="paragraph">
    <w:name w:val="Note Heading"/>
    <w:basedOn w:val="Normal"/>
    <w:next w:val="Normal"/>
    <w:link w:val="NoteHeadingChar"/>
    <w:rsid w:val="00937DD7"/>
    <w:pPr>
      <w:spacing w:line="240" w:lineRule="auto"/>
    </w:pPr>
    <w:rPr>
      <w:rFonts w:ascii="Times New Roman" w:cs="Times New Roman" w:eastAsia="Times New Roman" w:hAnsi="Times New Roman"/>
      <w:sz w:val="24"/>
      <w:szCs w:val="24"/>
      <w:lang w:val="en-US"/>
    </w:rPr>
  </w:style>
  <w:style w:customStyle="1" w:styleId="NoteHeadingChar" w:type="character">
    <w:name w:val="Note Heading Char"/>
    <w:basedOn w:val="DefaultParagraphFont"/>
    <w:link w:val="NoteHeading"/>
    <w:rsid w:val="00937DD7"/>
    <w:rPr>
      <w:rFonts w:ascii="Times New Roman" w:cs="Times New Roman" w:eastAsia="Times New Roman" w:hAnsi="Times New Roman"/>
      <w:sz w:val="24"/>
      <w:szCs w:val="24"/>
      <w:lang w:val="en-US"/>
    </w:rPr>
  </w:style>
  <w:style w:styleId="Salutation" w:type="paragraph">
    <w:name w:val="Salutation"/>
    <w:basedOn w:val="Normal"/>
    <w:next w:val="Normal"/>
    <w:link w:val="SalutationChar"/>
    <w:rsid w:val="00937DD7"/>
    <w:pPr>
      <w:spacing w:line="240" w:lineRule="auto"/>
    </w:pPr>
    <w:rPr>
      <w:rFonts w:ascii="Times New Roman" w:cs="Times New Roman" w:eastAsia="Times New Roman" w:hAnsi="Times New Roman"/>
      <w:sz w:val="24"/>
      <w:szCs w:val="24"/>
      <w:lang w:val="en-US"/>
    </w:rPr>
  </w:style>
  <w:style w:customStyle="1" w:styleId="SalutationChar" w:type="character">
    <w:name w:val="Salutation Char"/>
    <w:basedOn w:val="DefaultParagraphFont"/>
    <w:link w:val="Salutation"/>
    <w:rsid w:val="00937DD7"/>
    <w:rPr>
      <w:rFonts w:ascii="Times New Roman" w:cs="Times New Roman" w:eastAsia="Times New Roman" w:hAnsi="Times New Roman"/>
      <w:sz w:val="24"/>
      <w:szCs w:val="24"/>
      <w:lang w:val="en-US"/>
    </w:rPr>
  </w:style>
  <w:style w:styleId="Signature" w:type="paragraph">
    <w:name w:val="Signature"/>
    <w:basedOn w:val="Normal"/>
    <w:link w:val="SignatureChar"/>
    <w:rsid w:val="00937DD7"/>
    <w:pPr>
      <w:spacing w:line="240" w:lineRule="auto"/>
      <w:ind w:left="4252"/>
    </w:pPr>
    <w:rPr>
      <w:rFonts w:ascii="Times New Roman" w:cs="Times New Roman" w:eastAsia="Times New Roman" w:hAnsi="Times New Roman"/>
      <w:sz w:val="24"/>
      <w:szCs w:val="24"/>
      <w:lang w:val="en-US"/>
    </w:rPr>
  </w:style>
  <w:style w:customStyle="1" w:styleId="SignatureChar" w:type="character">
    <w:name w:val="Signature Char"/>
    <w:basedOn w:val="DefaultParagraphFont"/>
    <w:link w:val="Signature"/>
    <w:rsid w:val="00937DD7"/>
    <w:rPr>
      <w:rFonts w:ascii="Times New Roman" w:cs="Times New Roman" w:eastAsia="Times New Roman" w:hAnsi="Times New Roman"/>
      <w:sz w:val="24"/>
      <w:szCs w:val="24"/>
      <w:lang w:val="en-US"/>
    </w:rPr>
  </w:style>
  <w:style w:styleId="Strong" w:type="character">
    <w:name w:val="Strong"/>
    <w:basedOn w:val="DefaultParagraphFont"/>
    <w:uiPriority w:val="22"/>
    <w:qFormat/>
    <w:rsid w:val="00937DD7"/>
    <w:rPr>
      <w:b/>
      <w:bCs/>
      <w:lang w:val="en-US"/>
    </w:rPr>
  </w:style>
  <w:style w:styleId="Subtitle" w:type="paragraph">
    <w:name w:val="Subtitle"/>
    <w:basedOn w:val="Normal"/>
    <w:link w:val="SubtitleChar"/>
    <w:qFormat/>
    <w:rsid w:val="00937DD7"/>
    <w:pPr>
      <w:spacing w:after="60" w:line="240" w:lineRule="auto"/>
      <w:jc w:val="center"/>
      <w:outlineLvl w:val="1"/>
    </w:pPr>
    <w:rPr>
      <w:rFonts w:ascii="Arial" w:cs="Arial" w:eastAsia="Times New Roman" w:hAnsi="Arial"/>
      <w:sz w:val="24"/>
      <w:szCs w:val="24"/>
      <w:lang w:val="en-US"/>
    </w:rPr>
  </w:style>
  <w:style w:customStyle="1" w:styleId="SubtitleChar" w:type="character">
    <w:name w:val="Subtitle Char"/>
    <w:basedOn w:val="DefaultParagraphFont"/>
    <w:link w:val="Subtitle"/>
    <w:rsid w:val="00937DD7"/>
    <w:rPr>
      <w:rFonts w:ascii="Arial" w:cs="Arial" w:eastAsia="Times New Roman" w:hAnsi="Arial"/>
      <w:sz w:val="24"/>
      <w:szCs w:val="24"/>
      <w:lang w:val="en-US"/>
    </w:rPr>
  </w:style>
  <w:style w:styleId="TableofAuthorities" w:type="paragraph">
    <w:name w:val="table of authorities"/>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TOAHeading" w:type="paragraph">
    <w:name w:val="toa heading"/>
    <w:basedOn w:val="Normal"/>
    <w:next w:val="Normal"/>
    <w:semiHidden/>
    <w:rsid w:val="00937DD7"/>
    <w:pPr>
      <w:spacing w:line="240" w:lineRule="auto"/>
    </w:pPr>
    <w:rPr>
      <w:rFonts w:ascii="Arial" w:cs="Arial" w:eastAsia="Times New Roman" w:hAnsi="Arial"/>
      <w:b/>
      <w:bCs/>
      <w:sz w:val="24"/>
      <w:szCs w:val="24"/>
      <w:lang w:val="en-US"/>
    </w:rPr>
  </w:style>
  <w:style w:styleId="Bibliography" w:type="paragraph">
    <w:name w:val="Bibliography"/>
    <w:basedOn w:val="Normal"/>
    <w:next w:val="Normal"/>
    <w:uiPriority w:val="37"/>
    <w:semiHidden/>
    <w:unhideWhenUsed/>
    <w:rsid w:val="00937DD7"/>
    <w:pPr>
      <w:spacing w:line="240" w:lineRule="auto"/>
    </w:pPr>
    <w:rPr>
      <w:rFonts w:ascii="Times New Roman" w:cs="Times New Roman" w:eastAsia="Times New Roman" w:hAnsi="Times New Roman"/>
      <w:sz w:val="24"/>
      <w:szCs w:val="24"/>
      <w:lang w:val="en-US"/>
    </w:rPr>
  </w:style>
  <w:style w:styleId="BookTitle" w:type="character">
    <w:name w:val="Book Title"/>
    <w:basedOn w:val="DefaultParagraphFont"/>
    <w:uiPriority w:val="33"/>
    <w:qFormat/>
    <w:rsid w:val="00937DD7"/>
    <w:rPr>
      <w:b/>
      <w:bCs/>
      <w:smallCaps/>
      <w:spacing w:val="5"/>
      <w:lang w:val="en-US"/>
    </w:rPr>
  </w:style>
  <w:style w:styleId="ColorfulGrid" w:type="table">
    <w:name w:val="Colorful Grid"/>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ColorfulGrid-Accent2" w:type="table">
    <w:name w:val="Colorful Grid Accent 2"/>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ColorfulGrid-Accent3" w:type="table">
    <w:name w:val="Colorful Grid Accent 3"/>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ColorfulGrid-Accent4" w:type="table">
    <w:name w:val="Colorful Grid Accent 4"/>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ColorfulGrid-Accent5" w:type="table">
    <w:name w:val="Colorful Grid Accent 5"/>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ColorfulGrid-Accent6" w:type="table">
    <w:name w:val="Colorful Grid Accent 6"/>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ColorfulList" w:type="table">
    <w:name w:val="Colorful List"/>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styleId="ColorfulList-Accent2" w:type="table">
    <w:name w:val="Colorful List Accent 2"/>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styleId="ColorfulList-Accent3" w:type="table">
    <w:name w:val="Colorful List Accent 3"/>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styleId="ColorfulList-Accent4" w:type="table">
    <w:name w:val="Colorful List Accent 4"/>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styleId="ColorfulList-Accent5" w:type="table">
    <w:name w:val="Colorful List Accent 5"/>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styleId="ColorfulList-Accent6" w:type="table">
    <w:name w:val="Colorful List Accent 6"/>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styleId="ColorfulShading" w:type="table">
    <w:name w:val="Colorful Shading"/>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styleId="ColorfulShading-Accent4" w:type="table">
    <w:name w:val="Colorful Shading Accent 4"/>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styleId="DarkList" w:type="table">
    <w:name w:val="Dark List"/>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styleId="DarkList-Accent2" w:type="table">
    <w:name w:val="Dark List Accent 2"/>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styleId="DarkList-Accent3" w:type="table">
    <w:name w:val="Dark List Accent 3"/>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styleId="DarkList-Accent4" w:type="table">
    <w:name w:val="Dark List Accent 4"/>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styleId="DarkList-Accent5" w:type="table">
    <w:name w:val="Dark List Accent 5"/>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styleId="DarkList-Accent6" w:type="table">
    <w:name w:val="Dark List Accent 6"/>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styleId="IntenseEmphasis" w:type="character">
    <w:name w:val="Intense Emphasis"/>
    <w:basedOn w:val="DefaultParagraphFont"/>
    <w:uiPriority w:val="21"/>
    <w:qFormat/>
    <w:rsid w:val="00937DD7"/>
    <w:rPr>
      <w:b/>
      <w:bCs/>
      <w:i/>
      <w:iCs/>
      <w:color w:themeColor="accent1" w:val="5B9BD5"/>
      <w:lang w:val="en-US"/>
    </w:rPr>
  </w:style>
  <w:style w:styleId="IntenseQuote" w:type="paragraph">
    <w:name w:val="Intense Quote"/>
    <w:basedOn w:val="Normal"/>
    <w:next w:val="Normal"/>
    <w:link w:val="IntenseQuoteChar"/>
    <w:uiPriority w:val="30"/>
    <w:qFormat/>
    <w:rsid w:val="00937DD7"/>
    <w:pPr>
      <w:pBdr>
        <w:bottom w:color="5B9BD5" w:space="4" w:sz="4" w:themeColor="accent1" w:val="single"/>
      </w:pBdr>
      <w:spacing w:after="280" w:before="200" w:line="240" w:lineRule="auto"/>
      <w:ind w:left="936" w:right="936"/>
    </w:pPr>
    <w:rPr>
      <w:rFonts w:ascii="Times New Roman" w:cs="Times New Roman" w:eastAsia="Times New Roman" w:hAnsi="Times New Roman"/>
      <w:b/>
      <w:bCs/>
      <w:i/>
      <w:iCs/>
      <w:color w:themeColor="accent1" w:val="5B9BD5"/>
      <w:sz w:val="24"/>
      <w:szCs w:val="24"/>
      <w:lang w:val="en-US"/>
    </w:rPr>
  </w:style>
  <w:style w:customStyle="1" w:styleId="IntenseQuoteChar" w:type="character">
    <w:name w:val="Intense Quote Char"/>
    <w:basedOn w:val="DefaultParagraphFont"/>
    <w:link w:val="IntenseQuote"/>
    <w:uiPriority w:val="30"/>
    <w:rsid w:val="00937DD7"/>
    <w:rPr>
      <w:rFonts w:ascii="Times New Roman" w:cs="Times New Roman" w:eastAsia="Times New Roman" w:hAnsi="Times New Roman"/>
      <w:b/>
      <w:bCs/>
      <w:i/>
      <w:iCs/>
      <w:color w:themeColor="accent1" w:val="5B9BD5"/>
      <w:sz w:val="24"/>
      <w:szCs w:val="24"/>
      <w:lang w:val="en-US"/>
    </w:rPr>
  </w:style>
  <w:style w:styleId="IntenseReference" w:type="character">
    <w:name w:val="Intense Reference"/>
    <w:basedOn w:val="DefaultParagraphFont"/>
    <w:uiPriority w:val="32"/>
    <w:qFormat/>
    <w:rsid w:val="00937DD7"/>
    <w:rPr>
      <w:b/>
      <w:bCs/>
      <w:smallCaps/>
      <w:color w:themeColor="accent2" w:val="ED7D31"/>
      <w:spacing w:val="5"/>
      <w:u w:val="single"/>
      <w:lang w:val="en-US"/>
    </w:rPr>
  </w:style>
  <w:style w:styleId="LightGrid" w:type="table">
    <w:name w:val="Light Grid"/>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styleId="LightGrid-Accent2" w:type="table">
    <w:name w:val="Light Grid Accent 2"/>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styleId="LightGrid-Accent3" w:type="table">
    <w:name w:val="Light Grid Accent 3"/>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styleId="LightGrid-Accent4" w:type="table">
    <w:name w:val="Light Grid Accent 4"/>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styleId="LightGrid-Accent5" w:type="table">
    <w:name w:val="Light Grid Accent 5"/>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styleId="LightGrid-Accent6" w:type="table">
    <w:name w:val="Light Grid Accent 6"/>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styleId="LightList" w:type="table">
    <w:name w:val="Light List"/>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styleId="LightList-Accent2" w:type="table">
    <w:name w:val="Light List Accent 2"/>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styleId="LightList-Accent3" w:type="table">
    <w:name w:val="Light List Accent 3"/>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styleId="LightList-Accent4" w:type="table">
    <w:name w:val="Light List Accent 4"/>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styleId="LightList-Accent5" w:type="table">
    <w:name w:val="Light List Accent 5"/>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styleId="LightList-Accent6" w:type="table">
    <w:name w:val="Light List Accent 6"/>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styleId="LightShading" w:type="table">
    <w:name w:val="Light Shading"/>
    <w:basedOn w:val="TableNormal"/>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styleId="LightShading-Accent2" w:type="table">
    <w:name w:val="Light Shading Accent 2"/>
    <w:basedOn w:val="TableNormal"/>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styleId="LightShading-Accent3" w:type="table">
    <w:name w:val="Light Shading Accent 3"/>
    <w:basedOn w:val="TableNormal"/>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styleId="LightShading-Accent4" w:type="table">
    <w:name w:val="Light Shading Accent 4"/>
    <w:basedOn w:val="TableNormal"/>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styleId="LightShading-Accent5" w:type="table">
    <w:name w:val="Light Shading Accent 5"/>
    <w:basedOn w:val="TableNormal"/>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styleId="LightShading-Accent6" w:type="table">
    <w:name w:val="Light Shading Accent 6"/>
    <w:basedOn w:val="TableNormal"/>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styleId="MediumGrid1" w:type="table">
    <w:name w:val="Medium Grid 1"/>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 w:type="table">
    <w:name w:val="Medium Grid 1 Accent"/>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insideV w:color="84B3DF" w:space="0" w:sz="8" w:themeColor="accent1" w:themeTint="BF" w:val="single"/>
      </w:tblBorders>
    </w:tblPr>
    <w:tcPr>
      <w:shd w:color="auto" w:fill="D6E6F4" w:themeFill="accent1" w:themeFillTint="3F" w:val="clear"/>
    </w:tcPr>
    <w:tblStylePr w:type="firstRow">
      <w:rPr>
        <w:b/>
        <w:bCs/>
      </w:rPr>
    </w:tblStylePr>
    <w:tblStylePr w:type="lastRow">
      <w:rPr>
        <w:b/>
        <w:bCs/>
      </w:rPr>
      <w:tblPr/>
      <w:tcPr>
        <w:tcBorders>
          <w:top w:color="84B3DF" w:space="0" w:sz="18" w:themeColor="accent1" w:themeTint="BF" w:val="single"/>
        </w:tcBorders>
      </w:tcPr>
    </w:tblStylePr>
    <w:tblStylePr w:type="firstCol">
      <w:rPr>
        <w:b/>
        <w:bCs/>
      </w:rPr>
    </w:tblStylePr>
    <w:tblStylePr w:type="lastCol">
      <w:rPr>
        <w:b/>
        <w:bCs/>
      </w:r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MediumGrid1-Accent2" w:type="table">
    <w:name w:val="Medium Grid 1 Accent 2"/>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MediumGrid1-Accent3" w:type="table">
    <w:name w:val="Medium Grid 1 Accent 3"/>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MediumGrid1-Accent4" w:type="table">
    <w:name w:val="Medium Grid 1 Accent 4"/>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MediumGrid1-Accent5" w:type="table">
    <w:name w:val="Medium Grid 1 Accent 5"/>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MediumGrid1-Accent6" w:type="table">
    <w:name w:val="Medium Grid 1 Accent 6"/>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MediumGrid2" w:type="table">
    <w:name w:val="Medium Grid 2"/>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 w:type="table">
    <w:name w:val="Medium Grid 2 Accent"/>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3F" w:val="clear"/>
    </w:tcPr>
    <w:tblStylePr w:type="firstRow">
      <w:rPr>
        <w:b/>
        <w:bCs/>
        <w:color w:themeColor="text1" w:val="000000"/>
      </w:rPr>
      <w:tblPr/>
      <w:tcPr>
        <w:shd w:color="auto" w:fill="FDF2EA"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BE4D5" w:themeFill="accent2" w:themeFillTint="33" w:val="clear"/>
      </w:tcPr>
    </w:tblStylePr>
    <w:tblStylePr w:type="band1Vert">
      <w:tblPr/>
      <w:tcPr>
        <w:shd w:color="auto" w:fill="F6BE98" w:themeFill="accent2" w:themeFillTint="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styleId="MediumGrid3-Accent2" w:type="table">
    <w:name w:val="Medium Grid 3 Accent 2"/>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 w:type="table">
    <w:name w:val="Medium Grid 3 Accent"/>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A5A5A5"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2D2D2"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7F" w:val="clear"/>
      </w:tcPr>
    </w:tblStylePr>
  </w:style>
  <w:style w:styleId="MediumGrid3-Accent4" w:type="table">
    <w:name w:val="Medium Grid 3 Accent 4"/>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styleId="MediumGrid3-Accent5" w:type="table">
    <w:name w:val="Medium Grid 3 Accent 5"/>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styleId="MediumGrid3-Accent6" w:type="table">
    <w:name w:val="Medium Grid 3 Accent 6"/>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styleId="MediumList1" w:type="table">
    <w:name w:val="Medium List 1"/>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 w:type="table">
    <w:name w:val="Medium List 1 Accent"/>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rPr>
        <w:rFonts w:asciiTheme="majorHAnsi" w:cstheme="majorBidi" w:eastAsiaTheme="majorEastAsia" w:hAnsiTheme="majorHAnsi"/>
      </w:rPr>
      <w:tblPr/>
      <w:tcPr>
        <w:tcBorders>
          <w:top w:val="nil"/>
          <w:bottom w:color="5B9BD5" w:space="0" w:sz="8" w:themeColor="accent1" w:val="single"/>
        </w:tcBorders>
      </w:tcPr>
    </w:tblStylePr>
    <w:tblStylePr w:type="lastRow">
      <w:rPr>
        <w:b/>
        <w:bCs/>
        <w:color w:themeColor="text2" w:val="44546A"/>
      </w:rPr>
      <w:tblPr/>
      <w:tcPr>
        <w:tcBorders>
          <w:top w:color="5B9BD5" w:space="0" w:sz="8" w:themeColor="accent1" w:val="single"/>
          <w:bottom w:color="5B9BD5" w:space="0" w:sz="8" w:themeColor="accent1" w:val="single"/>
        </w:tcBorders>
      </w:tcPr>
    </w:tblStylePr>
    <w:tblStylePr w:type="firstCol">
      <w:rPr>
        <w:b/>
        <w:bCs/>
      </w:rPr>
    </w:tblStylePr>
    <w:tblStylePr w:type="lastCol">
      <w:rPr>
        <w:b/>
        <w:bCs/>
      </w:rPr>
      <w:tblPr/>
      <w:tcPr>
        <w:tcBorders>
          <w:top w:color="5B9BD5" w:space="0" w:sz="8" w:themeColor="accent1" w:val="single"/>
          <w:bottom w:color="5B9BD5" w:space="0" w:sz="8" w:themeColor="accent1" w:val="single"/>
        </w:tcBorders>
      </w:tcPr>
    </w:tblStylePr>
    <w:tblStylePr w:type="band1Vert">
      <w:tblPr/>
      <w:tcPr>
        <w:shd w:color="auto" w:fill="D6E6F4" w:themeFill="accent1" w:themeFillTint="3F" w:val="clear"/>
      </w:tcPr>
    </w:tblStylePr>
    <w:tblStylePr w:type="band1Horz">
      <w:tblPr/>
      <w:tcPr>
        <w:shd w:color="auto" w:fill="D6E6F4" w:themeFill="accent1" w:themeFillTint="3F" w:val="clear"/>
      </w:tcPr>
    </w:tblStylePr>
  </w:style>
  <w:style w:styleId="MediumList1-Accent2" w:type="table">
    <w:name w:val="Medium List 1 Accent 2"/>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styleId="MediumList1-Accent3" w:type="table">
    <w:name w:val="Medium List 1 Accent 3"/>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styleId="MediumList1-Accent4" w:type="table">
    <w:name w:val="Medium List 1 Accent 4"/>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styleId="MediumList1-Accent5" w:type="table">
    <w:name w:val="Medium List 1 Accent 5"/>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styleId="MediumList1-Accent6" w:type="table">
    <w:name w:val="Medium List 1 Accent 6"/>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styleId="MediumList2" w:type="table">
    <w:name w:val="Medium List 2"/>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 w:type="table">
    <w:name w:val="Medium List 2 Accent"/>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tblPr/>
      <w:tcPr>
        <w:tcBorders>
          <w:top w:color="ED7D31"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ED7D31" w:space="0" w:sz="8" w:themeColor="accent2" w:val="single"/>
          <w:insideH w:val="nil"/>
          <w:insideV w:val="nil"/>
        </w:tcBorders>
        <w:shd w:color="auto" w:fill="FFFFFF" w:themeFill="background1" w:val="clear"/>
      </w:tcPr>
    </w:tblStylePr>
    <w:tblStylePr w:type="lastCol">
      <w:tblPr/>
      <w:tcPr>
        <w:tcBorders>
          <w:top w:val="nil"/>
          <w:left w:color="ED7D31"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top w:val="nil"/>
          <w:bottom w:val="nil"/>
          <w:insideH w:val="nil"/>
          <w:insideV w:val="nil"/>
        </w:tcBorders>
        <w:shd w:color="auto" w:fill="FADECB"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Shading1" w:type="table">
    <w:name w:val="Medium Shading 1"/>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 w:type="table">
    <w:name w:val="Medium Shading 1 Accent"/>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tblBorders>
    </w:tblPr>
    <w:tblStylePr w:type="firstRow">
      <w:pPr>
        <w:spacing w:after="0" w:before="0" w:line="240" w:lineRule="auto"/>
      </w:pPr>
      <w:rPr>
        <w:b/>
        <w:bCs/>
        <w:color w:themeColor="background1" w:val="FFFFFF"/>
      </w:rPr>
      <w:tblPr/>
      <w:tcPr>
        <w:tc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val="nil"/>
          <w:insideV w:val="nil"/>
        </w:tcBorders>
        <w:shd w:color="auto" w:fill="5B9BD5" w:themeFill="accent1" w:val="clear"/>
      </w:tcPr>
    </w:tblStylePr>
    <w:tblStylePr w:type="lastRow">
      <w:pPr>
        <w:spacing w:after="0" w:before="0" w:line="240" w:lineRule="auto"/>
      </w:pPr>
      <w:rPr>
        <w:b/>
        <w:bCs/>
      </w:rPr>
      <w:tblPr/>
      <w:tcPr>
        <w:tcBorders>
          <w:top w:color="84B3DF" w:space="0" w:sz="6" w:themeColor="accent1" w:themeTint="BF" w:val="double"/>
          <w:left w:color="84B3DF" w:space="0" w:sz="8" w:themeColor="accent1" w:themeTint="BF" w:val="single"/>
          <w:bottom w:color="84B3DF" w:space="0" w:sz="8" w:themeColor="accent1" w:themeTint="BF" w:val="single"/>
          <w:right w:color="84B3DF"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6E6F4" w:themeFill="accent1" w:themeFillTint="3F" w:val="clear"/>
      </w:tcPr>
    </w:tblStylePr>
    <w:tblStylePr w:type="band1Horz">
      <w:tblPr/>
      <w:tcPr>
        <w:tcBorders>
          <w:insideH w:val="nil"/>
          <w:insideV w:val="nil"/>
        </w:tcBorders>
        <w:shd w:color="auto" w:fill="D6E6F4"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 w:type="table">
    <w:name w:val="Medium Shading 2 Accent"/>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ED7D31"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ED7D31" w:themeFill="accent2" w:val="clear"/>
      </w:tcPr>
    </w:tblStylePr>
    <w:tblStylePr w:type="lastCol">
      <w:rPr>
        <w:b/>
        <w:bCs/>
        <w:color w:themeColor="background1" w:val="FFFFFF"/>
      </w:rPr>
      <w:tblPr/>
      <w:tcPr>
        <w:tcBorders>
          <w:left w:val="nil"/>
          <w:right w:val="nil"/>
          <w:insideH w:val="nil"/>
          <w:insideV w:val="nil"/>
        </w:tcBorders>
        <w:shd w:color="auto" w:fill="ED7D31"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Quote" w:type="paragraph">
    <w:name w:val="Quote"/>
    <w:basedOn w:val="Normal"/>
    <w:next w:val="Normal"/>
    <w:link w:val="QuoteChar"/>
    <w:uiPriority w:val="29"/>
    <w:qFormat/>
    <w:rsid w:val="00937DD7"/>
    <w:pPr>
      <w:spacing w:line="240" w:lineRule="auto"/>
    </w:pPr>
    <w:rPr>
      <w:rFonts w:ascii="Times New Roman" w:cs="Times New Roman" w:eastAsia="Times New Roman" w:hAnsi="Times New Roman"/>
      <w:i/>
      <w:iCs/>
      <w:color w:themeColor="text1" w:val="000000"/>
      <w:sz w:val="24"/>
      <w:szCs w:val="24"/>
      <w:lang w:val="en-US"/>
    </w:rPr>
  </w:style>
  <w:style w:customStyle="1" w:styleId="QuoteChar" w:type="character">
    <w:name w:val="Quote Char"/>
    <w:basedOn w:val="DefaultParagraphFont"/>
    <w:link w:val="Quote"/>
    <w:uiPriority w:val="29"/>
    <w:rsid w:val="00937DD7"/>
    <w:rPr>
      <w:rFonts w:ascii="Times New Roman" w:cs="Times New Roman" w:eastAsia="Times New Roman" w:hAnsi="Times New Roman"/>
      <w:i/>
      <w:iCs/>
      <w:color w:themeColor="text1" w:val="000000"/>
      <w:sz w:val="24"/>
      <w:szCs w:val="24"/>
      <w:lang w:val="en-US"/>
    </w:rPr>
  </w:style>
  <w:style w:styleId="SubtleEmphasis" w:type="character">
    <w:name w:val="Subtle Emphasis"/>
    <w:basedOn w:val="DefaultParagraphFont"/>
    <w:uiPriority w:val="19"/>
    <w:qFormat/>
    <w:rsid w:val="00937DD7"/>
    <w:rPr>
      <w:i/>
      <w:iCs/>
      <w:color w:themeColor="text1" w:themeTint="7F" w:val="808080"/>
      <w:lang w:val="en-US"/>
    </w:rPr>
  </w:style>
  <w:style w:styleId="SubtleReference" w:type="character">
    <w:name w:val="Subtle Reference"/>
    <w:basedOn w:val="DefaultParagraphFont"/>
    <w:uiPriority w:val="31"/>
    <w:qFormat/>
    <w:rsid w:val="00937DD7"/>
    <w:rPr>
      <w:smallCaps/>
      <w:color w:themeColor="accent2" w:val="ED7D31"/>
      <w:u w:val="single"/>
      <w:lang w:val="en-US"/>
    </w:rPr>
  </w:style>
  <w:style w:styleId="Table3Deffects1" w:type="table">
    <w:name w:val="Table 3D effects 1"/>
    <w:basedOn w:val="TableNormal"/>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0" w:type="table">
    <w:name w:val="Table Grid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List1" w:type="table">
    <w:name w:val="Table List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Professional" w:type="table">
    <w:name w:val="Table Professional"/>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WW8Num26z1" w:type="character">
    <w:name w:val="WW8Num26z1"/>
    <w:rsid w:val="00937DD7"/>
    <w:rPr>
      <w:rFonts w:ascii="Courier New" w:cs="Courier New" w:hAnsi="Courier New"/>
      <w:lang w:val="en-US"/>
    </w:rPr>
  </w:style>
  <w:style w:styleId="GridTable1Light" w:type="table">
    <w:name w:val="Grid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 w:type="table">
    <w:name w:val="Grid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 w:type="table">
    <w:name w:val="Grid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2" w:themeColor="accent2" w:themeTint="99" w:val="single"/>
        <w:bottom w:color="F4B083" w:space="0" w:sz="2" w:themeColor="accent2" w:themeTint="99" w:val="single"/>
        <w:insideH w:color="F4B083" w:space="0" w:sz="2" w:themeColor="accent2" w:themeTint="99" w:val="single"/>
        <w:insideV w:color="F4B083" w:space="0" w:sz="2" w:themeColor="accent2" w:themeTint="99" w:val="single"/>
      </w:tblBorders>
    </w:tblPr>
    <w:tblStylePr w:type="firstRow">
      <w:rPr>
        <w:b/>
        <w:bCs/>
      </w:rPr>
      <w:tblPr/>
      <w:tcPr>
        <w:tcBorders>
          <w:top w:val="nil"/>
          <w:bottom w:color="F4B083" w:space="0" w:sz="12" w:themeColor="accent2" w:themeTint="99" w:val="single"/>
          <w:insideH w:val="nil"/>
          <w:insideV w:val="nil"/>
        </w:tcBorders>
        <w:shd w:color="auto" w:fill="FFFFFF" w:themeFill="background1" w:val="clear"/>
      </w:tcPr>
    </w:tblStylePr>
    <w:tblStylePr w:type="lastRow">
      <w:rPr>
        <w:b/>
        <w:bCs/>
      </w:rPr>
      <w:tblPr/>
      <w:tcPr>
        <w:tcBorders>
          <w:top w:color="F4B083"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2-Accent3" w:type="table">
    <w:name w:val="Grid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2-Accent4" w:type="table">
    <w:name w:val="Grid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2-Accent5" w:type="table">
    <w:name w:val="Grid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2-Accent6" w:type="table">
    <w:name w:val="Grid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3" w:type="table">
    <w:name w:val="Grid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3-Accent2" w:type="table">
    <w:name w:val="Grid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 w:type="table">
    <w:name w:val="Grid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3-Accent4" w:type="table">
    <w:name w:val="Grid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3-Accent5" w:type="table">
    <w:name w:val="Grid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3-Accent6" w:type="table">
    <w:name w:val="Grid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GridTable4" w:type="table">
    <w:name w:val="Grid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3" w:type="table">
    <w:name w:val="Grid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 w:type="table">
    <w:name w:val="Grid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insideV w:val="nil"/>
        </w:tcBorders>
        <w:shd w:color="auto" w:fill="FFC000" w:themeFill="accent4" w:val="clear"/>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4-Accent5" w:type="table">
    <w:name w:val="Grid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4-Accent6" w:type="table">
    <w:name w:val="Grid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5Dark" w:type="table">
    <w:name w:val="Grid Table 5 Dark"/>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5Dark-Accent2" w:type="table">
    <w:name w:val="Grid Table 5 Dark Accent 2"/>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styleId="GridTable5Dark-Accent3" w:type="table">
    <w:name w:val="Grid Table 5 Dark Accent 3"/>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GridTable5Dark-Accent4" w:type="table">
    <w:name w:val="Grid Table 5 Dark Accent 4"/>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 w:type="table">
    <w:name w:val="Grid Table 5 Dark Accent"/>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472C4"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472C4"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472C4"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472C4" w:themeFill="accent5" w:val="clear"/>
      </w:tcPr>
    </w:tblStylePr>
    <w:tblStylePr w:type="band1Vert">
      <w:tblPr/>
      <w:tcPr>
        <w:shd w:color="auto" w:fill="B4C6E7" w:themeFill="accent5" w:themeFillTint="66" w:val="clear"/>
      </w:tcPr>
    </w:tblStylePr>
    <w:tblStylePr w:type="band1Horz">
      <w:tblPr/>
      <w:tcPr>
        <w:shd w:color="auto" w:fill="B4C6E7" w:themeFill="accent5" w:themeFillTint="66" w:val="clear"/>
      </w:tcPr>
    </w:tblStylePr>
  </w:style>
  <w:style w:styleId="GridTable5Dark-Accent6" w:type="table">
    <w:name w:val="Grid Table 5 Dark Accent 6"/>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styleId="GridTable6Colorful" w:type="table">
    <w:name w:val="Grid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6Colorful-Accent2" w:type="table">
    <w:name w:val="Grid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6Colorful-Accent3" w:type="table">
    <w:name w:val="Grid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6Colorful-Accent4" w:type="table">
    <w:name w:val="Grid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6Colorful-Accent5" w:type="table">
    <w:name w:val="Grid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6ColorfulAccent" w:type="table">
    <w:name w:val="Grid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7Colorful" w:type="table">
    <w:name w:val="Grid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7Colorful-Accent2" w:type="table">
    <w:name w:val="Grid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styleId="GridTable7Colorful-Accent3" w:type="table">
    <w:name w:val="Grid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7Colorful-Accent4" w:type="table">
    <w:name w:val="Grid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7Colorful-Accent5" w:type="table">
    <w:name w:val="Grid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7Colorful-Accent6" w:type="table">
    <w:name w:val="Grid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ListTable1Light" w:type="table">
    <w:name w:val="List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 w:type="table">
    <w:name w:val="List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9CC2E5" w:space="0" w:sz="4" w:themeColor="accent1" w:themeTint="99" w:val="single"/>
        </w:tcBorders>
      </w:tcPr>
    </w:tblStylePr>
    <w:tblStylePr w:type="lastRow">
      <w:rPr>
        <w:b/>
        <w:bCs/>
      </w:rPr>
      <w:tblPr/>
      <w:tcPr>
        <w:tcBorders>
          <w:top w:color="9CC2E5" w:space="0" w:sz="4" w:themeColor="accent1" w:themeTint="99" w:val="sing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1Light-Accent2" w:type="table">
    <w:name w:val="List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1Light-Accent3" w:type="table">
    <w:name w:val="List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1Light-Accent4" w:type="table">
    <w:name w:val="List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1Light-Accent5" w:type="table">
    <w:name w:val="List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1Light-Accent6" w:type="table">
    <w:name w:val="List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2" w:type="table">
    <w:name w:val="List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 w:type="table">
    <w:name w:val="List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bottom w:color="F4B083" w:space="0" w:sz="4" w:themeColor="accent2" w:themeTint="99" w:val="single"/>
        <w:insideH w:color="F4B083"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2-Accent3" w:type="table">
    <w:name w:val="List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2-Accent4" w:type="table">
    <w:name w:val="List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2-Accent5" w:type="table">
    <w:name w:val="List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2-Accent6" w:type="table">
    <w:name w:val="List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3" w:type="table">
    <w:name w:val="List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styleId="ListTable3-Accent2" w:type="table">
    <w:name w:val="List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 w:type="table">
    <w:name w:val="List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styleId="ListTable3-Accent4" w:type="table">
    <w:name w:val="List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styleId="ListTable3-Accent5" w:type="table">
    <w:name w:val="List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ListTable3-Accent6" w:type="table">
    <w:name w:val="List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styleId="ListTable4" w:type="table">
    <w:name w:val="List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4-Accent2" w:type="table">
    <w:name w:val="List Table 4 Accent 2"/>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4-Accent3" w:type="table">
    <w:name w:val="List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 w:type="table">
    <w:name w:val="List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tcBorders>
        <w:shd w:color="auto" w:fill="FFC000" w:themeFill="accent4" w:val="clear"/>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4-Accent5" w:type="table">
    <w:name w:val="List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4-Accent6" w:type="table">
    <w:name w:val="List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5Dark" w:type="table">
    <w:name w:val="List Table 5 Dark"/>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 w:type="table">
    <w:name w:val="List Table 5 Dark Accent"/>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4472C4" w:space="0" w:sz="24" w:themeColor="accent5" w:val="single"/>
        <w:left w:color="4472C4" w:space="0" w:sz="24" w:themeColor="accent5" w:val="single"/>
        <w:bottom w:color="4472C4" w:space="0" w:sz="24" w:themeColor="accent5" w:val="single"/>
        <w:right w:color="4472C4" w:space="0" w:sz="24" w:themeColor="accent5" w:val="single"/>
      </w:tblBorders>
    </w:tblPr>
    <w:tcPr>
      <w:shd w:color="auto" w:fill="4472C4"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6Colorful-Accent2" w:type="table">
    <w:name w:val="List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6Colorful-Accent3" w:type="table">
    <w:name w:val="List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6Colorful-Accent4" w:type="table">
    <w:name w:val="List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6Colorful-Accent5" w:type="table">
    <w:name w:val="List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6ColorfulAccent" w:type="table">
    <w:name w:val="List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4" w:themeColor="accent6" w:val="single"/>
        <w:bottom w:color="70AD47" w:space="0" w:sz="4" w:themeColor="accent6" w:val="single"/>
      </w:tblBorders>
    </w:tblPr>
    <w:tblStylePr w:type="firstRow">
      <w:rPr>
        <w:b/>
        <w:bCs/>
      </w:rPr>
      <w:tblPr/>
      <w:tcPr>
        <w:tcBorders>
          <w:bottom w:color="70AD47" w:space="0" w:sz="4" w:themeColor="accent6" w:val="single"/>
        </w:tcBorders>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7Colorful" w:type="table">
    <w:name w:val="List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1" w:type="table">
    <w:name w:val="Plain Table 1"/>
    <w:basedOn w:val="TableNormal"/>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eGridLight" w:type="table">
    <w:name w:val="Grid Table Light"/>
    <w:basedOn w:val="TableNormal"/>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Caractredenotebaspage" w:type="character">
    <w:name w:val="Caractère de note bas page"/>
    <w:rsid w:val="00937DD7"/>
    <w:rPr>
      <w:vertAlign w:val="superscript"/>
    </w:rPr>
  </w:style>
  <w:style w:customStyle="1" w:styleId="ui-provider" w:type="character">
    <w:name w:val="ui-provider"/>
    <w:basedOn w:val="DefaultParagraphFont"/>
    <w:rsid w:val="008F0005"/>
  </w:style>
  <w:style w:customStyle="1" w:styleId="ColorfulGrid1" w:type="table">
    <w:name w:val="Colorful Grid1"/>
    <w:basedOn w:val="TableNormal"/>
    <w:next w:val="ColorfulGrid"/>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ColorfulGrid-Accent11" w:type="table">
    <w:name w:val="Colorful Grid - Accent 11"/>
    <w:basedOn w:val="TableNormal"/>
    <w:next w:val="ColorfulGrid-Accent1"/>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customStyle="1" w:styleId="ColorfulGrid-Accent21" w:type="table">
    <w:name w:val="Colorful Grid - Accent 21"/>
    <w:basedOn w:val="TableNormal"/>
    <w:next w:val="ColorfulGrid-Accent2"/>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ColorfulGrid-Accent31" w:type="table">
    <w:name w:val="Colorful Grid - Accent 31"/>
    <w:basedOn w:val="TableNormal"/>
    <w:next w:val="ColorfulGrid-Accent3"/>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ColorfulGrid-Accent41" w:type="table">
    <w:name w:val="Colorful Grid - Accent 41"/>
    <w:basedOn w:val="TableNormal"/>
    <w:next w:val="ColorfulGrid-Accent4"/>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ColorfulGrid-Accent51" w:type="table">
    <w:name w:val="Colorful Grid - Accent 51"/>
    <w:basedOn w:val="TableNormal"/>
    <w:next w:val="ColorfulGrid-Accent5"/>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ColorfulGrid-Accent61" w:type="table">
    <w:name w:val="Colorful Grid - Accent 61"/>
    <w:basedOn w:val="TableNormal"/>
    <w:next w:val="ColorfulGrid-Accent6"/>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ColorfulList1" w:type="table">
    <w:name w:val="Colorful List1"/>
    <w:basedOn w:val="TableNormal"/>
    <w:next w:val="ColorfulList"/>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customStyle="1" w:styleId="ColorfulList-Accent11" w:type="table">
    <w:name w:val="Colorful List - Accent 11"/>
    <w:basedOn w:val="TableNormal"/>
    <w:next w:val="ColorfulList-Accent1"/>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customStyle="1" w:styleId="ColorfulList-Accent21" w:type="table">
    <w:name w:val="Colorful List - Accent 21"/>
    <w:basedOn w:val="TableNormal"/>
    <w:next w:val="ColorfulList-Accent2"/>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customStyle="1" w:styleId="ColorfulList-Accent31" w:type="table">
    <w:name w:val="Colorful List - Accent 31"/>
    <w:basedOn w:val="TableNormal"/>
    <w:next w:val="ColorfulList-Accent3"/>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customStyle="1" w:styleId="ColorfulList-Accent41" w:type="table">
    <w:name w:val="Colorful List - Accent 41"/>
    <w:basedOn w:val="TableNormal"/>
    <w:next w:val="ColorfulList-Accent4"/>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customStyle="1" w:styleId="ColorfulList-Accent51" w:type="table">
    <w:name w:val="Colorful List - Accent 51"/>
    <w:basedOn w:val="TableNormal"/>
    <w:next w:val="ColorfulList-Accent5"/>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customStyle="1" w:styleId="ColorfulList-Accent61" w:type="table">
    <w:name w:val="Colorful List - Accent 61"/>
    <w:basedOn w:val="TableNormal"/>
    <w:next w:val="ColorfulList-Accent6"/>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customStyle="1" w:styleId="ColorfulShading1" w:type="table">
    <w:name w:val="Colorful Shading1"/>
    <w:basedOn w:val="TableNormal"/>
    <w:next w:val="ColorfulShading"/>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customStyle="1" w:styleId="ColorfulShading-Accent11" w:type="table">
    <w:name w:val="Colorful Shading - Accent 11"/>
    <w:basedOn w:val="TableNormal"/>
    <w:next w:val="ColorfulShading-Accent1"/>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customStyle="1" w:styleId="ColorfulShading-Accent21" w:type="table">
    <w:name w:val="Colorful Shading - Accent 21"/>
    <w:basedOn w:val="TableNormal"/>
    <w:next w:val="ColorfulShading-Accent2"/>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customStyle="1" w:styleId="ColorfulShading-Accent31" w:type="table">
    <w:name w:val="Colorful Shading - Accent 31"/>
    <w:basedOn w:val="TableNormal"/>
    <w:next w:val="ColorfulShading-Accent3"/>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customStyle="1" w:styleId="ColorfulShading-Accent41" w:type="table">
    <w:name w:val="Colorful Shading - Accent 41"/>
    <w:basedOn w:val="TableNormal"/>
    <w:next w:val="ColorfulShading-Accent4"/>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customStyle="1" w:styleId="ColorfulShading-Accent51" w:type="table">
    <w:name w:val="Colorful Shading - Accent 51"/>
    <w:basedOn w:val="TableNormal"/>
    <w:next w:val="ColorfulShading-Accent5"/>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customStyle="1" w:styleId="ColorfulShading-Accent61" w:type="table">
    <w:name w:val="Colorful Shading - Accent 61"/>
    <w:basedOn w:val="TableNormal"/>
    <w:next w:val="ColorfulShading-Accent6"/>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customStyle="1" w:styleId="DarkList1" w:type="table">
    <w:name w:val="Dark List1"/>
    <w:basedOn w:val="TableNormal"/>
    <w:next w:val="DarkList"/>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customStyle="1" w:styleId="DarkList-Accent11" w:type="table">
    <w:name w:val="Dark List - Accent 11"/>
    <w:basedOn w:val="TableNormal"/>
    <w:next w:val="DarkList-Accent1"/>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customStyle="1" w:styleId="DarkList-Accent21" w:type="table">
    <w:name w:val="Dark List - Accent 21"/>
    <w:basedOn w:val="TableNormal"/>
    <w:next w:val="DarkList-Accent2"/>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customStyle="1" w:styleId="DarkList-Accent31" w:type="table">
    <w:name w:val="Dark List - Accent 31"/>
    <w:basedOn w:val="TableNormal"/>
    <w:next w:val="DarkList-Accent3"/>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customStyle="1" w:styleId="DarkList-Accent41" w:type="table">
    <w:name w:val="Dark List - Accent 41"/>
    <w:basedOn w:val="TableNormal"/>
    <w:next w:val="DarkList-Accent4"/>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customStyle="1" w:styleId="DarkList-Accent51" w:type="table">
    <w:name w:val="Dark List - Accent 51"/>
    <w:basedOn w:val="TableNormal"/>
    <w:next w:val="DarkList-Accent5"/>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customStyle="1" w:styleId="DarkList-Accent61" w:type="table">
    <w:name w:val="Dark List - Accent 61"/>
    <w:basedOn w:val="TableNormal"/>
    <w:next w:val="DarkList-Accent6"/>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customStyle="1" w:styleId="LightGrid1" w:type="table">
    <w:name w:val="Light Grid1"/>
    <w:basedOn w:val="TableNormal"/>
    <w:next w:val="LightGrid"/>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customStyle="1" w:styleId="LightGrid-Accent11" w:type="table">
    <w:name w:val="Light Grid - Accent 11"/>
    <w:basedOn w:val="TableNormal"/>
    <w:next w:val="LightGrid-Accent1"/>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customStyle="1" w:styleId="LightGrid-Accent21" w:type="table">
    <w:name w:val="Light Grid - Accent 21"/>
    <w:basedOn w:val="TableNormal"/>
    <w:next w:val="LightGrid-Accent2"/>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customStyle="1" w:styleId="LightGrid-Accent31" w:type="table">
    <w:name w:val="Light Grid - Accent 31"/>
    <w:basedOn w:val="TableNormal"/>
    <w:next w:val="LightGrid-Accent3"/>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customStyle="1" w:styleId="LightGrid-Accent41" w:type="table">
    <w:name w:val="Light Grid - Accent 41"/>
    <w:basedOn w:val="TableNormal"/>
    <w:next w:val="LightGrid-Accent4"/>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customStyle="1" w:styleId="LightGrid-Accent51" w:type="table">
    <w:name w:val="Light Grid - Accent 51"/>
    <w:basedOn w:val="TableNormal"/>
    <w:next w:val="LightGrid-Accent5"/>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customStyle="1" w:styleId="LightGrid-Accent61" w:type="table">
    <w:name w:val="Light Grid - Accent 61"/>
    <w:basedOn w:val="TableNormal"/>
    <w:next w:val="LightGrid-Accent6"/>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customStyle="1" w:styleId="LightList1" w:type="table">
    <w:name w:val="Light List1"/>
    <w:basedOn w:val="TableNormal"/>
    <w:next w:val="LightList"/>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customStyle="1" w:styleId="LightList-Accent11" w:type="table">
    <w:name w:val="Light List - Accent 11"/>
    <w:basedOn w:val="TableNormal"/>
    <w:next w:val="LightList-Accent1"/>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customStyle="1" w:styleId="LightList-Accent21" w:type="table">
    <w:name w:val="Light List - Accent 21"/>
    <w:basedOn w:val="TableNormal"/>
    <w:next w:val="LightList-Accent2"/>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customStyle="1" w:styleId="LightList-Accent31" w:type="table">
    <w:name w:val="Light List - Accent 31"/>
    <w:basedOn w:val="TableNormal"/>
    <w:next w:val="LightList-Accent3"/>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customStyle="1" w:styleId="LightList-Accent41" w:type="table">
    <w:name w:val="Light List - Accent 41"/>
    <w:basedOn w:val="TableNormal"/>
    <w:next w:val="LightList-Accent4"/>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customStyle="1" w:styleId="LightList-Accent51" w:type="table">
    <w:name w:val="Light List - Accent 51"/>
    <w:basedOn w:val="TableNormal"/>
    <w:next w:val="LightList-Accent5"/>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customStyle="1" w:styleId="LightList-Accent61" w:type="table">
    <w:name w:val="Light List - Accent 61"/>
    <w:basedOn w:val="TableNormal"/>
    <w:next w:val="LightList-Accent6"/>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customStyle="1" w:styleId="LightShading1" w:type="table">
    <w:name w:val="Light Shading1"/>
    <w:basedOn w:val="TableNormal"/>
    <w:next w:val="LightShading"/>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LightShading-Accent11" w:type="table">
    <w:name w:val="Light Shading - Accent 11"/>
    <w:basedOn w:val="TableNormal"/>
    <w:next w:val="LightShading-Accent1"/>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customStyle="1" w:styleId="LightShading-Accent21" w:type="table">
    <w:name w:val="Light Shading - Accent 21"/>
    <w:basedOn w:val="TableNormal"/>
    <w:next w:val="LightShading-Accent2"/>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customStyle="1" w:styleId="LightShading-Accent31" w:type="table">
    <w:name w:val="Light Shading - Accent 31"/>
    <w:basedOn w:val="TableNormal"/>
    <w:next w:val="LightShading-Accent3"/>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customStyle="1" w:styleId="LightShading-Accent41" w:type="table">
    <w:name w:val="Light Shading - Accent 41"/>
    <w:basedOn w:val="TableNormal"/>
    <w:next w:val="LightShading-Accent4"/>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customStyle="1" w:styleId="LightShading-Accent51" w:type="table">
    <w:name w:val="Light Shading - Accent 51"/>
    <w:basedOn w:val="TableNormal"/>
    <w:next w:val="LightShading-Accent5"/>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customStyle="1" w:styleId="LightShading-Accent61" w:type="table">
    <w:name w:val="Light Shading - Accent 61"/>
    <w:basedOn w:val="TableNormal"/>
    <w:next w:val="LightShading-Accent6"/>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customStyle="1" w:styleId="MediumGrid11" w:type="table">
    <w:name w:val="Medium Grid 11"/>
    <w:basedOn w:val="TableNormal"/>
    <w:next w:val="MediumGrid1"/>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21" w:type="table">
    <w:name w:val="Medium Grid 1 - Accent 21"/>
    <w:basedOn w:val="TableNormal"/>
    <w:next w:val="MediumGrid1-Accent2"/>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MediumGrid1-Accent31" w:type="table">
    <w:name w:val="Medium Grid 1 - Accent 31"/>
    <w:basedOn w:val="TableNormal"/>
    <w:next w:val="MediumGrid1-Accent3"/>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MediumGrid1-Accent41" w:type="table">
    <w:name w:val="Medium Grid 1 - Accent 41"/>
    <w:basedOn w:val="TableNormal"/>
    <w:next w:val="MediumGrid1-Accent4"/>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MediumGrid1-Accent51" w:type="table">
    <w:name w:val="Medium Grid 1 - Accent 51"/>
    <w:basedOn w:val="TableNormal"/>
    <w:next w:val="MediumGrid1-Accent5"/>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MediumGrid1-Accent61" w:type="table">
    <w:name w:val="Medium Grid 1 - Accent 61"/>
    <w:basedOn w:val="TableNormal"/>
    <w:next w:val="MediumGrid1-Accent6"/>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MediumGrid21" w:type="table">
    <w:name w:val="Medium Grid 21"/>
    <w:basedOn w:val="TableNormal"/>
    <w:next w:val="MediumGrid2"/>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customStyle="1" w:styleId="MediumGrid2-Accent11" w:type="table">
    <w:name w:val="Medium Grid 2 - Accent 11"/>
    <w:basedOn w:val="TableNormal"/>
    <w:next w:val="MediumGrid2-Accent1"/>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31" w:type="table">
    <w:name w:val="Medium Grid 2 - Accent 31"/>
    <w:basedOn w:val="TableNormal"/>
    <w:next w:val="MediumGrid2-Accent3"/>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customStyle="1" w:styleId="MediumGrid2-Accent41" w:type="table">
    <w:name w:val="Medium Grid 2 - Accent 41"/>
    <w:basedOn w:val="TableNormal"/>
    <w:next w:val="MediumGrid2-Accent4"/>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customStyle="1" w:styleId="MediumGrid2-Accent51" w:type="table">
    <w:name w:val="Medium Grid 2 - Accent 51"/>
    <w:basedOn w:val="TableNormal"/>
    <w:next w:val="MediumGrid2-Accent5"/>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customStyle="1" w:styleId="MediumGrid2-Accent61" w:type="table">
    <w:name w:val="Medium Grid 2 - Accent 61"/>
    <w:basedOn w:val="TableNormal"/>
    <w:next w:val="MediumGrid2-Accent6"/>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customStyle="1" w:styleId="MediumGrid31" w:type="table">
    <w:name w:val="Medium Grid 31"/>
    <w:basedOn w:val="TableNormal"/>
    <w:next w:val="MediumGrid3"/>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customStyle="1" w:styleId="MediumGrid3-Accent11" w:type="table">
    <w:name w:val="Medium Grid 3 - Accent 11"/>
    <w:basedOn w:val="TableNormal"/>
    <w:next w:val="MediumGrid3-Accent1"/>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customStyle="1" w:styleId="MediumGrid3-Accent21" w:type="table">
    <w:name w:val="Medium Grid 3 - Accent 21"/>
    <w:basedOn w:val="TableNormal"/>
    <w:next w:val="MediumGrid3-Accent2"/>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41" w:type="table">
    <w:name w:val="Medium Grid 3 - Accent 41"/>
    <w:basedOn w:val="TableNormal"/>
    <w:next w:val="MediumGrid3-Accent4"/>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customStyle="1" w:styleId="MediumGrid3-Accent51" w:type="table">
    <w:name w:val="Medium Grid 3 - Accent 51"/>
    <w:basedOn w:val="TableNormal"/>
    <w:next w:val="MediumGrid3-Accent5"/>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customStyle="1" w:styleId="MediumGrid3-Accent61" w:type="table">
    <w:name w:val="Medium Grid 3 - Accent 61"/>
    <w:basedOn w:val="TableNormal"/>
    <w:next w:val="MediumGrid3-Accent6"/>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customStyle="1" w:styleId="MediumList11" w:type="table">
    <w:name w:val="Medium List 11"/>
    <w:basedOn w:val="TableNormal"/>
    <w:next w:val="MediumList1"/>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21" w:type="table">
    <w:name w:val="Medium List 1 - Accent 21"/>
    <w:basedOn w:val="TableNormal"/>
    <w:next w:val="MediumList1-Accent2"/>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customStyle="1" w:styleId="MediumList1-Accent31" w:type="table">
    <w:name w:val="Medium List 1 - Accent 31"/>
    <w:basedOn w:val="TableNormal"/>
    <w:next w:val="MediumList1-Accent3"/>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customStyle="1" w:styleId="MediumList1-Accent41" w:type="table">
    <w:name w:val="Medium List 1 - Accent 41"/>
    <w:basedOn w:val="TableNormal"/>
    <w:next w:val="MediumList1-Accent4"/>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customStyle="1" w:styleId="MediumList1-Accent51" w:type="table">
    <w:name w:val="Medium List 1 - Accent 51"/>
    <w:basedOn w:val="TableNormal"/>
    <w:next w:val="MediumList1-Accent5"/>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customStyle="1" w:styleId="MediumList1-Accent61" w:type="table">
    <w:name w:val="Medium List 1 - Accent 61"/>
    <w:basedOn w:val="TableNormal"/>
    <w:next w:val="MediumList1-Accent6"/>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customStyle="1" w:styleId="MediumList21" w:type="table">
    <w:name w:val="Medium List 21"/>
    <w:basedOn w:val="TableNormal"/>
    <w:next w:val="MediumList2"/>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11" w:type="table">
    <w:name w:val="Medium List 2 - Accent 11"/>
    <w:basedOn w:val="TableNormal"/>
    <w:next w:val="MediumList2-Accent1"/>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31" w:type="table">
    <w:name w:val="Medium List 2 - Accent 31"/>
    <w:basedOn w:val="TableNormal"/>
    <w:next w:val="MediumList2-Accent3"/>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41" w:type="table">
    <w:name w:val="Medium List 2 - Accent 41"/>
    <w:basedOn w:val="TableNormal"/>
    <w:next w:val="MediumList2-Accent4"/>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51" w:type="table">
    <w:name w:val="Medium List 2 - Accent 51"/>
    <w:basedOn w:val="TableNormal"/>
    <w:next w:val="MediumList2-Accent5"/>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61" w:type="table">
    <w:name w:val="Medium List 2 - Accent 61"/>
    <w:basedOn w:val="TableNormal"/>
    <w:next w:val="MediumList2-Accent6"/>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Shading11" w:type="table">
    <w:name w:val="Medium Shading 11"/>
    <w:basedOn w:val="TableNormal"/>
    <w:next w:val="MediumShading1"/>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21" w:type="table">
    <w:name w:val="Medium Shading 1 - Accent 21"/>
    <w:basedOn w:val="TableNormal"/>
    <w:next w:val="MediumShading1-Accent2"/>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customStyle="1" w:styleId="MediumShading1-Accent31" w:type="table">
    <w:name w:val="Medium Shading 1 - Accent 31"/>
    <w:basedOn w:val="TableNormal"/>
    <w:next w:val="MediumShading1-Accent3"/>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customStyle="1" w:styleId="MediumShading1-Accent41" w:type="table">
    <w:name w:val="Medium Shading 1 - Accent 41"/>
    <w:basedOn w:val="TableNormal"/>
    <w:next w:val="MediumShading1-Accent4"/>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customStyle="1" w:styleId="MediumShading1-Accent51" w:type="table">
    <w:name w:val="Medium Shading 1 - Accent 51"/>
    <w:basedOn w:val="TableNormal"/>
    <w:next w:val="MediumShading1-Accent5"/>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customStyle="1" w:styleId="MediumShading1-Accent61" w:type="table">
    <w:name w:val="Medium Shading 1 - Accent 61"/>
    <w:basedOn w:val="TableNormal"/>
    <w:next w:val="MediumShading1-Accent6"/>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customStyle="1" w:styleId="MediumShading21" w:type="table">
    <w:name w:val="Medium Shading 21"/>
    <w:basedOn w:val="TableNormal"/>
    <w:next w:val="MediumShading2"/>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11" w:type="table">
    <w:name w:val="Medium Shading 2 - Accent 11"/>
    <w:basedOn w:val="TableNormal"/>
    <w:next w:val="MediumShading2-Accent1"/>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31" w:type="table">
    <w:name w:val="Medium Shading 2 - Accent 31"/>
    <w:basedOn w:val="TableNormal"/>
    <w:next w:val="MediumShading2-Accent3"/>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41" w:type="table">
    <w:name w:val="Medium Shading 2 - Accent 41"/>
    <w:basedOn w:val="TableNormal"/>
    <w:next w:val="MediumShading2-Accent4"/>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51" w:type="table">
    <w:name w:val="Medium Shading 2 - Accent 51"/>
    <w:basedOn w:val="TableNormal"/>
    <w:next w:val="MediumShading2-Accent5"/>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61" w:type="table">
    <w:name w:val="Medium Shading 2 - Accent 61"/>
    <w:basedOn w:val="TableNormal"/>
    <w:next w:val="MediumShading2-Accent6"/>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Table3Deffects11" w:type="table">
    <w:name w:val="Table 3D effects 11"/>
    <w:basedOn w:val="TableNormal"/>
    <w:next w:val="Table3Deffects1"/>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customStyle="1" w:styleId="Table3Deffects21" w:type="table">
    <w:name w:val="Table 3D effects 21"/>
    <w:basedOn w:val="TableNormal"/>
    <w:next w:val="Table3Deffects2"/>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3Deffects31" w:type="table">
    <w:name w:val="Table 3D effects 31"/>
    <w:basedOn w:val="TableNormal"/>
    <w:next w:val="Table3Deffects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11" w:type="table">
    <w:name w:val="Table Classic 11"/>
    <w:basedOn w:val="TableNormal"/>
    <w:next w:val="TableClassic1"/>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21" w:type="table">
    <w:name w:val="Table Classic 21"/>
    <w:basedOn w:val="TableNormal"/>
    <w:next w:val="TableClassic2"/>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customStyle="1" w:styleId="TableClassic31" w:type="table">
    <w:name w:val="Table Classic 31"/>
    <w:basedOn w:val="TableNormal"/>
    <w:next w:val="TableClassic3"/>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customStyle="1" w:styleId="TableClassic41" w:type="table">
    <w:name w:val="Table Classic 41"/>
    <w:basedOn w:val="TableNormal"/>
    <w:next w:val="TableClassic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customStyle="1" w:styleId="TableColorful11" w:type="table">
    <w:name w:val="Table Colorful 11"/>
    <w:basedOn w:val="TableNormal"/>
    <w:next w:val="TableColorful1"/>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21" w:type="table">
    <w:name w:val="Table Colorful 21"/>
    <w:basedOn w:val="TableNormal"/>
    <w:next w:val="TableColorful2"/>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31" w:type="table">
    <w:name w:val="Table Colorful 31"/>
    <w:basedOn w:val="TableNormal"/>
    <w:next w:val="TableColorful3"/>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customStyle="1" w:styleId="TableColumns11" w:type="table">
    <w:name w:val="Table Columns 11"/>
    <w:basedOn w:val="TableNormal"/>
    <w:next w:val="TableColumns1"/>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21" w:type="table">
    <w:name w:val="Table Columns 21"/>
    <w:basedOn w:val="TableNormal"/>
    <w:next w:val="TableColumns2"/>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31" w:type="table">
    <w:name w:val="Table Columns 31"/>
    <w:basedOn w:val="TableNormal"/>
    <w:next w:val="TableColumns3"/>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customStyle="1" w:styleId="TableColumns41" w:type="table">
    <w:name w:val="Table Columns 41"/>
    <w:basedOn w:val="TableNormal"/>
    <w:next w:val="TableColumns4"/>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customStyle="1" w:styleId="TableColumns51" w:type="table">
    <w:name w:val="Table Columns 51"/>
    <w:basedOn w:val="TableNormal"/>
    <w:next w:val="TableColumns5"/>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customStyle="1" w:styleId="TableContemporary1" w:type="table">
    <w:name w:val="Table Contemporary1"/>
    <w:basedOn w:val="TableNormal"/>
    <w:next w:val="TableContemporary"/>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customStyle="1" w:styleId="TableElegant1" w:type="table">
    <w:name w:val="Table Elegant1"/>
    <w:basedOn w:val="TableNormal"/>
    <w:next w:val="TableElegant"/>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customStyle="1" w:styleId="TableGrid11" w:type="table">
    <w:name w:val="Table Grid 11"/>
    <w:basedOn w:val="TableNormal"/>
    <w:next w:val="TableGrid10"/>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customStyle="1" w:styleId="TableGrid21" w:type="table">
    <w:name w:val="Table Grid 21"/>
    <w:basedOn w:val="TableNormal"/>
    <w:next w:val="TableGrid2"/>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31" w:type="table">
    <w:name w:val="Table Grid 31"/>
    <w:basedOn w:val="TableNormal"/>
    <w:next w:val="TableGrid3"/>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41" w:type="table">
    <w:name w:val="Table Grid 41"/>
    <w:basedOn w:val="TableNormal"/>
    <w:next w:val="TableGrid4"/>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customStyle="1" w:styleId="TableGrid51" w:type="table">
    <w:name w:val="Table Grid 51"/>
    <w:basedOn w:val="TableNormal"/>
    <w:next w:val="TableGrid5"/>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61" w:type="table">
    <w:name w:val="Table Grid 61"/>
    <w:basedOn w:val="TableNormal"/>
    <w:next w:val="TableGrid6"/>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71" w:type="table">
    <w:name w:val="Table Grid 71"/>
    <w:basedOn w:val="TableNormal"/>
    <w:next w:val="TableGrid7"/>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81" w:type="table">
    <w:name w:val="Table Grid 81"/>
    <w:basedOn w:val="TableNormal"/>
    <w:next w:val="TableGrid8"/>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customStyle="1" w:styleId="TableList11" w:type="table">
    <w:name w:val="Table List 11"/>
    <w:basedOn w:val="TableNormal"/>
    <w:next w:val="TableList1"/>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21" w:type="table">
    <w:name w:val="Table List 21"/>
    <w:basedOn w:val="TableNormal"/>
    <w:next w:val="TableList2"/>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31" w:type="table">
    <w:name w:val="Table List 31"/>
    <w:basedOn w:val="TableNormal"/>
    <w:next w:val="TableList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TableList41" w:type="table">
    <w:name w:val="Table List 41"/>
    <w:basedOn w:val="TableNormal"/>
    <w:next w:val="TableList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customStyle="1" w:styleId="TableList51" w:type="table">
    <w:name w:val="Table List 51"/>
    <w:basedOn w:val="TableNormal"/>
    <w:next w:val="TableList5"/>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customStyle="1" w:styleId="TableList61" w:type="table">
    <w:name w:val="Table List 61"/>
    <w:basedOn w:val="TableNormal"/>
    <w:next w:val="TableList6"/>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customStyle="1" w:styleId="TableList71" w:type="table">
    <w:name w:val="Table List 71"/>
    <w:basedOn w:val="TableNormal"/>
    <w:next w:val="TableList7"/>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customStyle="1" w:styleId="TableList81" w:type="table">
    <w:name w:val="Table List 81"/>
    <w:basedOn w:val="TableNormal"/>
    <w:next w:val="TableList8"/>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customStyle="1" w:styleId="TableProfessional1" w:type="table">
    <w:name w:val="Table Professional1"/>
    <w:basedOn w:val="TableNormal"/>
    <w:next w:val="TableProfession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customStyle="1" w:styleId="TableSimple11" w:type="table">
    <w:name w:val="Table Simple 11"/>
    <w:basedOn w:val="TableNormal"/>
    <w:next w:val="TableSimple1"/>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customStyle="1" w:styleId="TableSimple21" w:type="table">
    <w:name w:val="Table Simple 21"/>
    <w:basedOn w:val="TableNormal"/>
    <w:next w:val="TableSimple2"/>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customStyle="1" w:styleId="TableSimple31" w:type="table">
    <w:name w:val="Table Simple 31"/>
    <w:basedOn w:val="TableNormal"/>
    <w:next w:val="TableSimple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customStyle="1" w:styleId="TableSubtle11" w:type="table">
    <w:name w:val="Table Subtle 11"/>
    <w:basedOn w:val="TableNormal"/>
    <w:next w:val="TableSubtle1"/>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Subtle21" w:type="table">
    <w:name w:val="Table Subtle 21"/>
    <w:basedOn w:val="TableNormal"/>
    <w:next w:val="TableSubtle2"/>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Theme1" w:type="table">
    <w:name w:val="Table Theme1"/>
    <w:basedOn w:val="TableNormal"/>
    <w:next w:val="TableTheme"/>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eb11" w:type="table">
    <w:name w:val="Table Web 11"/>
    <w:basedOn w:val="TableNormal"/>
    <w:next w:val="TableWeb1"/>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21" w:type="table">
    <w:name w:val="Table Web 21"/>
    <w:basedOn w:val="TableNormal"/>
    <w:next w:val="TableWeb2"/>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31" w:type="table">
    <w:name w:val="Table Web 31"/>
    <w:basedOn w:val="TableNormal"/>
    <w:next w:val="TableWeb3"/>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GridTable1Light1" w:type="table">
    <w:name w:val="Grid Table 1 Light1"/>
    <w:basedOn w:val="TableNormal"/>
    <w:next w:val="Grid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21" w:type="table">
    <w:name w:val="Grid Table 1 Light - Accent 21"/>
    <w:basedOn w:val="TableNormal"/>
    <w:next w:val="Grid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customStyle="1" w:styleId="GridTable1Light-Accent31" w:type="table">
    <w:name w:val="Grid Table 1 Light - Accent 31"/>
    <w:basedOn w:val="TableNormal"/>
    <w:next w:val="Grid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GridTable1Light-Accent41" w:type="table">
    <w:name w:val="Grid Table 1 Light - Accent 41"/>
    <w:basedOn w:val="TableNormal"/>
    <w:next w:val="Grid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customStyle="1" w:styleId="GridTable1Light-Accent51" w:type="table">
    <w:name w:val="Grid Table 1 Light - Accent 51"/>
    <w:basedOn w:val="TableNormal"/>
    <w:next w:val="Grid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customStyle="1" w:styleId="GridTable1Light-Accent61" w:type="table">
    <w:name w:val="Grid Table 1 Light - Accent 61"/>
    <w:basedOn w:val="TableNormal"/>
    <w:next w:val="Grid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customStyle="1" w:styleId="GridTable21" w:type="table">
    <w:name w:val="Grid Table 21"/>
    <w:basedOn w:val="TableNormal"/>
    <w:next w:val="Grid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2-Accent11" w:type="table">
    <w:name w:val="Grid Table 2 - Accent 11"/>
    <w:basedOn w:val="TableNormal"/>
    <w:next w:val="Grid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31" w:type="table">
    <w:name w:val="Grid Table 2 - Accent 31"/>
    <w:basedOn w:val="TableNormal"/>
    <w:next w:val="Grid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2-Accent41" w:type="table">
    <w:name w:val="Grid Table 2 - Accent 41"/>
    <w:basedOn w:val="TableNormal"/>
    <w:next w:val="Grid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2-Accent51" w:type="table">
    <w:name w:val="Grid Table 2 - Accent 51"/>
    <w:basedOn w:val="TableNormal"/>
    <w:next w:val="Grid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2-Accent61" w:type="table">
    <w:name w:val="Grid Table 2 - Accent 61"/>
    <w:basedOn w:val="TableNormal"/>
    <w:next w:val="Grid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31" w:type="table">
    <w:name w:val="Grid Table 31"/>
    <w:basedOn w:val="TableNormal"/>
    <w:next w:val="Grid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3-Accent11" w:type="table">
    <w:name w:val="Grid Table 3 - Accent 11"/>
    <w:basedOn w:val="TableNormal"/>
    <w:next w:val="Grid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3-Accent21" w:type="table">
    <w:name w:val="Grid Table 3 - Accent 21"/>
    <w:basedOn w:val="TableNormal"/>
    <w:next w:val="Grid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41" w:type="table">
    <w:name w:val="Grid Table 3 - Accent 41"/>
    <w:basedOn w:val="TableNormal"/>
    <w:next w:val="Grid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3-Accent51" w:type="table">
    <w:name w:val="Grid Table 3 - Accent 51"/>
    <w:basedOn w:val="TableNormal"/>
    <w:next w:val="Grid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3-Accent61" w:type="table">
    <w:name w:val="Grid Table 3 - Accent 61"/>
    <w:basedOn w:val="TableNormal"/>
    <w:next w:val="Grid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GridTable41" w:type="table">
    <w:name w:val="Grid Table 41"/>
    <w:basedOn w:val="TableNormal"/>
    <w:next w:val="Grid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4-Accent11" w:type="table">
    <w:name w:val="Grid Table 4 - Accent 11"/>
    <w:basedOn w:val="TableNormal"/>
    <w:next w:val="Grid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4-Accent21" w:type="table">
    <w:name w:val="Grid Table 4 - Accent 21"/>
    <w:basedOn w:val="TableNormal"/>
    <w:next w:val="Grid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4-Accent31" w:type="table">
    <w:name w:val="Grid Table 4 - Accent 31"/>
    <w:basedOn w:val="TableNormal"/>
    <w:next w:val="Grid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51" w:type="table">
    <w:name w:val="Grid Table 4 - Accent 51"/>
    <w:basedOn w:val="TableNormal"/>
    <w:next w:val="Grid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4-Accent61" w:type="table">
    <w:name w:val="Grid Table 4 - Accent 61"/>
    <w:basedOn w:val="TableNormal"/>
    <w:next w:val="Grid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5Dark1" w:type="table">
    <w:name w:val="Grid Table 5 Dark1"/>
    <w:basedOn w:val="TableNormal"/>
    <w:next w:val="GridTable5Dark"/>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customStyle="1" w:styleId="GridTable5Dark-Accent11" w:type="table">
    <w:name w:val="Grid Table 5 Dark - Accent 11"/>
    <w:basedOn w:val="TableNormal"/>
    <w:next w:val="GridTable5Dark-Accent1"/>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customStyle="1" w:styleId="GridTable5Dark-Accent21" w:type="table">
    <w:name w:val="Grid Table 5 Dark - Accent 21"/>
    <w:basedOn w:val="TableNormal"/>
    <w:next w:val="GridTable5Dark-Accent2"/>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customStyle="1" w:styleId="GridTable5Dark-Accent31" w:type="table">
    <w:name w:val="Grid Table 5 Dark - Accent 31"/>
    <w:basedOn w:val="TableNormal"/>
    <w:next w:val="GridTable5Dark-Accent3"/>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customStyle="1" w:styleId="GridTable5Dark-Accent41" w:type="table">
    <w:name w:val="Grid Table 5 Dark - Accent 41"/>
    <w:basedOn w:val="TableNormal"/>
    <w:next w:val="GridTable5Dark-Accent4"/>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61" w:type="table">
    <w:name w:val="Grid Table 5 Dark - Accent 61"/>
    <w:basedOn w:val="TableNormal"/>
    <w:next w:val="GridTable5Dark-Accent6"/>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customStyle="1" w:styleId="GridTable6Colorful1" w:type="table">
    <w:name w:val="Grid Table 6 Colorful1"/>
    <w:basedOn w:val="TableNormal"/>
    <w:next w:val="Grid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6Colorful-Accent11" w:type="table">
    <w:name w:val="Grid Table 6 Colorful - Accent 11"/>
    <w:basedOn w:val="TableNormal"/>
    <w:next w:val="Grid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6Colorful-Accent21" w:type="table">
    <w:name w:val="Grid Table 6 Colorful - Accent 21"/>
    <w:basedOn w:val="TableNormal"/>
    <w:next w:val="Grid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6Colorful-Accent31" w:type="table">
    <w:name w:val="Grid Table 6 Colorful - Accent 31"/>
    <w:basedOn w:val="TableNormal"/>
    <w:next w:val="Grid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6Colorful-Accent41" w:type="table">
    <w:name w:val="Grid Table 6 Colorful - Accent 41"/>
    <w:basedOn w:val="TableNormal"/>
    <w:next w:val="Grid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6Colorful-Accent51" w:type="table">
    <w:name w:val="Grid Table 6 Colorful - Accent 51"/>
    <w:basedOn w:val="TableNormal"/>
    <w:next w:val="Grid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7Colorful1" w:type="table">
    <w:name w:val="Grid Table 7 Colorful1"/>
    <w:basedOn w:val="TableNormal"/>
    <w:next w:val="Grid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7Colorful-Accent11" w:type="table">
    <w:name w:val="Grid Table 7 Colorful - Accent 11"/>
    <w:basedOn w:val="TableNormal"/>
    <w:next w:val="Grid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7Colorful-Accent21" w:type="table">
    <w:name w:val="Grid Table 7 Colorful - Accent 21"/>
    <w:basedOn w:val="TableNormal"/>
    <w:next w:val="Grid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7Colorful-Accent31" w:type="table">
    <w:name w:val="Grid Table 7 Colorful - Accent 31"/>
    <w:basedOn w:val="TableNormal"/>
    <w:next w:val="Grid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customStyle="1" w:styleId="GridTable7Colorful-Accent41" w:type="table">
    <w:name w:val="Grid Table 7 Colorful - Accent 41"/>
    <w:basedOn w:val="TableNormal"/>
    <w:next w:val="Grid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7Colorful-Accent51" w:type="table">
    <w:name w:val="Grid Table 7 Colorful - Accent 51"/>
    <w:basedOn w:val="TableNormal"/>
    <w:next w:val="Grid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7Colorful-Accent61" w:type="table">
    <w:name w:val="Grid Table 7 Colorful - Accent 61"/>
    <w:basedOn w:val="TableNormal"/>
    <w:next w:val="Grid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ListTable1Light1" w:type="table">
    <w:name w:val="List Table 1 Light1"/>
    <w:basedOn w:val="TableNormal"/>
    <w:next w:val="List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21" w:type="table">
    <w:name w:val="List Table 1 Light - Accent 21"/>
    <w:basedOn w:val="TableNormal"/>
    <w:next w:val="List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1Light-Accent31" w:type="table">
    <w:name w:val="List Table 1 Light - Accent 31"/>
    <w:basedOn w:val="TableNormal"/>
    <w:next w:val="List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1Light-Accent41" w:type="table">
    <w:name w:val="List Table 1 Light - Accent 41"/>
    <w:basedOn w:val="TableNormal"/>
    <w:next w:val="List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1Light-Accent51" w:type="table">
    <w:name w:val="List Table 1 Light - Accent 51"/>
    <w:basedOn w:val="TableNormal"/>
    <w:next w:val="List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1Light-Accent61" w:type="table">
    <w:name w:val="List Table 1 Light - Accent 61"/>
    <w:basedOn w:val="TableNormal"/>
    <w:next w:val="List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21" w:type="table">
    <w:name w:val="List Table 21"/>
    <w:basedOn w:val="TableNormal"/>
    <w:next w:val="List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2-Accent11" w:type="table">
    <w:name w:val="List Table 2 - Accent 11"/>
    <w:basedOn w:val="TableNormal"/>
    <w:next w:val="List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31" w:type="table">
    <w:name w:val="List Table 2 - Accent 31"/>
    <w:basedOn w:val="TableNormal"/>
    <w:next w:val="List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2-Accent41" w:type="table">
    <w:name w:val="List Table 2 - Accent 41"/>
    <w:basedOn w:val="TableNormal"/>
    <w:next w:val="List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2-Accent51" w:type="table">
    <w:name w:val="List Table 2 - Accent 51"/>
    <w:basedOn w:val="TableNormal"/>
    <w:next w:val="List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2-Accent61" w:type="table">
    <w:name w:val="List Table 2 - Accent 61"/>
    <w:basedOn w:val="TableNormal"/>
    <w:next w:val="List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31" w:type="table">
    <w:name w:val="List Table 31"/>
    <w:basedOn w:val="TableNormal"/>
    <w:next w:val="List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ListTable3-Accent11" w:type="table">
    <w:name w:val="List Table 3 - Accent 11"/>
    <w:basedOn w:val="TableNormal"/>
    <w:next w:val="List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customStyle="1" w:styleId="ListTable3-Accent21" w:type="table">
    <w:name w:val="List Table 3 - Accent 21"/>
    <w:basedOn w:val="TableNormal"/>
    <w:next w:val="List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41" w:type="table">
    <w:name w:val="List Table 3 - Accent 41"/>
    <w:basedOn w:val="TableNormal"/>
    <w:next w:val="List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customStyle="1" w:styleId="ListTable3-Accent51" w:type="table">
    <w:name w:val="List Table 3 - Accent 51"/>
    <w:basedOn w:val="TableNormal"/>
    <w:next w:val="List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customStyle="1" w:styleId="ListTable3-Accent61" w:type="table">
    <w:name w:val="List Table 3 - Accent 61"/>
    <w:basedOn w:val="TableNormal"/>
    <w:next w:val="List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customStyle="1" w:styleId="ListTable41" w:type="table">
    <w:name w:val="List Table 41"/>
    <w:basedOn w:val="TableNormal"/>
    <w:next w:val="List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4-Accent11" w:type="table">
    <w:name w:val="List Table 4 - Accent 11"/>
    <w:basedOn w:val="TableNormal"/>
    <w:next w:val="List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4-Accent21" w:type="table">
    <w:name w:val="List Table 4 - Accent 21"/>
    <w:basedOn w:val="TableNormal"/>
    <w:next w:val="List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4-Accent31" w:type="table">
    <w:name w:val="List Table 4 - Accent 31"/>
    <w:basedOn w:val="TableNormal"/>
    <w:next w:val="List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51" w:type="table">
    <w:name w:val="List Table 4 - Accent 51"/>
    <w:basedOn w:val="TableNormal"/>
    <w:next w:val="List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4-Accent61" w:type="table">
    <w:name w:val="List Table 4 - Accent 61"/>
    <w:basedOn w:val="TableNormal"/>
    <w:next w:val="List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5Dark1" w:type="table">
    <w:name w:val="List Table 5 Dark1"/>
    <w:basedOn w:val="TableNormal"/>
    <w:next w:val="ListTable5Dark"/>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11" w:type="table">
    <w:name w:val="List Table 5 Dark - Accent 11"/>
    <w:basedOn w:val="TableNormal"/>
    <w:next w:val="ListTable5Dark-Accent1"/>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21" w:type="table">
    <w:name w:val="List Table 5 Dark - Accent 21"/>
    <w:basedOn w:val="TableNormal"/>
    <w:next w:val="ListTable5Dark-Accent2"/>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31" w:type="table">
    <w:name w:val="List Table 5 Dark - Accent 31"/>
    <w:basedOn w:val="TableNormal"/>
    <w:next w:val="ListTable5Dark-Accent3"/>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41" w:type="table">
    <w:name w:val="List Table 5 Dark - Accent 41"/>
    <w:basedOn w:val="TableNormal"/>
    <w:next w:val="ListTable5Dark-Accent4"/>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61" w:type="table">
    <w:name w:val="List Table 5 Dark - Accent 61"/>
    <w:basedOn w:val="TableNormal"/>
    <w:next w:val="ListTable5Dark-Accent6"/>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6Colorful1" w:type="table">
    <w:name w:val="List Table 6 Colorful1"/>
    <w:basedOn w:val="TableNormal"/>
    <w:next w:val="List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6Colorful-Accent11" w:type="table">
    <w:name w:val="List Table 6 Colorful - Accent 11"/>
    <w:basedOn w:val="TableNormal"/>
    <w:next w:val="List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6Colorful-Accent21" w:type="table">
    <w:name w:val="List Table 6 Colorful - Accent 21"/>
    <w:basedOn w:val="TableNormal"/>
    <w:next w:val="List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6Colorful-Accent31" w:type="table">
    <w:name w:val="List Table 6 Colorful - Accent 31"/>
    <w:basedOn w:val="TableNormal"/>
    <w:next w:val="List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6Colorful-Accent41" w:type="table">
    <w:name w:val="List Table 6 Colorful - Accent 41"/>
    <w:basedOn w:val="TableNormal"/>
    <w:next w:val="List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6Colorful-Accent51" w:type="table">
    <w:name w:val="List Table 6 Colorful - Accent 51"/>
    <w:basedOn w:val="TableNormal"/>
    <w:next w:val="List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7Colorful1" w:type="table">
    <w:name w:val="List Table 7 Colorful1"/>
    <w:basedOn w:val="TableNormal"/>
    <w:next w:val="List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11" w:type="table">
    <w:name w:val="List Table 7 Colorful - Accent 11"/>
    <w:basedOn w:val="TableNormal"/>
    <w:next w:val="List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21" w:type="table">
    <w:name w:val="List Table 7 Colorful - Accent 21"/>
    <w:basedOn w:val="TableNormal"/>
    <w:next w:val="List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31" w:type="table">
    <w:name w:val="List Table 7 Colorful - Accent 31"/>
    <w:basedOn w:val="TableNormal"/>
    <w:next w:val="List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41" w:type="table">
    <w:name w:val="List Table 7 Colorful - Accent 41"/>
    <w:basedOn w:val="TableNormal"/>
    <w:next w:val="List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51" w:type="table">
    <w:name w:val="List Table 7 Colorful - Accent 51"/>
    <w:basedOn w:val="TableNormal"/>
    <w:next w:val="List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61" w:type="table">
    <w:name w:val="List Table 7 Colorful - Accent 61"/>
    <w:basedOn w:val="TableNormal"/>
    <w:next w:val="List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PlainTable11" w:type="table">
    <w:name w:val="Plain Table 11"/>
    <w:basedOn w:val="TableNormal"/>
    <w:next w:val="PlainTable1"/>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21" w:type="table">
    <w:name w:val="Plain Table 21"/>
    <w:basedOn w:val="TableNormal"/>
    <w:next w:val="PlainTable2"/>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PlainTable31" w:type="table">
    <w:name w:val="Plain Table 31"/>
    <w:basedOn w:val="TableNormal"/>
    <w:next w:val="PlainTable3"/>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PlainTable41" w:type="table">
    <w:name w:val="Plain Table 41"/>
    <w:basedOn w:val="TableNormal"/>
    <w:next w:val="PlainTable4"/>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51" w:type="table">
    <w:name w:val="Plain Table 51"/>
    <w:basedOn w:val="TableNormal"/>
    <w:next w:val="PlainTable5"/>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TableGridLight1" w:type="table">
    <w:name w:val="Table Grid Light1"/>
    <w:basedOn w:val="TableNormal"/>
    <w:next w:val="TableGridLight"/>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HeadingE" w:type="character">
    <w:name w:val="Heading E"/>
    <w:rsid w:val="00937DD7"/>
    <w:rPr>
      <w:rFonts w:ascii="Arial CYR" w:cs="Arial CYR" w:hAnsi="Arial CYR"/>
      <w:b/>
      <w:bCs/>
      <w:i/>
      <w:iCs/>
      <w:sz w:val="22"/>
      <w:szCs w:val="22"/>
      <w:lang w:val="en-US"/>
    </w:rPr>
  </w:style>
  <w:style w:customStyle="1" w:styleId="TitreA3" w:type="paragraph">
    <w:name w:val="Titre A3"/>
    <w:basedOn w:val="Normal"/>
    <w:rsid w:val="00937DD7"/>
    <w:pPr>
      <w:suppressAutoHyphens/>
      <w:spacing w:line="240" w:lineRule="auto"/>
      <w:jc w:val="both"/>
    </w:pPr>
    <w:rPr>
      <w:rFonts w:ascii="Univers 55" w:cs="Times New Roman" w:eastAsia="Times New Roman" w:hAnsi="Univers 55"/>
      <w:b/>
      <w:bCs/>
      <w:sz w:val="24"/>
      <w:szCs w:val="24"/>
      <w:lang w:eastAsia="ar-SA" w:val="fr-CA"/>
    </w:rPr>
  </w:style>
  <w:style w:customStyle="1" w:styleId="Titre0" w:type="paragraph">
    <w:name w:val="Titre 0"/>
    <w:basedOn w:val="Normal"/>
    <w:rsid w:val="00937DD7"/>
    <w:pPr>
      <w:suppressAutoHyphens/>
      <w:spacing w:line="240" w:lineRule="auto"/>
      <w:jc w:val="both"/>
    </w:pPr>
    <w:rPr>
      <w:rFonts w:ascii="Arial" w:cs="Times New Roman" w:eastAsia="Times New Roman" w:hAnsi="Arial"/>
      <w:b/>
      <w:sz w:val="36"/>
      <w:szCs w:val="22"/>
      <w:lang w:eastAsia="ar-SA" w:val="fr-CA"/>
    </w:rPr>
  </w:style>
  <w:style w:customStyle="1" w:styleId="WW8Num8z3" w:type="character">
    <w:name w:val="WW8Num8z3"/>
    <w:rsid w:val="00937DD7"/>
    <w:rPr>
      <w:rFonts w:ascii="Symbol" w:hAnsi="Symbol"/>
    </w:rPr>
  </w:style>
  <w:style w:customStyle="1" w:styleId="Lgende1" w:type="paragraph">
    <w:name w:val="Légende1"/>
    <w:basedOn w:val="Normal"/>
    <w:next w:val="Normal"/>
    <w:rsid w:val="00937DD7"/>
    <w:pPr>
      <w:tabs>
        <w:tab w:pos="1080" w:val="left"/>
      </w:tabs>
      <w:suppressAutoHyphens/>
      <w:spacing w:line="240" w:lineRule="auto"/>
      <w:jc w:val="both"/>
    </w:pPr>
    <w:rPr>
      <w:rFonts w:ascii="Times New Roman" w:cs="Times New Roman" w:eastAsia="Times New Roman" w:hAnsi="Times New Roman"/>
      <w:b/>
      <w:bCs/>
      <w:szCs w:val="20"/>
      <w:lang w:eastAsia="ar-SA"/>
    </w:rPr>
  </w:style>
  <w:style w:customStyle="1" w:styleId="TableGrid110" w:type="table">
    <w:name w:val="Table Grid11"/>
    <w:basedOn w:val="TableNormal"/>
    <w:next w:val="TableGrid"/>
    <w:uiPriority w:val="59"/>
    <w:rsid w:val="00937DD7"/>
    <w:pPr>
      <w:spacing w:after="0" w:line="240" w:lineRule="auto"/>
    </w:pPr>
    <w:rPr>
      <w:rFonts w:ascii="Times New Roman" w:cs="Times New Roman" w:eastAsia="Times New Roman" w:hAnsi="Times New Roman"/>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ssrboxtables" w:type="paragraph">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cs="GaramondPremrPro" w:eastAsiaTheme="minorEastAsia" w:hAnsi="GaramondPremrPro"/>
      <w:color w:val="000000"/>
      <w:spacing w:val="-1"/>
      <w:sz w:val="17"/>
      <w:szCs w:val="17"/>
      <w:lang w:eastAsia="fr-FR"/>
    </w:rPr>
  </w:style>
  <w:style w:customStyle="1" w:styleId="garambold" w:type="character">
    <w:name w:val="garam bold"/>
    <w:uiPriority w:val="99"/>
    <w:rsid w:val="00937DD7"/>
    <w:rPr>
      <w:rFonts w:ascii="GaramondPremrPro-Bd" w:cs="GaramondPremrPro-Bd" w:hAnsi="GaramondPremrPro-Bd"/>
      <w:b/>
      <w:bCs/>
    </w:rPr>
  </w:style>
  <w:style w:customStyle="1" w:styleId="PMain" w:type="paragraph">
    <w:name w:val="PMain"/>
    <w:aliases w:val="recommendation:,Contribution,rate,increases,are,needed,and,should,be,scheduled,according,to,a,funding,policy"/>
    <w:basedOn w:val="Normal"/>
    <w:rsid w:val="00937DD7"/>
    <w:pPr>
      <w:spacing w:line="240" w:lineRule="auto"/>
      <w:ind w:left="851"/>
    </w:pPr>
    <w:rPr>
      <w:rFonts w:ascii="Times New Roman" w:cs="Times New Roman" w:eastAsia="SimSun" w:hAnsi="Times New Roman"/>
      <w:color w:val="000000"/>
      <w:sz w:val="24"/>
      <w:szCs w:val="24"/>
    </w:rPr>
  </w:style>
  <w:style w:customStyle="1" w:styleId="Headinglevel5" w:type="paragraph">
    <w:name w:val="Heading level 5"/>
    <w:basedOn w:val="Headinglevel4"/>
    <w:link w:val="Headinglevel5Char"/>
    <w:uiPriority w:val="30"/>
    <w:qFormat/>
    <w:rsid w:val="000B4912"/>
    <w:pPr>
      <w:tabs>
        <w:tab w:pos="851" w:val="left"/>
      </w:tabs>
      <w:jc w:val="both"/>
    </w:pPr>
    <w:rPr>
      <w:b w:val="0"/>
      <w:i/>
      <w:color w:val="1E0050"/>
    </w:rPr>
  </w:style>
  <w:style w:customStyle="1" w:styleId="Table" w:type="paragraph">
    <w:name w:val="Table"/>
    <w:basedOn w:val="Normal"/>
    <w:rsid w:val="00937DD7"/>
    <w:pPr>
      <w:tabs>
        <w:tab w:pos="4570" w:val="left"/>
      </w:tabs>
      <w:autoSpaceDE w:val="0"/>
      <w:autoSpaceDN w:val="0"/>
      <w:adjustRightInd w:val="0"/>
      <w:ind w:left="70"/>
    </w:pPr>
    <w:rPr>
      <w:rFonts w:ascii="Arial" w:cs="Arial" w:hAnsi="Arial"/>
      <w:b/>
      <w:bCs/>
      <w:color w:val="000000"/>
      <w:sz w:val="22"/>
      <w:szCs w:val="22"/>
    </w:rPr>
  </w:style>
  <w:style w:customStyle="1" w:styleId="Headinglevel4Char" w:type="character">
    <w:name w:val="Heading level 4 Char"/>
    <w:basedOn w:val="DefaultParagraphFont"/>
    <w:link w:val="Headinglevel4"/>
    <w:uiPriority w:val="3"/>
    <w:rsid w:val="00937DD7"/>
    <w:rPr>
      <w:rFonts w:ascii="Overpass" w:cs="Noto Sans" w:hAnsi="Overpass"/>
      <w:b/>
      <w:color w:val="230050"/>
      <w:lang w:val="en-US"/>
    </w:rPr>
  </w:style>
  <w:style w:customStyle="1" w:styleId="Headinglevel5Char" w:type="character">
    <w:name w:val="Heading level 5 Char"/>
    <w:basedOn w:val="Headinglevel4Char"/>
    <w:link w:val="Headinglevel5"/>
    <w:uiPriority w:val="30"/>
    <w:rsid w:val="000B4912"/>
    <w:rPr>
      <w:rFonts w:ascii="Overpass" w:cs="Noto Sans" w:hAnsi="Overpass"/>
      <w:b w:val="0"/>
      <w:i/>
      <w:color w:val="1E0050"/>
      <w:lang w:val="en-US"/>
    </w:rPr>
  </w:style>
  <w:style w:customStyle="1" w:styleId="UnresolvedMention2" w:type="character">
    <w:name w:val="Unresolved Mention2"/>
    <w:basedOn w:val="DefaultParagraphFont"/>
    <w:uiPriority w:val="99"/>
    <w:semiHidden/>
    <w:unhideWhenUsed/>
    <w:rsid w:val="00937DD7"/>
    <w:rPr>
      <w:color w:val="605E5C"/>
      <w:shd w:color="auto" w:fill="E1DFDD" w:val="clear"/>
    </w:rPr>
  </w:style>
  <w:style w:customStyle="1" w:styleId="ILObrief" w:type="paragraph">
    <w:name w:val="ILO brief"/>
    <w:basedOn w:val="Normal"/>
    <w:link w:val="ILObriefChar"/>
    <w:qFormat/>
    <w:rsid w:val="00937DD7"/>
    <w:pPr>
      <w:pBdr>
        <w:top w:val="nil"/>
        <w:left w:val="nil"/>
        <w:bottom w:val="nil"/>
        <w:right w:val="nil"/>
        <w:between w:val="nil"/>
        <w:bar w:val="nil"/>
      </w:pBdr>
      <w:spacing w:after="60" w:before="60" w:line="220" w:lineRule="exact"/>
      <w:ind w:left="360"/>
      <w:jc w:val="both"/>
    </w:pPr>
    <w:rPr>
      <w:rFonts w:ascii="Overpass" w:cs="Times New Roman" w:eastAsia="Arial Unicode MS" w:hAnsi="Overpass"/>
      <w:b/>
      <w:color w:themeColor="background1" w:val="FFFFFF"/>
      <w:sz w:val="22"/>
      <w:szCs w:val="24"/>
      <w:bdr w:val="nil"/>
    </w:rPr>
  </w:style>
  <w:style w:customStyle="1" w:styleId="ILObriefChar" w:type="character">
    <w:name w:val="ILO brief Char"/>
    <w:basedOn w:val="DefaultParagraphFont"/>
    <w:link w:val="ILObrief"/>
    <w:rsid w:val="00937DD7"/>
    <w:rPr>
      <w:rFonts w:ascii="Overpass" w:cs="Times New Roman" w:eastAsia="Arial Unicode MS" w:hAnsi="Overpass"/>
      <w:b/>
      <w:color w:themeColor="background1" w:val="FFFFFF"/>
      <w:szCs w:val="24"/>
      <w:bdr w:val="nil"/>
    </w:rPr>
  </w:style>
  <w:style w:customStyle="1" w:styleId="ListParagraphChar" w:type="character">
    <w:name w:val="List Paragraph Char"/>
    <w:aliases w:val="Bullets Char,Fundamentacion Char"/>
    <w:link w:val="ListParagraph"/>
    <w:uiPriority w:val="34"/>
    <w:locked/>
    <w:rsid w:val="00937DD7"/>
    <w:rPr>
      <w:rFonts w:ascii="Noto Sans" w:cs="Noto Sans" w:hAnsi="Noto Sans"/>
      <w:sz w:val="18"/>
      <w:szCs w:val="18"/>
      <w:lang w:val="en-GB"/>
    </w:rPr>
  </w:style>
  <w:style w:customStyle="1" w:styleId="Listbulletbox" w:type="paragraph">
    <w:name w:val="List bullet box"/>
    <w:basedOn w:val="ListBullet1"/>
    <w:uiPriority w:val="99"/>
    <w:qFormat/>
    <w:rsid w:val="00D87952"/>
    <w:rPr>
      <w:sz w:val="18"/>
    </w:rPr>
  </w:style>
  <w:style w:customStyle="1" w:styleId="Headerpair" w:type="paragraph">
    <w:name w:val="Header pair"/>
    <w:basedOn w:val="Header"/>
    <w:uiPriority w:val="30"/>
    <w:qFormat/>
    <w:rsid w:val="00A60F88"/>
    <w:pPr>
      <w:tabs>
        <w:tab w:pos="227" w:val="clear"/>
        <w:tab w:pos="10204" w:val="clear"/>
        <w:tab w:pos="4395" w:val="left"/>
        <w:tab w:pos="4536" w:val="left"/>
        <w:tab w:pos="9070" w:val="right"/>
      </w:tabs>
    </w:pPr>
    <w:rPr>
      <w:spacing w:val="-2"/>
    </w:rPr>
  </w:style>
  <w:style w:styleId="E-mailSignature" w:type="paragraph">
    <w:name w:val="E-mail Signature"/>
    <w:basedOn w:val="Normal"/>
    <w:link w:val="E-mailSignatureChar"/>
    <w:uiPriority w:val="99"/>
    <w:rsid w:val="00447FC0"/>
    <w:pPr>
      <w:spacing w:line="240" w:lineRule="auto"/>
    </w:pPr>
    <w:rPr>
      <w:rFonts w:ascii="Times New Roman" w:cs="Times New Roman" w:eastAsia="Times New Roman" w:hAnsi="Times New Roman"/>
      <w:sz w:val="24"/>
      <w:szCs w:val="24"/>
      <w:lang w:val="en-US"/>
    </w:rPr>
  </w:style>
  <w:style w:customStyle="1" w:styleId="E-mailSignatureChar" w:type="character">
    <w:name w:val="E-mail Signature Char"/>
    <w:basedOn w:val="DefaultParagraphFont"/>
    <w:link w:val="E-mailSignature"/>
    <w:uiPriority w:val="99"/>
    <w:rsid w:val="00447FC0"/>
    <w:rPr>
      <w:rFonts w:ascii="Times New Roman" w:cs="Times New Roman" w:eastAsia="Times New Roman" w:hAnsi="Times New Roman"/>
      <w:sz w:val="24"/>
      <w:szCs w:val="24"/>
      <w:lang w:val="en-US"/>
    </w:rPr>
  </w:style>
  <w:style w:customStyle="1" w:styleId="Textedebulles1" w:type="paragraph">
    <w:name w:val="Texte de bulles1"/>
    <w:basedOn w:val="Normal"/>
    <w:uiPriority w:val="99"/>
    <w:semiHidden/>
    <w:rsid w:val="00447FC0"/>
    <w:pPr>
      <w:spacing w:line="240" w:lineRule="auto"/>
    </w:pPr>
    <w:rPr>
      <w:rFonts w:ascii="Tahoma" w:cs="Tahoma" w:eastAsia="Times New Roman" w:hAnsi="Tahoma"/>
      <w:szCs w:val="16"/>
      <w:lang w:val="en-US"/>
    </w:rPr>
  </w:style>
  <w:style w:customStyle="1" w:styleId="CommentSubject1" w:type="paragraph">
    <w:name w:val="Comment Subject1"/>
    <w:basedOn w:val="CommentText"/>
    <w:next w:val="CommentText"/>
    <w:semiHidden/>
    <w:rsid w:val="00447FC0"/>
    <w:rPr>
      <w:rFonts w:ascii="Times New Roman" w:cs="Times New Roman" w:eastAsia="Times New Roman" w:hAnsi="Times New Roman"/>
      <w:b/>
      <w:bCs/>
      <w:lang w:val="en-US"/>
    </w:rPr>
  </w:style>
  <w:style w:customStyle="1" w:styleId="Ntableau" w:type="paragraph">
    <w:name w:val="N° tableau"/>
    <w:basedOn w:val="Normal"/>
    <w:uiPriority w:val="99"/>
    <w:semiHidden/>
    <w:rsid w:val="00447FC0"/>
    <w:pPr>
      <w:keepLines/>
      <w:widowControl w:val="0"/>
      <w:spacing w:line="320" w:lineRule="auto"/>
      <w:jc w:val="center"/>
    </w:pPr>
    <w:rPr>
      <w:rFonts w:ascii="Helvetica" w:cs="Times New Roman" w:eastAsia="Times New Roman" w:hAnsi="Helvetica"/>
      <w:b/>
      <w:bCs/>
      <w:noProof/>
      <w:sz w:val="22"/>
      <w:szCs w:val="20"/>
      <w:lang w:eastAsia="fr-FR"/>
    </w:rPr>
  </w:style>
  <w:style w:customStyle="1" w:styleId="PartX" w:type="paragraph">
    <w:name w:val="Part X"/>
    <w:basedOn w:val="Normal"/>
    <w:uiPriority w:val="99"/>
    <w:rsid w:val="00447FC0"/>
    <w:pPr>
      <w:spacing w:after="240" w:line="240" w:lineRule="auto"/>
      <w:jc w:val="both"/>
    </w:pPr>
    <w:rPr>
      <w:rFonts w:ascii="Arial" w:cs="Arial" w:eastAsia="Times New Roman" w:hAnsi="Arial"/>
      <w:b/>
      <w:bCs/>
      <w:kern w:val="32"/>
      <w:sz w:val="32"/>
      <w:szCs w:val="32"/>
      <w:lang w:eastAsia="fr-FR"/>
    </w:rPr>
  </w:style>
  <w:style w:customStyle="1" w:styleId="X" w:type="paragraph">
    <w:name w:val="X"/>
    <w:basedOn w:val="Normal"/>
    <w:uiPriority w:val="99"/>
    <w:rsid w:val="00447FC0"/>
    <w:pPr>
      <w:spacing w:line="240" w:lineRule="auto"/>
      <w:jc w:val="both"/>
    </w:pPr>
    <w:rPr>
      <w:rFonts w:ascii="Arial" w:cs="Arial" w:eastAsia="Times New Roman" w:hAnsi="Arial"/>
      <w:b/>
      <w:bCs/>
      <w:kern w:val="28"/>
      <w:sz w:val="28"/>
      <w:szCs w:val="28"/>
      <w:lang w:eastAsia="fr-FR"/>
    </w:rPr>
  </w:style>
  <w:style w:customStyle="1" w:styleId="XX" w:type="paragraph">
    <w:name w:val="X.X"/>
    <w:basedOn w:val="Normal"/>
    <w:uiPriority w:val="99"/>
    <w:rsid w:val="00447FC0"/>
    <w:pPr>
      <w:spacing w:after="240" w:before="240" w:line="240" w:lineRule="auto"/>
      <w:jc w:val="both"/>
    </w:pPr>
    <w:rPr>
      <w:rFonts w:ascii="Arial" w:cs="Arial" w:eastAsia="Times New Roman" w:hAnsi="Arial"/>
      <w:b/>
      <w:bCs/>
      <w:kern w:val="24"/>
      <w:sz w:val="24"/>
      <w:szCs w:val="24"/>
      <w:lang w:eastAsia="fr-FR"/>
    </w:rPr>
  </w:style>
  <w:style w:customStyle="1" w:styleId="XXX" w:type="paragraph">
    <w:name w:val="X.X.X"/>
    <w:basedOn w:val="Normal"/>
    <w:uiPriority w:val="99"/>
    <w:rsid w:val="00447FC0"/>
    <w:pPr>
      <w:spacing w:line="240" w:lineRule="auto"/>
      <w:jc w:val="both"/>
    </w:pPr>
    <w:rPr>
      <w:rFonts w:ascii="Arial" w:cs="Arial" w:eastAsia="Times New Roman" w:hAnsi="Arial"/>
      <w:b/>
      <w:bCs/>
      <w:kern w:val="20"/>
      <w:sz w:val="22"/>
      <w:szCs w:val="22"/>
      <w:lang w:eastAsia="fr-FR"/>
    </w:rPr>
  </w:style>
  <w:style w:customStyle="1" w:styleId="Tableau" w:type="paragraph">
    <w:name w:val="Tableau"/>
    <w:basedOn w:val="Normal"/>
    <w:uiPriority w:val="99"/>
    <w:rsid w:val="00447FC0"/>
    <w:pPr>
      <w:spacing w:line="240" w:lineRule="auto"/>
      <w:jc w:val="both"/>
    </w:pPr>
    <w:rPr>
      <w:rFonts w:ascii="Times New Roman" w:cs="Times New Roman" w:eastAsia="Times New Roman" w:hAnsi="Times New Roman"/>
      <w:b/>
      <w:bCs/>
      <w:sz w:val="22"/>
      <w:szCs w:val="20"/>
      <w:lang w:eastAsia="fr-FR"/>
    </w:rPr>
  </w:style>
  <w:style w:customStyle="1" w:styleId="Graph" w:type="paragraph">
    <w:name w:val="Graph"/>
    <w:basedOn w:val="Tableau"/>
    <w:uiPriority w:val="99"/>
    <w:rsid w:val="00447FC0"/>
  </w:style>
  <w:style w:customStyle="1" w:styleId="tableau1" w:type="paragraph">
    <w:name w:val="tableau 1"/>
    <w:basedOn w:val="Normal"/>
    <w:uiPriority w:val="99"/>
    <w:rsid w:val="00447FC0"/>
    <w:pPr>
      <w:autoSpaceDE w:val="0"/>
      <w:autoSpaceDN w:val="0"/>
      <w:adjustRightInd w:val="0"/>
      <w:spacing w:line="240" w:lineRule="auto"/>
      <w:jc w:val="both"/>
    </w:pPr>
    <w:rPr>
      <w:rFonts w:ascii="Times New Roman" w:cs="Times New Roman" w:eastAsia="Times New Roman" w:hAnsi="Times New Roman"/>
      <w:b/>
      <w:bCs/>
      <w:sz w:val="22"/>
      <w:szCs w:val="22"/>
      <w:lang w:eastAsia="fr-FR" w:val="en-CA"/>
    </w:rPr>
  </w:style>
  <w:style w:customStyle="1" w:styleId="Annex" w:type="paragraph">
    <w:name w:val="Annex"/>
    <w:basedOn w:val="X"/>
    <w:uiPriority w:val="99"/>
    <w:rsid w:val="00447FC0"/>
  </w:style>
  <w:style w:customStyle="1" w:styleId="XCar" w:type="character">
    <w:name w:val="X Car"/>
    <w:uiPriority w:val="99"/>
    <w:rsid w:val="00447FC0"/>
    <w:rPr>
      <w:rFonts w:ascii="Arial" w:cs="Arial" w:hAnsi="Arial"/>
      <w:b/>
      <w:bCs/>
      <w:kern w:val="28"/>
      <w:sz w:val="28"/>
      <w:szCs w:val="28"/>
      <w:lang w:bidi="ar-SA" w:eastAsia="fr-FR" w:val="en-GB"/>
    </w:rPr>
  </w:style>
  <w:style w:customStyle="1" w:styleId="TableauCar" w:type="character">
    <w:name w:val="Tableau Car"/>
    <w:uiPriority w:val="99"/>
    <w:rsid w:val="00447FC0"/>
    <w:rPr>
      <w:b/>
      <w:bCs/>
      <w:sz w:val="22"/>
      <w:lang w:bidi="ar-SA" w:eastAsia="fr-FR" w:val="en-GB"/>
    </w:rPr>
  </w:style>
  <w:style w:customStyle="1" w:styleId="Classique1" w:type="table">
    <w:name w:val="Classique 1"/>
    <w:basedOn w:val="TableNormal"/>
    <w:uiPriority w:val="99"/>
    <w:rsid w:val="00447FC0"/>
    <w:pPr>
      <w:spacing w:after="0" w:line="240" w:lineRule="auto"/>
    </w:pPr>
    <w:rPr>
      <w:rFonts w:ascii="Times New Roman" w:cs="Times New Roman" w:eastAsia="Times New Roman" w:hAnsi="Times New Roman"/>
      <w:sz w:val="20"/>
      <w:szCs w:val="20"/>
      <w:lang w:eastAsia="fr-CA" w:val="fr-CA"/>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BalloonText1" w:type="paragraph">
    <w:name w:val="Balloon Text1"/>
    <w:basedOn w:val="Normal"/>
    <w:uiPriority w:val="99"/>
    <w:semiHidden/>
    <w:rsid w:val="00447FC0"/>
    <w:pPr>
      <w:spacing w:line="240" w:lineRule="auto"/>
    </w:pPr>
    <w:rPr>
      <w:rFonts w:ascii="Tahoma" w:cs="Tahoma" w:eastAsia="Times New Roman" w:hAnsi="Tahoma"/>
      <w:szCs w:val="16"/>
      <w:lang w:val="en-US"/>
    </w:rPr>
  </w:style>
  <w:style w:customStyle="1" w:styleId="CarCar" w:type="character">
    <w:name w:val="Car Car"/>
    <w:uiPriority w:val="99"/>
    <w:rsid w:val="00447FC0"/>
    <w:rPr>
      <w:rFonts w:ascii="Arial" w:cs="Arial" w:hAnsi="Arial"/>
      <w:sz w:val="12"/>
      <w:szCs w:val="22"/>
      <w:lang w:bidi="ar-SA" w:eastAsia="en-US" w:val="en-US"/>
    </w:rPr>
  </w:style>
  <w:style w:customStyle="1" w:styleId="CommentSubject11" w:type="paragraph">
    <w:name w:val="Comment Subject11"/>
    <w:basedOn w:val="CommentText"/>
    <w:next w:val="CommentText"/>
    <w:uiPriority w:val="99"/>
    <w:semiHidden/>
    <w:rsid w:val="00447FC0"/>
    <w:rPr>
      <w:rFonts w:ascii="Times New Roman" w:cs="Times New Roman" w:eastAsia="Times New Roman" w:hAnsi="Times New Roman"/>
      <w:b/>
      <w:bCs/>
      <w:lang w:val="en-US"/>
    </w:rPr>
  </w:style>
  <w:style w:customStyle="1" w:styleId="Textedebulles11" w:type="paragraph">
    <w:name w:val="Texte de bulles11"/>
    <w:basedOn w:val="Normal"/>
    <w:uiPriority w:val="99"/>
    <w:semiHidden/>
    <w:rsid w:val="00447FC0"/>
    <w:pPr>
      <w:spacing w:line="240" w:lineRule="auto"/>
    </w:pPr>
    <w:rPr>
      <w:rFonts w:ascii="Tahoma" w:cs="Tahoma" w:eastAsia="Times New Roman" w:hAnsi="Tahoma"/>
      <w:szCs w:val="16"/>
      <w:lang w:val="en-US"/>
    </w:rPr>
  </w:style>
  <w:style w:customStyle="1" w:styleId="CarCar1" w:type="character">
    <w:name w:val="Car Car1"/>
    <w:uiPriority w:val="99"/>
    <w:rsid w:val="00447FC0"/>
    <w:rPr>
      <w:rFonts w:ascii="Arial" w:cs="Arial" w:hAnsi="Arial"/>
      <w:sz w:val="22"/>
      <w:szCs w:val="22"/>
      <w:lang w:bidi="ar-SA" w:eastAsia="en-US" w:val="en-US"/>
    </w:rPr>
  </w:style>
  <w:style w:customStyle="1" w:styleId="Titresection" w:type="paragraph">
    <w:name w:val="Titre section"/>
    <w:aliases w:val="ts"/>
    <w:basedOn w:val="Normal"/>
    <w:next w:val="Normal"/>
    <w:uiPriority w:val="99"/>
    <w:rsid w:val="00447FC0"/>
    <w:pPr>
      <w:spacing w:after="1200" w:line="360" w:lineRule="atLeast"/>
      <w:ind w:left="2160" w:right="-720"/>
    </w:pPr>
    <w:rPr>
      <w:rFonts w:ascii="Arial" w:cs="Times New Roman" w:eastAsia="PMingLiU" w:hAnsi="Arial"/>
      <w:b/>
      <w:sz w:val="72"/>
      <w:szCs w:val="24"/>
      <w:lang w:val="en-US"/>
    </w:rPr>
  </w:style>
  <w:style w:styleId="UnresolvedMention" w:type="character">
    <w:name w:val="Unresolved Mention"/>
    <w:uiPriority w:val="99"/>
    <w:semiHidden/>
    <w:unhideWhenUsed/>
    <w:rsid w:val="00447FC0"/>
    <w:rPr>
      <w:color w:val="808080"/>
      <w:shd w:color="auto" w:fill="E6E6E6" w:val="clear"/>
    </w:rPr>
  </w:style>
  <w:style w:customStyle="1" w:styleId="DefaultFontHxMailStyle" w:type="character">
    <w:name w:val="Default Font HxMail Style"/>
    <w:basedOn w:val="DefaultParagraphFont"/>
    <w:rsid w:val="00447FC0"/>
    <w:rPr>
      <w:rFonts w:ascii="Calibri" w:cs="Calibri" w:hAnsi="Calibri" w:hint="default"/>
      <w:b w:val="0"/>
      <w:bCs w:val="0"/>
      <w:i w:val="0"/>
      <w:iCs w:val="0"/>
      <w:strike w:val="0"/>
      <w:dstrike w:val="0"/>
      <w:color w:val="auto"/>
      <w:u w:val="none"/>
      <w:effect w:val="none"/>
    </w:rPr>
  </w:style>
  <w:style w:customStyle="1" w:styleId="Headlevel5" w:type="paragraph">
    <w:name w:val="Head level 5"/>
    <w:basedOn w:val="Heading4"/>
    <w:rsid w:val="00E20F6A"/>
  </w:style>
  <w:style w:customStyle="1" w:styleId="TOCFiguresTables" w:type="paragraph">
    <w:name w:val="TOC FiguresTables"/>
    <w:basedOn w:val="Normal"/>
    <w:rsid w:val="002A7444"/>
    <w:pPr>
      <w:tabs>
        <w:tab w:leader="dot" w:pos="8505" w:val="right"/>
        <w:tab w:pos="9072" w:val="right"/>
      </w:tabs>
      <w:spacing w:line="240" w:lineRule="auto"/>
      <w:ind w:hanging="1077" w:left="1417"/>
      <w:jc w:val="both"/>
    </w:pPr>
    <w:rPr>
      <w:rFonts w:cstheme="minorBidi"/>
      <w:szCs w:val="20"/>
    </w:rPr>
  </w:style>
  <w:style w:styleId="Mention" w:type="character">
    <w:name w:val="Mention"/>
    <w:basedOn w:val="DefaultParagraphFont"/>
    <w:uiPriority w:val="99"/>
    <w:unhideWhenUsed/>
    <w:rsid w:val="00DF171F"/>
    <w:rPr>
      <w:color w:val="2B579A"/>
      <w:shd w:color="auto" w:fill="E1DFDD" w:val="clear"/>
    </w:rPr>
  </w:style>
  <w:style w:customStyle="1" w:styleId="MJ1" w:type="numbering">
    <w:name w:val="MJ1"/>
    <w:uiPriority w:val="99"/>
    <w:rsid w:val="004C2B95"/>
    <w:pPr>
      <w:numPr>
        <w:numId w:val="30"/>
      </w:numPr>
    </w:pPr>
  </w:style>
  <w:style w:customStyle="1" w:styleId="NormalBodyChar" w:type="character">
    <w:name w:val="NormalBody Char"/>
    <w:basedOn w:val="DefaultParagraphFont"/>
    <w:link w:val="NormalBody"/>
    <w:uiPriority w:val="4"/>
    <w:rsid w:val="008A16B5"/>
    <w:rPr>
      <w:rFonts w:ascii="Noto Sans" w:cs="Noto Sans" w:eastAsia="SimSun" w:hAnsi="Noto Sans"/>
      <w:sz w:val="20"/>
      <w:szCs w:val="16"/>
      <w:lang w:val="en-GB"/>
    </w:rPr>
  </w:style>
  <w:style w:customStyle="1" w:styleId="relative" w:type="character">
    <w:name w:val="relative"/>
    <w:basedOn w:val="DefaultParagraphFont"/>
    <w:rsid w:val="002D1D85"/>
  </w:style>
  <w:style w:customStyle="1" w:styleId="Caption1Indent" w:type="paragraph">
    <w:name w:val="Caption (1 Indent)"/>
    <w:basedOn w:val="Caption"/>
    <w:link w:val="Caption1IndentChar"/>
    <w:uiPriority w:val="30"/>
    <w:qFormat/>
    <w:rsid w:val="00B21BC7"/>
  </w:style>
  <w:style w:customStyle="1" w:styleId="Caption1IndentChar" w:type="character">
    <w:name w:val="Caption (1 Indent) Char"/>
    <w:basedOn w:val="CaptionChar"/>
    <w:link w:val="Caption1Indent"/>
    <w:uiPriority w:val="30"/>
    <w:rsid w:val="00B21BC7"/>
    <w:rPr>
      <w:rFonts w:ascii="Noto Sans" w:cs="Noto Sans" w:hAnsi="Noto Sans"/>
      <w:b/>
      <w:bCs/>
      <w:color w:themeColor="background1" w:themeShade="80" w:val="808080"/>
      <w:sz w:val="20"/>
      <w:szCs w:val="18"/>
    </w:rPr>
  </w:style>
  <w:style w:customStyle="1" w:styleId="Caption2indents" w:type="paragraph">
    <w:name w:val="Caption (2 indents)"/>
    <w:basedOn w:val="Caption1Indent"/>
    <w:link w:val="Caption2indentsChar"/>
    <w:uiPriority w:val="30"/>
    <w:qFormat/>
    <w:rsid w:val="00B21BC7"/>
    <w:pPr>
      <w:ind w:left="1170"/>
    </w:pPr>
  </w:style>
  <w:style w:customStyle="1" w:styleId="Caption2indentsChar" w:type="character">
    <w:name w:val="Caption (2 indents) Char"/>
    <w:basedOn w:val="Caption1IndentChar"/>
    <w:link w:val="Caption2indents"/>
    <w:uiPriority w:val="30"/>
    <w:rsid w:val="00B21BC7"/>
    <w:rPr>
      <w:rFonts w:ascii="Noto Sans" w:cs="Noto Sans" w:hAnsi="Noto Sans"/>
      <w:b/>
      <w:bCs/>
      <w:color w:themeColor="background1" w:themeShade="80" w:val="808080"/>
      <w:sz w:val="20"/>
      <w:szCs w:val="18"/>
    </w:rPr>
  </w:style>
  <w:style w:customStyle="1" w:styleId="TitreEncadr" w:type="paragraph">
    <w:name w:val="Titre Encadré"/>
    <w:basedOn w:val="NormalBody"/>
    <w:link w:val="TitreEncadrChar"/>
    <w:uiPriority w:val="30"/>
    <w:qFormat/>
    <w:rsid w:val="00481CF1"/>
    <w:rPr>
      <w:bCs/>
      <w:lang w:val="fr-CH"/>
    </w:rPr>
  </w:style>
  <w:style w:customStyle="1" w:styleId="TitreEncadrChar" w:type="character">
    <w:name w:val="Titre Encadré Char"/>
    <w:basedOn w:val="NormalBodyChar"/>
    <w:link w:val="TitreEncadr"/>
    <w:uiPriority w:val="30"/>
    <w:rsid w:val="00481CF1"/>
    <w:rPr>
      <w:rFonts w:ascii="Noto Sans" w:cs="Noto Sans" w:eastAsia="SimSun" w:hAnsi="Noto Sans"/>
      <w:bCs/>
      <w:sz w:val="20"/>
      <w:szCs w:val="16"/>
      <w:lang w:val="en-G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29" Type="http://schemas.openxmlformats.org/officeDocument/2006/relationships/image" Target="media/rId29.png"/><Relationship Id="rId49" Type="http://schemas.openxmlformats.org/officeDocument/2006/relationships/image" Target="media/rId49.png"/><Relationship Id="rId59" Type="http://schemas.openxmlformats.org/officeDocument/2006/relationships/image" Target="media/rId59.png"/><Relationship Id="rId65" Type="http://schemas.openxmlformats.org/officeDocument/2006/relationships/image" Target="media/rId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dcterms:created xsi:type="dcterms:W3CDTF">2026-07-03T10:42:25Z</dcterms:created>
  <dcterms:modified xsi:type="dcterms:W3CDTF">2026-07-03T10:42:25Z</dcterms:modified>
</cp:coreProperties>
</file>

<file path=docProps/custom.xml><?xml version="1.0" encoding="utf-8"?>
<Properties xmlns="http://schemas.openxmlformats.org/officeDocument/2006/custom-properties" xmlns:vt="http://schemas.openxmlformats.org/officeDocument/2006/docPropsVTypes"/>
</file>