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F852F" w14:textId="77777777" w:rsidR="003C12C0" w:rsidRPr="00DF4DEA" w:rsidRDefault="00000000">
      <w:pPr>
        <w:pStyle w:val="Title"/>
        <w:rPr>
          <w:lang w:val="fr-CH"/>
        </w:rPr>
      </w:pPr>
      <w:proofErr w:type="spellStart"/>
      <w:r w:rsidRPr="00DF4DEA">
        <w:rPr>
          <w:lang w:val="fr-CH"/>
        </w:rPr>
        <w:t>Deuxieme</w:t>
      </w:r>
      <w:proofErr w:type="spellEnd"/>
      <w:r w:rsidRPr="00DF4DEA">
        <w:rPr>
          <w:lang w:val="fr-CH"/>
        </w:rPr>
        <w:t xml:space="preserve"> Bulletin statistique de la protection sociale en RDC</w:t>
      </w:r>
    </w:p>
    <w:p w14:paraId="190F8530" w14:textId="77777777" w:rsidR="003C12C0" w:rsidRDefault="00000000">
      <w:pPr>
        <w:pStyle w:val="Heading1"/>
      </w:pPr>
      <w:bookmarkStart w:id="0" w:name="avant-propos"/>
      <w:r>
        <w:lastRenderedPageBreak/>
        <w:t>Avant-propos</w:t>
      </w:r>
    </w:p>
    <w:p w14:paraId="190F8531" w14:textId="77777777" w:rsidR="003C12C0" w:rsidRDefault="00000000">
      <w:pPr>
        <w:pStyle w:val="Heading1"/>
      </w:pPr>
      <w:bookmarkStart w:id="1" w:name="remerciements"/>
      <w:bookmarkEnd w:id="0"/>
      <w:r>
        <w:lastRenderedPageBreak/>
        <w:t>Remerciements</w:t>
      </w:r>
    </w:p>
    <w:p w14:paraId="190F8532" w14:textId="77777777" w:rsidR="003C12C0" w:rsidRDefault="00000000">
      <w:r>
        <w:t>Le Secrétariat général de la protection sociale adresse ses sincères remerciements à l'ensemble des institutions et partenaires dont la mobilisation a rendu possible l'élaboration de ce deuxième Bulletin statistique sur la protection sociale en République démocratique du Congo.</w:t>
      </w:r>
    </w:p>
    <w:p w14:paraId="190F8533" w14:textId="77777777" w:rsidR="003C12C0" w:rsidRDefault="00000000">
      <w:r>
        <w:t>Ce bulletin s'inscrit dans la continuité du premier bulletin publié en 2024. Sa production a reposé, comme pour l'édition précédente, sur la coopération active des institutions nationales chargées de la gestion des régimes et programmes de protection sociale. Le Secrétariat général de la protection sociale adresse en particulier ses remerciements à la Caisse nationale de sécurité sociale (CNSS), à la Caisse nationale de sécurité sociale des agents publics de l'État (CNSSAP), au Fonds de solidarité de santé (FSS) et à la Mutuelle de santé des enseignants de l'enseignement primaire, secondaire et professionnel (MESP), qui ont transmis les données administratives nécessaires à l'établissement des indicateurs statistiques présentés dans ce bulletin.</w:t>
      </w:r>
    </w:p>
    <w:p w14:paraId="190F8534" w14:textId="77777777" w:rsidR="003C12C0" w:rsidRDefault="00000000">
      <w:r>
        <w:t>Des remerciements sont également adressés au ministère de la Santé publique, Hygiène et Prévoyance sociale, au ministère de l'Emploi et du Travail, au ministère de l'Enseignement primaire, secondaire et technique (MEPST), au ministère des Affaires sociales, Action humanitaire et Solidarité nationale (MINAS), ainsi qu'à l'Institut national de la statistique (INS), pour leur contribution aux travaux de collecte, de clarification et de validation des données.</w:t>
      </w:r>
    </w:p>
    <w:p w14:paraId="190F8535" w14:textId="77777777" w:rsidR="003C12C0" w:rsidRDefault="00000000">
      <w:r>
        <w:t>Le Secrétariat général de la protection sociale exprime sa gratitude au Bureau de pays de l'Organisation internationale du Travail pour la République démocratique du Congo, dont l'appui technique a accompagné chaque étape de la production de ce bulletin, depuis l'élaboration du cadre méthodologique jusqu'à la finalisation du document.</w:t>
      </w:r>
    </w:p>
    <w:p w14:paraId="190F8536" w14:textId="77777777" w:rsidR="003C12C0" w:rsidRDefault="00000000">
      <w:r>
        <w:t xml:space="preserve">Ce bulletin a bénéficié d'un appui financier dans le cadre du projet </w:t>
      </w:r>
      <w:r>
        <w:rPr>
          <w:i/>
          <w:iCs/>
        </w:rPr>
        <w:t>Bâtir des socles de protection sociale pour tous — Appui à la deuxième phase du programme phare mondial de l'OIT</w:t>
      </w:r>
      <w:r>
        <w:t>, financé par les gouvernements du Royaume de Belgique et du Grand-Duché de Luxembourg. Le Secrétariat général de la protection sociale leur témoigne sa profonde reconnaissance pour leur soutien constant au renforcement du système de protection sociale en République démocratique du Congo.</w:t>
      </w:r>
    </w:p>
    <w:p w14:paraId="190F8537" w14:textId="77777777" w:rsidR="003C12C0" w:rsidRDefault="00000000">
      <w:r>
        <w:t>La qualité des informations produites dans ce bulletin est le reflet de l'engagement collectif de ces institutions et partenaires. Le Secrétariat général de la protection sociale demeure convaincu que la consolidation progressive du système statistique national de protection sociale constitue un levier essentiel pour éclairer les décisions de politique publique et mieux rendre compte de la situation réelle des personnes couvertes en République démocratique du Congo.</w:t>
      </w:r>
    </w:p>
    <w:p w14:paraId="190F8538" w14:textId="77777777" w:rsidR="003C12C0" w:rsidRDefault="00000000">
      <w:pPr>
        <w:pStyle w:val="Heading1"/>
      </w:pPr>
      <w:bookmarkStart w:id="2" w:name="liste-des-sigles-et-acronymes"/>
      <w:bookmarkEnd w:id="1"/>
      <w:r>
        <w:lastRenderedPageBreak/>
        <w:t>Liste des sigles et acronymes</w:t>
      </w:r>
    </w:p>
    <w:tbl>
      <w:tblPr>
        <w:tblStyle w:val="ILOTable"/>
        <w:tblW w:w="5000" w:type="pct"/>
        <w:tblLook w:val="0020" w:firstRow="1" w:lastRow="0" w:firstColumn="0" w:lastColumn="0" w:noHBand="0" w:noVBand="0"/>
      </w:tblPr>
      <w:tblGrid>
        <w:gridCol w:w="1266"/>
        <w:gridCol w:w="7794"/>
      </w:tblGrid>
      <w:tr w:rsidR="003C12C0" w14:paraId="190F853B"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539" w14:textId="77777777" w:rsidR="003C12C0" w:rsidRDefault="00000000">
            <w:pPr>
              <w:pStyle w:val="TableHeader"/>
            </w:pPr>
            <w:r>
              <w:t>Sigle</w:t>
            </w:r>
          </w:p>
        </w:tc>
        <w:tc>
          <w:tcPr>
            <w:tcW w:w="0" w:type="auto"/>
            <w:tcBorders>
              <w:top w:val="single" w:sz="4" w:space="0" w:color="000000"/>
              <w:left w:val="single" w:sz="4" w:space="0" w:color="000000"/>
              <w:bottom w:val="single" w:sz="4" w:space="0" w:color="000000"/>
              <w:right w:val="single" w:sz="4" w:space="0" w:color="000000"/>
            </w:tcBorders>
          </w:tcPr>
          <w:p w14:paraId="190F853A" w14:textId="77777777" w:rsidR="003C12C0" w:rsidRDefault="00000000">
            <w:pPr>
              <w:pStyle w:val="TableHeader"/>
            </w:pPr>
            <w:r>
              <w:t>Signification</w:t>
            </w:r>
          </w:p>
        </w:tc>
      </w:tr>
      <w:tr w:rsidR="003C12C0" w14:paraId="190F853E"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53C" w14:textId="77777777" w:rsidR="003C12C0" w:rsidRDefault="00000000">
            <w:pPr>
              <w:pStyle w:val="TableText"/>
            </w:pPr>
            <w:r>
              <w:t>AT/MP</w:t>
            </w:r>
          </w:p>
        </w:tc>
        <w:tc>
          <w:tcPr>
            <w:tcW w:w="0" w:type="auto"/>
            <w:tcBorders>
              <w:top w:val="single" w:sz="4" w:space="0" w:color="000000"/>
              <w:left w:val="single" w:sz="4" w:space="0" w:color="000000"/>
              <w:bottom w:val="single" w:sz="4" w:space="0" w:color="000000"/>
              <w:right w:val="single" w:sz="4" w:space="0" w:color="000000"/>
            </w:tcBorders>
          </w:tcPr>
          <w:p w14:paraId="190F853D" w14:textId="77777777" w:rsidR="003C12C0" w:rsidRDefault="00000000">
            <w:pPr>
              <w:pStyle w:val="TableText"/>
            </w:pPr>
            <w:r>
              <w:t>Accidents du travail et maladies professionnelles</w:t>
            </w:r>
          </w:p>
        </w:tc>
      </w:tr>
      <w:tr w:rsidR="003C12C0" w14:paraId="190F8541"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53F" w14:textId="77777777" w:rsidR="003C12C0" w:rsidRDefault="00000000">
            <w:pPr>
              <w:pStyle w:val="TableText"/>
            </w:pPr>
            <w:r>
              <w:t>BIT</w:t>
            </w:r>
          </w:p>
        </w:tc>
        <w:tc>
          <w:tcPr>
            <w:tcW w:w="0" w:type="auto"/>
            <w:tcBorders>
              <w:top w:val="single" w:sz="4" w:space="0" w:color="000000"/>
              <w:left w:val="single" w:sz="4" w:space="0" w:color="000000"/>
              <w:bottom w:val="single" w:sz="4" w:space="0" w:color="000000"/>
              <w:right w:val="single" w:sz="4" w:space="0" w:color="000000"/>
            </w:tcBorders>
          </w:tcPr>
          <w:p w14:paraId="190F8540" w14:textId="77777777" w:rsidR="003C12C0" w:rsidRDefault="00000000">
            <w:pPr>
              <w:pStyle w:val="TableText"/>
            </w:pPr>
            <w:r>
              <w:t>Bureau international du Travail</w:t>
            </w:r>
          </w:p>
        </w:tc>
      </w:tr>
      <w:tr w:rsidR="003C12C0" w14:paraId="190F8544"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542" w14:textId="77777777" w:rsidR="003C12C0" w:rsidRDefault="00000000">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190F8543" w14:textId="77777777" w:rsidR="003C12C0" w:rsidRDefault="00000000">
            <w:pPr>
              <w:pStyle w:val="TableText"/>
            </w:pPr>
            <w:r>
              <w:t>Caisse Nationale de Sécurité Sociale</w:t>
            </w:r>
          </w:p>
        </w:tc>
      </w:tr>
      <w:tr w:rsidR="003C12C0" w14:paraId="190F8547"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545" w14:textId="77777777" w:rsidR="003C12C0" w:rsidRDefault="00000000">
            <w:pPr>
              <w:pStyle w:val="TableText"/>
            </w:pPr>
            <w:r>
              <w:t>CNSSAP</w:t>
            </w:r>
          </w:p>
        </w:tc>
        <w:tc>
          <w:tcPr>
            <w:tcW w:w="0" w:type="auto"/>
            <w:tcBorders>
              <w:top w:val="single" w:sz="4" w:space="0" w:color="000000"/>
              <w:left w:val="single" w:sz="4" w:space="0" w:color="000000"/>
              <w:bottom w:val="single" w:sz="4" w:space="0" w:color="000000"/>
              <w:right w:val="single" w:sz="4" w:space="0" w:color="000000"/>
            </w:tcBorders>
          </w:tcPr>
          <w:p w14:paraId="190F8546" w14:textId="77777777" w:rsidR="003C12C0" w:rsidRDefault="00000000">
            <w:pPr>
              <w:pStyle w:val="TableText"/>
            </w:pPr>
            <w:r>
              <w:t>Caisse Nationale de Sécurité Sociale des Agents Publics de l'État</w:t>
            </w:r>
          </w:p>
        </w:tc>
      </w:tr>
      <w:tr w:rsidR="003C12C0" w14:paraId="190F854A"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548" w14:textId="77777777" w:rsidR="003C12C0" w:rsidRDefault="00000000">
            <w:pPr>
              <w:pStyle w:val="TableText"/>
            </w:pPr>
            <w:r>
              <w:t>CSU</w:t>
            </w:r>
          </w:p>
        </w:tc>
        <w:tc>
          <w:tcPr>
            <w:tcW w:w="0" w:type="auto"/>
            <w:tcBorders>
              <w:top w:val="single" w:sz="4" w:space="0" w:color="000000"/>
              <w:left w:val="single" w:sz="4" w:space="0" w:color="000000"/>
              <w:bottom w:val="single" w:sz="4" w:space="0" w:color="000000"/>
              <w:right w:val="single" w:sz="4" w:space="0" w:color="000000"/>
            </w:tcBorders>
          </w:tcPr>
          <w:p w14:paraId="190F8549" w14:textId="77777777" w:rsidR="003C12C0" w:rsidRDefault="00000000">
            <w:pPr>
              <w:pStyle w:val="TableText"/>
            </w:pPr>
            <w:r>
              <w:t>Couverture Santé Universelle</w:t>
            </w:r>
          </w:p>
        </w:tc>
      </w:tr>
      <w:tr w:rsidR="003C12C0" w14:paraId="190F854D"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54B" w14:textId="77777777" w:rsidR="003C12C0" w:rsidRDefault="00000000">
            <w:pPr>
              <w:pStyle w:val="TableText"/>
            </w:pPr>
            <w:r>
              <w:t>FNPSS</w:t>
            </w:r>
          </w:p>
        </w:tc>
        <w:tc>
          <w:tcPr>
            <w:tcW w:w="0" w:type="auto"/>
            <w:tcBorders>
              <w:top w:val="single" w:sz="4" w:space="0" w:color="000000"/>
              <w:left w:val="single" w:sz="4" w:space="0" w:color="000000"/>
              <w:bottom w:val="single" w:sz="4" w:space="0" w:color="000000"/>
              <w:right w:val="single" w:sz="4" w:space="0" w:color="000000"/>
            </w:tcBorders>
          </w:tcPr>
          <w:p w14:paraId="190F854C" w14:textId="77777777" w:rsidR="003C12C0" w:rsidRDefault="00000000">
            <w:pPr>
              <w:pStyle w:val="TableText"/>
            </w:pPr>
            <w:r>
              <w:t>Fonds National de Promotion et de Service Social</w:t>
            </w:r>
          </w:p>
        </w:tc>
      </w:tr>
      <w:tr w:rsidR="003C12C0" w14:paraId="190F8550"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54E" w14:textId="77777777" w:rsidR="003C12C0" w:rsidRDefault="00000000">
            <w:pPr>
              <w:pStyle w:val="TableText"/>
            </w:pPr>
            <w:r>
              <w:t>INS</w:t>
            </w:r>
          </w:p>
        </w:tc>
        <w:tc>
          <w:tcPr>
            <w:tcW w:w="0" w:type="auto"/>
            <w:tcBorders>
              <w:top w:val="single" w:sz="4" w:space="0" w:color="000000"/>
              <w:left w:val="single" w:sz="4" w:space="0" w:color="000000"/>
              <w:bottom w:val="single" w:sz="4" w:space="0" w:color="000000"/>
              <w:right w:val="single" w:sz="4" w:space="0" w:color="000000"/>
            </w:tcBorders>
          </w:tcPr>
          <w:p w14:paraId="190F854F" w14:textId="77777777" w:rsidR="003C12C0" w:rsidRDefault="00000000">
            <w:pPr>
              <w:pStyle w:val="TableText"/>
            </w:pPr>
            <w:r>
              <w:t>Institut National de la Statistique</w:t>
            </w:r>
          </w:p>
        </w:tc>
      </w:tr>
      <w:tr w:rsidR="003C12C0" w14:paraId="190F8553"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551" w14:textId="77777777" w:rsidR="003C12C0" w:rsidRDefault="00000000">
            <w:pPr>
              <w:pStyle w:val="TableText"/>
            </w:pPr>
            <w:r>
              <w:t>ODD</w:t>
            </w:r>
          </w:p>
        </w:tc>
        <w:tc>
          <w:tcPr>
            <w:tcW w:w="0" w:type="auto"/>
            <w:tcBorders>
              <w:top w:val="single" w:sz="4" w:space="0" w:color="000000"/>
              <w:left w:val="single" w:sz="4" w:space="0" w:color="000000"/>
              <w:bottom w:val="single" w:sz="4" w:space="0" w:color="000000"/>
              <w:right w:val="single" w:sz="4" w:space="0" w:color="000000"/>
            </w:tcBorders>
          </w:tcPr>
          <w:p w14:paraId="190F8552" w14:textId="77777777" w:rsidR="003C12C0" w:rsidRDefault="00000000">
            <w:pPr>
              <w:pStyle w:val="TableText"/>
            </w:pPr>
            <w:r>
              <w:t>Objectif de développement durable</w:t>
            </w:r>
          </w:p>
        </w:tc>
      </w:tr>
      <w:tr w:rsidR="003C12C0" w14:paraId="190F8556"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554" w14:textId="77777777" w:rsidR="003C12C0" w:rsidRDefault="00000000">
            <w:pPr>
              <w:pStyle w:val="TableText"/>
            </w:pPr>
            <w:r>
              <w:t>OIT</w:t>
            </w:r>
          </w:p>
        </w:tc>
        <w:tc>
          <w:tcPr>
            <w:tcW w:w="0" w:type="auto"/>
            <w:tcBorders>
              <w:top w:val="single" w:sz="4" w:space="0" w:color="000000"/>
              <w:left w:val="single" w:sz="4" w:space="0" w:color="000000"/>
              <w:bottom w:val="single" w:sz="4" w:space="0" w:color="000000"/>
              <w:right w:val="single" w:sz="4" w:space="0" w:color="000000"/>
            </w:tcBorders>
          </w:tcPr>
          <w:p w14:paraId="190F8555" w14:textId="77777777" w:rsidR="003C12C0" w:rsidRDefault="00000000">
            <w:pPr>
              <w:pStyle w:val="TableText"/>
            </w:pPr>
            <w:r>
              <w:t>Organisation internationale du Travail</w:t>
            </w:r>
          </w:p>
        </w:tc>
      </w:tr>
      <w:tr w:rsidR="003C12C0" w14:paraId="190F8559"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557" w14:textId="77777777" w:rsidR="003C12C0" w:rsidRDefault="00000000">
            <w:pPr>
              <w:pStyle w:val="TableText"/>
            </w:pPr>
            <w:r>
              <w:t>OMS</w:t>
            </w:r>
          </w:p>
        </w:tc>
        <w:tc>
          <w:tcPr>
            <w:tcW w:w="0" w:type="auto"/>
            <w:tcBorders>
              <w:top w:val="single" w:sz="4" w:space="0" w:color="000000"/>
              <w:left w:val="single" w:sz="4" w:space="0" w:color="000000"/>
              <w:bottom w:val="single" w:sz="4" w:space="0" w:color="000000"/>
              <w:right w:val="single" w:sz="4" w:space="0" w:color="000000"/>
            </w:tcBorders>
          </w:tcPr>
          <w:p w14:paraId="190F8558" w14:textId="77777777" w:rsidR="003C12C0" w:rsidRDefault="00000000">
            <w:pPr>
              <w:pStyle w:val="TableText"/>
            </w:pPr>
            <w:r>
              <w:t>Organisation mondiale de la Santé</w:t>
            </w:r>
          </w:p>
        </w:tc>
      </w:tr>
      <w:tr w:rsidR="003C12C0" w14:paraId="190F855C"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55A" w14:textId="77777777" w:rsidR="003C12C0" w:rsidRDefault="00000000">
            <w:pPr>
              <w:pStyle w:val="TableText"/>
            </w:pPr>
            <w:r>
              <w:t>PIB</w:t>
            </w:r>
          </w:p>
        </w:tc>
        <w:tc>
          <w:tcPr>
            <w:tcW w:w="0" w:type="auto"/>
            <w:tcBorders>
              <w:top w:val="single" w:sz="4" w:space="0" w:color="000000"/>
              <w:left w:val="single" w:sz="4" w:space="0" w:color="000000"/>
              <w:bottom w:val="single" w:sz="4" w:space="0" w:color="000000"/>
              <w:right w:val="single" w:sz="4" w:space="0" w:color="000000"/>
            </w:tcBorders>
          </w:tcPr>
          <w:p w14:paraId="190F855B" w14:textId="77777777" w:rsidR="003C12C0" w:rsidRDefault="00000000">
            <w:pPr>
              <w:pStyle w:val="TableText"/>
            </w:pPr>
            <w:r>
              <w:t>Produit intérieur brut</w:t>
            </w:r>
          </w:p>
        </w:tc>
      </w:tr>
      <w:tr w:rsidR="003C12C0" w14:paraId="190F855F"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55D" w14:textId="77777777" w:rsidR="003C12C0" w:rsidRDefault="00000000">
            <w:pPr>
              <w:pStyle w:val="TableText"/>
            </w:pPr>
            <w:r>
              <w:t>PNPS</w:t>
            </w:r>
          </w:p>
        </w:tc>
        <w:tc>
          <w:tcPr>
            <w:tcW w:w="0" w:type="auto"/>
            <w:tcBorders>
              <w:top w:val="single" w:sz="4" w:space="0" w:color="000000"/>
              <w:left w:val="single" w:sz="4" w:space="0" w:color="000000"/>
              <w:bottom w:val="single" w:sz="4" w:space="0" w:color="000000"/>
              <w:right w:val="single" w:sz="4" w:space="0" w:color="000000"/>
            </w:tcBorders>
          </w:tcPr>
          <w:p w14:paraId="190F855E" w14:textId="77777777" w:rsidR="003C12C0" w:rsidRDefault="00000000">
            <w:pPr>
              <w:pStyle w:val="TableText"/>
            </w:pPr>
            <w:r>
              <w:t>Politique nationale de protection sociale</w:t>
            </w:r>
          </w:p>
        </w:tc>
      </w:tr>
      <w:tr w:rsidR="003C12C0" w14:paraId="190F8562"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560" w14:textId="77777777" w:rsidR="003C12C0" w:rsidRDefault="00000000">
            <w:pPr>
              <w:pStyle w:val="TableText"/>
            </w:pPr>
            <w:r>
              <w:t>RDC</w:t>
            </w:r>
          </w:p>
        </w:tc>
        <w:tc>
          <w:tcPr>
            <w:tcW w:w="0" w:type="auto"/>
            <w:tcBorders>
              <w:top w:val="single" w:sz="4" w:space="0" w:color="000000"/>
              <w:left w:val="single" w:sz="4" w:space="0" w:color="000000"/>
              <w:bottom w:val="single" w:sz="4" w:space="0" w:color="000000"/>
              <w:right w:val="single" w:sz="4" w:space="0" w:color="000000"/>
            </w:tcBorders>
          </w:tcPr>
          <w:p w14:paraId="190F8561" w14:textId="77777777" w:rsidR="003C12C0" w:rsidRDefault="00000000">
            <w:pPr>
              <w:pStyle w:val="TableText"/>
            </w:pPr>
            <w:r>
              <w:t>République démocratique du Congo</w:t>
            </w:r>
          </w:p>
        </w:tc>
      </w:tr>
      <w:tr w:rsidR="003C12C0" w14:paraId="190F8565"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563" w14:textId="77777777" w:rsidR="003C12C0" w:rsidRDefault="00000000">
            <w:pPr>
              <w:pStyle w:val="TableText"/>
            </w:pPr>
            <w:r>
              <w:t>SESOPA</w:t>
            </w:r>
          </w:p>
        </w:tc>
        <w:tc>
          <w:tcPr>
            <w:tcW w:w="0" w:type="auto"/>
            <w:tcBorders>
              <w:top w:val="single" w:sz="4" w:space="0" w:color="000000"/>
              <w:left w:val="single" w:sz="4" w:space="0" w:color="000000"/>
              <w:bottom w:val="single" w:sz="4" w:space="0" w:color="000000"/>
              <w:right w:val="single" w:sz="4" w:space="0" w:color="000000"/>
            </w:tcBorders>
          </w:tcPr>
          <w:p w14:paraId="190F8564" w14:textId="77777777" w:rsidR="003C12C0" w:rsidRDefault="00000000">
            <w:pPr>
              <w:pStyle w:val="TableText"/>
            </w:pPr>
            <w:r>
              <w:t>Service de Sécurité Sociale des Parlementaires</w:t>
            </w:r>
          </w:p>
        </w:tc>
      </w:tr>
      <w:tr w:rsidR="003C12C0" w14:paraId="190F8568"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566" w14:textId="77777777" w:rsidR="003C12C0" w:rsidRDefault="00000000">
            <w:pPr>
              <w:pStyle w:val="TableText"/>
            </w:pPr>
            <w:r>
              <w:t>SNPS</w:t>
            </w:r>
          </w:p>
        </w:tc>
        <w:tc>
          <w:tcPr>
            <w:tcW w:w="0" w:type="auto"/>
            <w:tcBorders>
              <w:top w:val="single" w:sz="4" w:space="0" w:color="000000"/>
              <w:left w:val="single" w:sz="4" w:space="0" w:color="000000"/>
              <w:bottom w:val="single" w:sz="4" w:space="0" w:color="000000"/>
              <w:right w:val="single" w:sz="4" w:space="0" w:color="000000"/>
            </w:tcBorders>
          </w:tcPr>
          <w:p w14:paraId="190F8567" w14:textId="77777777" w:rsidR="003C12C0" w:rsidRDefault="00000000">
            <w:pPr>
              <w:pStyle w:val="TableText"/>
            </w:pPr>
            <w:r>
              <w:t>Stratégie nationale de protection sociale</w:t>
            </w:r>
          </w:p>
        </w:tc>
      </w:tr>
      <w:tr w:rsidR="003C12C0" w14:paraId="190F856B"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569" w14:textId="77777777" w:rsidR="003C12C0" w:rsidRDefault="00000000">
            <w:pPr>
              <w:pStyle w:val="TableText"/>
            </w:pPr>
            <w:r>
              <w:t>USD</w:t>
            </w:r>
          </w:p>
        </w:tc>
        <w:tc>
          <w:tcPr>
            <w:tcW w:w="0" w:type="auto"/>
            <w:tcBorders>
              <w:top w:val="single" w:sz="4" w:space="0" w:color="000000"/>
              <w:left w:val="single" w:sz="4" w:space="0" w:color="000000"/>
              <w:bottom w:val="single" w:sz="4" w:space="0" w:color="000000"/>
              <w:right w:val="single" w:sz="4" w:space="0" w:color="000000"/>
            </w:tcBorders>
          </w:tcPr>
          <w:p w14:paraId="190F856A" w14:textId="77777777" w:rsidR="003C12C0" w:rsidRDefault="00000000">
            <w:pPr>
              <w:pStyle w:val="TableText"/>
            </w:pPr>
            <w:r>
              <w:t>Dollar des États-Unis</w:t>
            </w:r>
          </w:p>
        </w:tc>
      </w:tr>
    </w:tbl>
    <w:p w14:paraId="190F856C" w14:textId="77777777" w:rsidR="003C12C0" w:rsidRDefault="00000000">
      <w:pPr>
        <w:pStyle w:val="Heading1"/>
      </w:pPr>
      <w:bookmarkStart w:id="3" w:name="table-des-matieres"/>
      <w:bookmarkEnd w:id="2"/>
      <w:r>
        <w:lastRenderedPageBreak/>
        <w:t>Table des matières</w:t>
      </w:r>
    </w:p>
    <w:p w14:paraId="190F856D" w14:textId="77777777" w:rsidR="003C12C0" w:rsidRDefault="00000000">
      <w:fldSimple w:instr=" TOC \h \z \u ">
        <w:r>
          <w:rPr>
            <w:color w:val="808080"/>
          </w:rPr>
          <w:t>[Clic droit → Mettre à jour les champs pour générer cette liste]</w:t>
        </w:r>
      </w:fldSimple>
    </w:p>
    <w:p w14:paraId="190F856E" w14:textId="77777777" w:rsidR="003C12C0" w:rsidRDefault="00000000">
      <w:pPr>
        <w:pStyle w:val="Heading1"/>
      </w:pPr>
      <w:bookmarkStart w:id="4" w:name="Xedad9349539416b4e5b8da872c8532d047509e9"/>
      <w:bookmarkEnd w:id="3"/>
      <w:r>
        <w:lastRenderedPageBreak/>
        <w:t>Listes des tableaux, graphiques et encadrés</w:t>
      </w:r>
    </w:p>
    <w:p w14:paraId="190F856F" w14:textId="77777777" w:rsidR="003C12C0" w:rsidRDefault="00000000">
      <w:pPr>
        <w:pStyle w:val="Heading2"/>
      </w:pPr>
      <w:bookmarkStart w:id="5" w:name="liste-des-tableaux"/>
      <w:r>
        <w:t>Liste des tableaux</w:t>
      </w:r>
    </w:p>
    <w:p w14:paraId="3A148C65" w14:textId="44479159" w:rsidR="00DF4DEA" w:rsidRDefault="00000000">
      <w:pPr>
        <w:pStyle w:val="TOC1"/>
        <w:rPr>
          <w:rFonts w:asciiTheme="minorHAnsi" w:eastAsiaTheme="minorEastAsia" w:hAnsiTheme="minorHAnsi"/>
          <w:color w:val="auto"/>
          <w:kern w:val="2"/>
          <w:sz w:val="24"/>
          <w:szCs w:val="24"/>
          <w:lang w:val="en-CH" w:eastAsia="en-CH"/>
          <w14:ligatures w14:val="standardContextual"/>
        </w:rPr>
      </w:pPr>
      <w:r>
        <w:fldChar w:fldCharType="begin"/>
      </w:r>
      <w:r>
        <w:instrText xml:space="preserve"> TOC \h \z \t "TableTitle,1" </w:instrText>
      </w:r>
      <w:r>
        <w:fldChar w:fldCharType="separate"/>
      </w:r>
      <w:hyperlink w:anchor="_Toc234324538" w:history="1">
        <w:r w:rsidR="00DF4DEA" w:rsidRPr="00AD27A1">
          <w:rPr>
            <w:rStyle w:val="Hyperlink"/>
            <w:rFonts w:ascii="Wingdings 3" w:hAnsi="Wingdings 3"/>
          </w:rPr>
          <w:t></w:t>
        </w:r>
        <w:r w:rsidR="00DF4DEA">
          <w:rPr>
            <w:rFonts w:asciiTheme="minorHAnsi" w:eastAsiaTheme="minorEastAsia" w:hAnsiTheme="minorHAnsi"/>
            <w:color w:val="auto"/>
            <w:kern w:val="2"/>
            <w:sz w:val="24"/>
            <w:szCs w:val="24"/>
            <w:lang w:val="en-CH" w:eastAsia="en-CH"/>
            <w14:ligatures w14:val="standardContextual"/>
          </w:rPr>
          <w:tab/>
        </w:r>
        <w:r w:rsidR="00DF4DEA" w:rsidRPr="00AD27A1">
          <w:rPr>
            <w:rStyle w:val="Hyperlink"/>
          </w:rPr>
          <w:t>Tableau 2.1 — Sécurité sociale contributive obligatoire : CNSS et CNSSAP</w:t>
        </w:r>
        <w:r w:rsidR="00DF4DEA">
          <w:rPr>
            <w:webHidden/>
          </w:rPr>
          <w:tab/>
        </w:r>
        <w:r w:rsidR="00DF4DEA">
          <w:rPr>
            <w:webHidden/>
          </w:rPr>
          <w:fldChar w:fldCharType="begin"/>
        </w:r>
        <w:r w:rsidR="00DF4DEA">
          <w:rPr>
            <w:webHidden/>
          </w:rPr>
          <w:instrText xml:space="preserve"> PAGEREF _Toc234324538 \h </w:instrText>
        </w:r>
        <w:r w:rsidR="00DF4DEA">
          <w:rPr>
            <w:webHidden/>
          </w:rPr>
        </w:r>
        <w:r w:rsidR="00DF4DEA">
          <w:rPr>
            <w:webHidden/>
          </w:rPr>
          <w:fldChar w:fldCharType="separate"/>
        </w:r>
        <w:r w:rsidR="00DF4DEA">
          <w:rPr>
            <w:webHidden/>
          </w:rPr>
          <w:t>18</w:t>
        </w:r>
        <w:r w:rsidR="00DF4DEA">
          <w:rPr>
            <w:webHidden/>
          </w:rPr>
          <w:fldChar w:fldCharType="end"/>
        </w:r>
      </w:hyperlink>
    </w:p>
    <w:p w14:paraId="415AC6FF" w14:textId="79DA7CCC"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39" w:history="1">
        <w:r w:rsidRPr="00AD27A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AD27A1">
          <w:rPr>
            <w:rStyle w:val="Hyperlink"/>
          </w:rPr>
          <w:t>Tableau 2.2 — Régimes spéciaux (financement par allocation budgétaire)</w:t>
        </w:r>
        <w:r>
          <w:rPr>
            <w:webHidden/>
          </w:rPr>
          <w:tab/>
        </w:r>
        <w:r>
          <w:rPr>
            <w:webHidden/>
          </w:rPr>
          <w:fldChar w:fldCharType="begin"/>
        </w:r>
        <w:r>
          <w:rPr>
            <w:webHidden/>
          </w:rPr>
          <w:instrText xml:space="preserve"> PAGEREF _Toc234324539 \h </w:instrText>
        </w:r>
        <w:r>
          <w:rPr>
            <w:webHidden/>
          </w:rPr>
        </w:r>
        <w:r>
          <w:rPr>
            <w:webHidden/>
          </w:rPr>
          <w:fldChar w:fldCharType="separate"/>
        </w:r>
        <w:r>
          <w:rPr>
            <w:webHidden/>
          </w:rPr>
          <w:t>19</w:t>
        </w:r>
        <w:r>
          <w:rPr>
            <w:webHidden/>
          </w:rPr>
          <w:fldChar w:fldCharType="end"/>
        </w:r>
      </w:hyperlink>
    </w:p>
    <w:p w14:paraId="52910957" w14:textId="6EBBDFE0"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40" w:history="1">
        <w:r w:rsidRPr="00AD27A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AD27A1">
          <w:rPr>
            <w:rStyle w:val="Hyperlink"/>
          </w:rPr>
          <w:t>Tableau 2.3 — Protection de la santé par segment de population</w:t>
        </w:r>
        <w:r>
          <w:rPr>
            <w:webHidden/>
          </w:rPr>
          <w:tab/>
        </w:r>
        <w:r>
          <w:rPr>
            <w:webHidden/>
          </w:rPr>
          <w:fldChar w:fldCharType="begin"/>
        </w:r>
        <w:r>
          <w:rPr>
            <w:webHidden/>
          </w:rPr>
          <w:instrText xml:space="preserve"> PAGEREF _Toc234324540 \h </w:instrText>
        </w:r>
        <w:r>
          <w:rPr>
            <w:webHidden/>
          </w:rPr>
        </w:r>
        <w:r>
          <w:rPr>
            <w:webHidden/>
          </w:rPr>
          <w:fldChar w:fldCharType="separate"/>
        </w:r>
        <w:r>
          <w:rPr>
            <w:webHidden/>
          </w:rPr>
          <w:t>20</w:t>
        </w:r>
        <w:r>
          <w:rPr>
            <w:webHidden/>
          </w:rPr>
          <w:fldChar w:fldCharType="end"/>
        </w:r>
      </w:hyperlink>
    </w:p>
    <w:p w14:paraId="21202D3E" w14:textId="67BF05DB"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41" w:history="1">
        <w:r w:rsidRPr="00AD27A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AD27A1">
          <w:rPr>
            <w:rStyle w:val="Hyperlink"/>
          </w:rPr>
          <w:t>Tableau 2.4 — Programmes d'assistance sociale et initiatives non contributives (actifs au 31.12.2025)</w:t>
        </w:r>
        <w:r>
          <w:rPr>
            <w:webHidden/>
          </w:rPr>
          <w:tab/>
        </w:r>
        <w:r>
          <w:rPr>
            <w:webHidden/>
          </w:rPr>
          <w:fldChar w:fldCharType="begin"/>
        </w:r>
        <w:r>
          <w:rPr>
            <w:webHidden/>
          </w:rPr>
          <w:instrText xml:space="preserve"> PAGEREF _Toc234324541 \h </w:instrText>
        </w:r>
        <w:r>
          <w:rPr>
            <w:webHidden/>
          </w:rPr>
        </w:r>
        <w:r>
          <w:rPr>
            <w:webHidden/>
          </w:rPr>
          <w:fldChar w:fldCharType="separate"/>
        </w:r>
        <w:r>
          <w:rPr>
            <w:webHidden/>
          </w:rPr>
          <w:t>21</w:t>
        </w:r>
        <w:r>
          <w:rPr>
            <w:webHidden/>
          </w:rPr>
          <w:fldChar w:fldCharType="end"/>
        </w:r>
      </w:hyperlink>
    </w:p>
    <w:p w14:paraId="6A7466CF" w14:textId="7D759089"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42" w:history="1">
        <w:r w:rsidRPr="00AD27A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AD27A1">
          <w:rPr>
            <w:rStyle w:val="Hyperlink"/>
          </w:rPr>
          <w:t>Tableau 2.5 — Politiques sectorielles à dimension protectrice — mention contextuelle (Niveau 3)</w:t>
        </w:r>
        <w:r>
          <w:rPr>
            <w:webHidden/>
          </w:rPr>
          <w:tab/>
        </w:r>
        <w:r>
          <w:rPr>
            <w:webHidden/>
          </w:rPr>
          <w:fldChar w:fldCharType="begin"/>
        </w:r>
        <w:r>
          <w:rPr>
            <w:webHidden/>
          </w:rPr>
          <w:instrText xml:space="preserve"> PAGEREF _Toc234324542 \h </w:instrText>
        </w:r>
        <w:r>
          <w:rPr>
            <w:webHidden/>
          </w:rPr>
        </w:r>
        <w:r>
          <w:rPr>
            <w:webHidden/>
          </w:rPr>
          <w:fldChar w:fldCharType="separate"/>
        </w:r>
        <w:r>
          <w:rPr>
            <w:webHidden/>
          </w:rPr>
          <w:t>22</w:t>
        </w:r>
        <w:r>
          <w:rPr>
            <w:webHidden/>
          </w:rPr>
          <w:fldChar w:fldCharType="end"/>
        </w:r>
      </w:hyperlink>
    </w:p>
    <w:p w14:paraId="0E98F163" w14:textId="2CE89E8E"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43" w:history="1">
        <w:r w:rsidRPr="00AD27A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AD27A1">
          <w:rPr>
            <w:rStyle w:val="Hyperlink"/>
          </w:rPr>
          <w:t>Tableau 4.1 — Bénéficiaires de pensions de vieillesse, CNSS et CNSSAP (2019–2025) [src]</w:t>
        </w:r>
        <w:r>
          <w:rPr>
            <w:webHidden/>
          </w:rPr>
          <w:tab/>
        </w:r>
        <w:r>
          <w:rPr>
            <w:webHidden/>
          </w:rPr>
          <w:fldChar w:fldCharType="begin"/>
        </w:r>
        <w:r>
          <w:rPr>
            <w:webHidden/>
          </w:rPr>
          <w:instrText xml:space="preserve"> PAGEREF _Toc234324543 \h </w:instrText>
        </w:r>
        <w:r>
          <w:rPr>
            <w:webHidden/>
          </w:rPr>
        </w:r>
        <w:r>
          <w:rPr>
            <w:webHidden/>
          </w:rPr>
          <w:fldChar w:fldCharType="separate"/>
        </w:r>
        <w:r>
          <w:rPr>
            <w:webHidden/>
          </w:rPr>
          <w:t>24</w:t>
        </w:r>
        <w:r>
          <w:rPr>
            <w:webHidden/>
          </w:rPr>
          <w:fldChar w:fldCharType="end"/>
        </w:r>
      </w:hyperlink>
    </w:p>
    <w:p w14:paraId="1C7122CE" w14:textId="63ED893B"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44" w:history="1">
        <w:r w:rsidRPr="00AD27A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AD27A1">
          <w:rPr>
            <w:rStyle w:val="Hyperlink"/>
          </w:rPr>
          <w:t>Tableau 4.2 — Adéquation des pensions de vieillesse, CNSS (2019–2025) [src]</w:t>
        </w:r>
        <w:r>
          <w:rPr>
            <w:webHidden/>
          </w:rPr>
          <w:tab/>
        </w:r>
        <w:r>
          <w:rPr>
            <w:webHidden/>
          </w:rPr>
          <w:fldChar w:fldCharType="begin"/>
        </w:r>
        <w:r>
          <w:rPr>
            <w:webHidden/>
          </w:rPr>
          <w:instrText xml:space="preserve"> PAGEREF _Toc234324544 \h </w:instrText>
        </w:r>
        <w:r>
          <w:rPr>
            <w:webHidden/>
          </w:rPr>
        </w:r>
        <w:r>
          <w:rPr>
            <w:webHidden/>
          </w:rPr>
          <w:fldChar w:fldCharType="separate"/>
        </w:r>
        <w:r>
          <w:rPr>
            <w:webHidden/>
          </w:rPr>
          <w:t>24</w:t>
        </w:r>
        <w:r>
          <w:rPr>
            <w:webHidden/>
          </w:rPr>
          <w:fldChar w:fldCharType="end"/>
        </w:r>
      </w:hyperlink>
    </w:p>
    <w:p w14:paraId="3B510962" w14:textId="3898C26D"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45" w:history="1">
        <w:r w:rsidRPr="00AD27A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AD27A1">
          <w:rPr>
            <w:rStyle w:val="Hyperlink"/>
          </w:rPr>
          <w:t>Tableau 4.3 — Employeurs enregistrés et cotisants actifs, CNSS et CNSSAP (2019–2025) [src]</w:t>
        </w:r>
        <w:r>
          <w:rPr>
            <w:webHidden/>
          </w:rPr>
          <w:tab/>
        </w:r>
        <w:r>
          <w:rPr>
            <w:webHidden/>
          </w:rPr>
          <w:fldChar w:fldCharType="begin"/>
        </w:r>
        <w:r>
          <w:rPr>
            <w:webHidden/>
          </w:rPr>
          <w:instrText xml:space="preserve"> PAGEREF _Toc234324545 \h </w:instrText>
        </w:r>
        <w:r>
          <w:rPr>
            <w:webHidden/>
          </w:rPr>
        </w:r>
        <w:r>
          <w:rPr>
            <w:webHidden/>
          </w:rPr>
          <w:fldChar w:fldCharType="separate"/>
        </w:r>
        <w:r>
          <w:rPr>
            <w:webHidden/>
          </w:rPr>
          <w:t>25</w:t>
        </w:r>
        <w:r>
          <w:rPr>
            <w:webHidden/>
          </w:rPr>
          <w:fldChar w:fldCharType="end"/>
        </w:r>
      </w:hyperlink>
    </w:p>
    <w:p w14:paraId="2EE1D88F" w14:textId="3C359DE1"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46" w:history="1">
        <w:r w:rsidRPr="00AD27A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AD27A1">
          <w:rPr>
            <w:rStyle w:val="Hyperlink"/>
          </w:rPr>
          <w:t>Tableau 4.4 — Bénéficiaires de prestations maternité, CNSS (2019–2025) [src]</w:t>
        </w:r>
        <w:r>
          <w:rPr>
            <w:webHidden/>
          </w:rPr>
          <w:tab/>
        </w:r>
        <w:r>
          <w:rPr>
            <w:webHidden/>
          </w:rPr>
          <w:fldChar w:fldCharType="begin"/>
        </w:r>
        <w:r>
          <w:rPr>
            <w:webHidden/>
          </w:rPr>
          <w:instrText xml:space="preserve"> PAGEREF _Toc234324546 \h </w:instrText>
        </w:r>
        <w:r>
          <w:rPr>
            <w:webHidden/>
          </w:rPr>
        </w:r>
        <w:r>
          <w:rPr>
            <w:webHidden/>
          </w:rPr>
          <w:fldChar w:fldCharType="separate"/>
        </w:r>
        <w:r>
          <w:rPr>
            <w:webHidden/>
          </w:rPr>
          <w:t>25</w:t>
        </w:r>
        <w:r>
          <w:rPr>
            <w:webHidden/>
          </w:rPr>
          <w:fldChar w:fldCharType="end"/>
        </w:r>
      </w:hyperlink>
    </w:p>
    <w:p w14:paraId="293DA544" w14:textId="64891AEF"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47" w:history="1">
        <w:r w:rsidRPr="00AD27A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AD27A1">
          <w:rPr>
            <w:rStyle w:val="Hyperlink"/>
          </w:rPr>
          <w:t>Tableau 4.5 — Bénéficiaires de rentes d'accidents du travail et maladies professionnelles, CNSS (2019–2025) [src]</w:t>
        </w:r>
        <w:r>
          <w:rPr>
            <w:webHidden/>
          </w:rPr>
          <w:tab/>
        </w:r>
        <w:r>
          <w:rPr>
            <w:webHidden/>
          </w:rPr>
          <w:fldChar w:fldCharType="begin"/>
        </w:r>
        <w:r>
          <w:rPr>
            <w:webHidden/>
          </w:rPr>
          <w:instrText xml:space="preserve"> PAGEREF _Toc234324547 \h </w:instrText>
        </w:r>
        <w:r>
          <w:rPr>
            <w:webHidden/>
          </w:rPr>
        </w:r>
        <w:r>
          <w:rPr>
            <w:webHidden/>
          </w:rPr>
          <w:fldChar w:fldCharType="separate"/>
        </w:r>
        <w:r>
          <w:rPr>
            <w:webHidden/>
          </w:rPr>
          <w:t>25</w:t>
        </w:r>
        <w:r>
          <w:rPr>
            <w:webHidden/>
          </w:rPr>
          <w:fldChar w:fldCharType="end"/>
        </w:r>
      </w:hyperlink>
    </w:p>
    <w:p w14:paraId="3CF9E7D6" w14:textId="449C63C6"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48" w:history="1">
        <w:r w:rsidRPr="00AD27A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AD27A1">
          <w:rPr>
            <w:rStyle w:val="Hyperlink"/>
          </w:rPr>
          <w:t>Tableau 4.6 — Enfants couverts par les allocations familiales, CNSS et CNSSAP (2019–2025) [src]</w:t>
        </w:r>
        <w:r>
          <w:rPr>
            <w:webHidden/>
          </w:rPr>
          <w:tab/>
        </w:r>
        <w:r>
          <w:rPr>
            <w:webHidden/>
          </w:rPr>
          <w:fldChar w:fldCharType="begin"/>
        </w:r>
        <w:r>
          <w:rPr>
            <w:webHidden/>
          </w:rPr>
          <w:instrText xml:space="preserve"> PAGEREF _Toc234324548 \h </w:instrText>
        </w:r>
        <w:r>
          <w:rPr>
            <w:webHidden/>
          </w:rPr>
        </w:r>
        <w:r>
          <w:rPr>
            <w:webHidden/>
          </w:rPr>
          <w:fldChar w:fldCharType="separate"/>
        </w:r>
        <w:r>
          <w:rPr>
            <w:webHidden/>
          </w:rPr>
          <w:t>26</w:t>
        </w:r>
        <w:r>
          <w:rPr>
            <w:webHidden/>
          </w:rPr>
          <w:fldChar w:fldCharType="end"/>
        </w:r>
      </w:hyperlink>
    </w:p>
    <w:p w14:paraId="5A3FD72E" w14:textId="784CF97B"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49" w:history="1">
        <w:r w:rsidRPr="00AD27A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AD27A1">
          <w:rPr>
            <w:rStyle w:val="Hyperlink"/>
          </w:rPr>
          <w:t>Tableau 4.7 — Montant de l'allocation familiale CNSS et seuil de pauvreté de référence (2019–2025) [src]</w:t>
        </w:r>
        <w:r>
          <w:rPr>
            <w:webHidden/>
          </w:rPr>
          <w:tab/>
        </w:r>
        <w:r>
          <w:rPr>
            <w:webHidden/>
          </w:rPr>
          <w:fldChar w:fldCharType="begin"/>
        </w:r>
        <w:r>
          <w:rPr>
            <w:webHidden/>
          </w:rPr>
          <w:instrText xml:space="preserve"> PAGEREF _Toc234324549 \h </w:instrText>
        </w:r>
        <w:r>
          <w:rPr>
            <w:webHidden/>
          </w:rPr>
        </w:r>
        <w:r>
          <w:rPr>
            <w:webHidden/>
          </w:rPr>
          <w:fldChar w:fldCharType="separate"/>
        </w:r>
        <w:r>
          <w:rPr>
            <w:webHidden/>
          </w:rPr>
          <w:t>26</w:t>
        </w:r>
        <w:r>
          <w:rPr>
            <w:webHidden/>
          </w:rPr>
          <w:fldChar w:fldCharType="end"/>
        </w:r>
      </w:hyperlink>
    </w:p>
    <w:p w14:paraId="5E2EE2C4" w14:textId="2C1EB0A6"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50" w:history="1">
        <w:r w:rsidRPr="00AD27A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AD27A1">
          <w:rPr>
            <w:rStyle w:val="Hyperlink"/>
          </w:rPr>
          <w:t>Tableau 4.8 — Programmes non contributifs ciblant les enfants et les familles [src]</w:t>
        </w:r>
        <w:r>
          <w:rPr>
            <w:webHidden/>
          </w:rPr>
          <w:tab/>
        </w:r>
        <w:r>
          <w:rPr>
            <w:webHidden/>
          </w:rPr>
          <w:fldChar w:fldCharType="begin"/>
        </w:r>
        <w:r>
          <w:rPr>
            <w:webHidden/>
          </w:rPr>
          <w:instrText xml:space="preserve"> PAGEREF _Toc234324550 \h </w:instrText>
        </w:r>
        <w:r>
          <w:rPr>
            <w:webHidden/>
          </w:rPr>
        </w:r>
        <w:r>
          <w:rPr>
            <w:webHidden/>
          </w:rPr>
          <w:fldChar w:fldCharType="separate"/>
        </w:r>
        <w:r>
          <w:rPr>
            <w:webHidden/>
          </w:rPr>
          <w:t>27</w:t>
        </w:r>
        <w:r>
          <w:rPr>
            <w:webHidden/>
          </w:rPr>
          <w:fldChar w:fldCharType="end"/>
        </w:r>
      </w:hyperlink>
    </w:p>
    <w:p w14:paraId="47BE57FD" w14:textId="2B23995E"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51" w:history="1">
        <w:r w:rsidRPr="00AD27A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AD27A1">
          <w:rPr>
            <w:rStyle w:val="Hyperlink"/>
          </w:rPr>
          <w:t>Tableau 4.9 — Bénéficiaires de pensions d'invalidité, CNSS et CNSSAP (2019–2025) [src]</w:t>
        </w:r>
        <w:r>
          <w:rPr>
            <w:webHidden/>
          </w:rPr>
          <w:tab/>
        </w:r>
        <w:r>
          <w:rPr>
            <w:webHidden/>
          </w:rPr>
          <w:fldChar w:fldCharType="begin"/>
        </w:r>
        <w:r>
          <w:rPr>
            <w:webHidden/>
          </w:rPr>
          <w:instrText xml:space="preserve"> PAGEREF _Toc234324551 \h </w:instrText>
        </w:r>
        <w:r>
          <w:rPr>
            <w:webHidden/>
          </w:rPr>
        </w:r>
        <w:r>
          <w:rPr>
            <w:webHidden/>
          </w:rPr>
          <w:fldChar w:fldCharType="separate"/>
        </w:r>
        <w:r>
          <w:rPr>
            <w:webHidden/>
          </w:rPr>
          <w:t>27</w:t>
        </w:r>
        <w:r>
          <w:rPr>
            <w:webHidden/>
          </w:rPr>
          <w:fldChar w:fldCharType="end"/>
        </w:r>
      </w:hyperlink>
    </w:p>
    <w:p w14:paraId="6C425621" w14:textId="402FDD29"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52" w:history="1">
        <w:r w:rsidRPr="00AD27A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AD27A1">
          <w:rPr>
            <w:rStyle w:val="Hyperlink"/>
          </w:rPr>
          <w:t>Tableau 4.10 — Adéquation de la pension d'invalidité CNSS et seuil de pauvreté (2019–2025) [src]</w:t>
        </w:r>
        <w:r>
          <w:rPr>
            <w:webHidden/>
          </w:rPr>
          <w:tab/>
        </w:r>
        <w:r>
          <w:rPr>
            <w:webHidden/>
          </w:rPr>
          <w:fldChar w:fldCharType="begin"/>
        </w:r>
        <w:r>
          <w:rPr>
            <w:webHidden/>
          </w:rPr>
          <w:instrText xml:space="preserve"> PAGEREF _Toc234324552 \h </w:instrText>
        </w:r>
        <w:r>
          <w:rPr>
            <w:webHidden/>
          </w:rPr>
        </w:r>
        <w:r>
          <w:rPr>
            <w:webHidden/>
          </w:rPr>
          <w:fldChar w:fldCharType="separate"/>
        </w:r>
        <w:r>
          <w:rPr>
            <w:webHidden/>
          </w:rPr>
          <w:t>27</w:t>
        </w:r>
        <w:r>
          <w:rPr>
            <w:webHidden/>
          </w:rPr>
          <w:fldChar w:fldCharType="end"/>
        </w:r>
      </w:hyperlink>
    </w:p>
    <w:p w14:paraId="47EF2C4B" w14:textId="630A9740"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53" w:history="1">
        <w:r w:rsidRPr="00AD27A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AD27A1">
          <w:rPr>
            <w:rStyle w:val="Hyperlink"/>
          </w:rPr>
          <w:t>Tableau 4.11 — Programmes non contributifs pour les personnes handicapées [src]</w:t>
        </w:r>
        <w:r>
          <w:rPr>
            <w:webHidden/>
          </w:rPr>
          <w:tab/>
        </w:r>
        <w:r>
          <w:rPr>
            <w:webHidden/>
          </w:rPr>
          <w:fldChar w:fldCharType="begin"/>
        </w:r>
        <w:r>
          <w:rPr>
            <w:webHidden/>
          </w:rPr>
          <w:instrText xml:space="preserve"> PAGEREF _Toc234324553 \h </w:instrText>
        </w:r>
        <w:r>
          <w:rPr>
            <w:webHidden/>
          </w:rPr>
        </w:r>
        <w:r>
          <w:rPr>
            <w:webHidden/>
          </w:rPr>
          <w:fldChar w:fldCharType="separate"/>
        </w:r>
        <w:r>
          <w:rPr>
            <w:webHidden/>
          </w:rPr>
          <w:t>28</w:t>
        </w:r>
        <w:r>
          <w:rPr>
            <w:webHidden/>
          </w:rPr>
          <w:fldChar w:fldCharType="end"/>
        </w:r>
      </w:hyperlink>
    </w:p>
    <w:p w14:paraId="3D832046" w14:textId="06586E0E"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54" w:history="1">
        <w:r w:rsidRPr="00AD27A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AD27A1">
          <w:rPr>
            <w:rStyle w:val="Hyperlink"/>
          </w:rPr>
          <w:t>Tableau 4.12 — Bénéficiaires de prestations de survie, CNSS et CNSSAP (2019–2025) [src]</w:t>
        </w:r>
        <w:r>
          <w:rPr>
            <w:webHidden/>
          </w:rPr>
          <w:tab/>
        </w:r>
        <w:r>
          <w:rPr>
            <w:webHidden/>
          </w:rPr>
          <w:fldChar w:fldCharType="begin"/>
        </w:r>
        <w:r>
          <w:rPr>
            <w:webHidden/>
          </w:rPr>
          <w:instrText xml:space="preserve"> PAGEREF _Toc234324554 \h </w:instrText>
        </w:r>
        <w:r>
          <w:rPr>
            <w:webHidden/>
          </w:rPr>
        </w:r>
        <w:r>
          <w:rPr>
            <w:webHidden/>
          </w:rPr>
          <w:fldChar w:fldCharType="separate"/>
        </w:r>
        <w:r>
          <w:rPr>
            <w:webHidden/>
          </w:rPr>
          <w:t>28</w:t>
        </w:r>
        <w:r>
          <w:rPr>
            <w:webHidden/>
          </w:rPr>
          <w:fldChar w:fldCharType="end"/>
        </w:r>
      </w:hyperlink>
    </w:p>
    <w:p w14:paraId="6A79EDE7" w14:textId="78C23C3B"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55" w:history="1">
        <w:r w:rsidRPr="00AD27A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AD27A1">
          <w:rPr>
            <w:rStyle w:val="Hyperlink"/>
          </w:rPr>
          <w:t>Tableau 4.13 — Adéquation des pensions de survie CNSS et seuil de pauvreté (2019–2025) [src]</w:t>
        </w:r>
        <w:r>
          <w:rPr>
            <w:webHidden/>
          </w:rPr>
          <w:tab/>
        </w:r>
        <w:r>
          <w:rPr>
            <w:webHidden/>
          </w:rPr>
          <w:fldChar w:fldCharType="begin"/>
        </w:r>
        <w:r>
          <w:rPr>
            <w:webHidden/>
          </w:rPr>
          <w:instrText xml:space="preserve"> PAGEREF _Toc234324555 \h </w:instrText>
        </w:r>
        <w:r>
          <w:rPr>
            <w:webHidden/>
          </w:rPr>
        </w:r>
        <w:r>
          <w:rPr>
            <w:webHidden/>
          </w:rPr>
          <w:fldChar w:fldCharType="separate"/>
        </w:r>
        <w:r>
          <w:rPr>
            <w:webHidden/>
          </w:rPr>
          <w:t>28</w:t>
        </w:r>
        <w:r>
          <w:rPr>
            <w:webHidden/>
          </w:rPr>
          <w:fldChar w:fldCharType="end"/>
        </w:r>
      </w:hyperlink>
    </w:p>
    <w:p w14:paraId="62A893E7" w14:textId="2A109E72"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56" w:history="1">
        <w:r w:rsidRPr="00AD27A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AD27A1">
          <w:rPr>
            <w:rStyle w:val="Hyperlink"/>
          </w:rPr>
          <w:t>Tableau 4.14 — Indicateurs de couverture FSS (2019–2025)</w:t>
        </w:r>
        <w:r>
          <w:rPr>
            <w:webHidden/>
          </w:rPr>
          <w:tab/>
        </w:r>
        <w:r>
          <w:rPr>
            <w:webHidden/>
          </w:rPr>
          <w:fldChar w:fldCharType="begin"/>
        </w:r>
        <w:r>
          <w:rPr>
            <w:webHidden/>
          </w:rPr>
          <w:instrText xml:space="preserve"> PAGEREF _Toc234324556 \h </w:instrText>
        </w:r>
        <w:r>
          <w:rPr>
            <w:webHidden/>
          </w:rPr>
        </w:r>
        <w:r>
          <w:rPr>
            <w:webHidden/>
          </w:rPr>
          <w:fldChar w:fldCharType="separate"/>
        </w:r>
        <w:r>
          <w:rPr>
            <w:webHidden/>
          </w:rPr>
          <w:t>29</w:t>
        </w:r>
        <w:r>
          <w:rPr>
            <w:webHidden/>
          </w:rPr>
          <w:fldChar w:fldCharType="end"/>
        </w:r>
      </w:hyperlink>
    </w:p>
    <w:p w14:paraId="783EEEB7" w14:textId="104E3C63"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57" w:history="1">
        <w:r w:rsidRPr="00AD27A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AD27A1">
          <w:rPr>
            <w:rStyle w:val="Hyperlink"/>
          </w:rPr>
          <w:t>Tableau 4.15 — Indicateurs de couverture MESP (2019–2025)</w:t>
        </w:r>
        <w:r>
          <w:rPr>
            <w:webHidden/>
          </w:rPr>
          <w:tab/>
        </w:r>
        <w:r>
          <w:rPr>
            <w:webHidden/>
          </w:rPr>
          <w:fldChar w:fldCharType="begin"/>
        </w:r>
        <w:r>
          <w:rPr>
            <w:webHidden/>
          </w:rPr>
          <w:instrText xml:space="preserve"> PAGEREF _Toc234324557 \h </w:instrText>
        </w:r>
        <w:r>
          <w:rPr>
            <w:webHidden/>
          </w:rPr>
        </w:r>
        <w:r>
          <w:rPr>
            <w:webHidden/>
          </w:rPr>
          <w:fldChar w:fldCharType="separate"/>
        </w:r>
        <w:r>
          <w:rPr>
            <w:webHidden/>
          </w:rPr>
          <w:t>29</w:t>
        </w:r>
        <w:r>
          <w:rPr>
            <w:webHidden/>
          </w:rPr>
          <w:fldChar w:fldCharType="end"/>
        </w:r>
      </w:hyperlink>
    </w:p>
    <w:p w14:paraId="2158CE9B" w14:textId="61BCD8B9"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58" w:history="1">
        <w:r w:rsidRPr="00AD27A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AD27A1">
          <w:rPr>
            <w:rStyle w:val="Hyperlink"/>
          </w:rPr>
          <w:t>Tableau 4.16 — Recettes des régimes contributifs (2019–2025) [src]</w:t>
        </w:r>
        <w:r>
          <w:rPr>
            <w:webHidden/>
          </w:rPr>
          <w:tab/>
        </w:r>
        <w:r>
          <w:rPr>
            <w:webHidden/>
          </w:rPr>
          <w:fldChar w:fldCharType="begin"/>
        </w:r>
        <w:r>
          <w:rPr>
            <w:webHidden/>
          </w:rPr>
          <w:instrText xml:space="preserve"> PAGEREF _Toc234324558 \h </w:instrText>
        </w:r>
        <w:r>
          <w:rPr>
            <w:webHidden/>
          </w:rPr>
        </w:r>
        <w:r>
          <w:rPr>
            <w:webHidden/>
          </w:rPr>
          <w:fldChar w:fldCharType="separate"/>
        </w:r>
        <w:r>
          <w:rPr>
            <w:webHidden/>
          </w:rPr>
          <w:t>30</w:t>
        </w:r>
        <w:r>
          <w:rPr>
            <w:webHidden/>
          </w:rPr>
          <w:fldChar w:fldCharType="end"/>
        </w:r>
      </w:hyperlink>
    </w:p>
    <w:p w14:paraId="66FAC7FA" w14:textId="54BC7F15"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59" w:history="1">
        <w:r w:rsidRPr="00AD27A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AD27A1">
          <w:rPr>
            <w:rStyle w:val="Hyperlink"/>
          </w:rPr>
          <w:t>Tableau 4.17 — Dépenses de prestations par institution (2019–2025) [src]</w:t>
        </w:r>
        <w:r>
          <w:rPr>
            <w:webHidden/>
          </w:rPr>
          <w:tab/>
        </w:r>
        <w:r>
          <w:rPr>
            <w:webHidden/>
          </w:rPr>
          <w:fldChar w:fldCharType="begin"/>
        </w:r>
        <w:r>
          <w:rPr>
            <w:webHidden/>
          </w:rPr>
          <w:instrText xml:space="preserve"> PAGEREF _Toc234324559 \h </w:instrText>
        </w:r>
        <w:r>
          <w:rPr>
            <w:webHidden/>
          </w:rPr>
        </w:r>
        <w:r>
          <w:rPr>
            <w:webHidden/>
          </w:rPr>
          <w:fldChar w:fldCharType="separate"/>
        </w:r>
        <w:r>
          <w:rPr>
            <w:webHidden/>
          </w:rPr>
          <w:t>30</w:t>
        </w:r>
        <w:r>
          <w:rPr>
            <w:webHidden/>
          </w:rPr>
          <w:fldChar w:fldCharType="end"/>
        </w:r>
      </w:hyperlink>
    </w:p>
    <w:p w14:paraId="3DD6C073" w14:textId="459BE3F6"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60" w:history="1">
        <w:r w:rsidRPr="00AD27A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AD27A1">
          <w:rPr>
            <w:rStyle w:val="Hyperlink"/>
          </w:rPr>
          <w:t>Tableau 4.18 — Dépenses administratives et ratio d'efficience (2019–2025) [src]</w:t>
        </w:r>
        <w:r>
          <w:rPr>
            <w:webHidden/>
          </w:rPr>
          <w:tab/>
        </w:r>
        <w:r>
          <w:rPr>
            <w:webHidden/>
          </w:rPr>
          <w:fldChar w:fldCharType="begin"/>
        </w:r>
        <w:r>
          <w:rPr>
            <w:webHidden/>
          </w:rPr>
          <w:instrText xml:space="preserve"> PAGEREF _Toc234324560 \h </w:instrText>
        </w:r>
        <w:r>
          <w:rPr>
            <w:webHidden/>
          </w:rPr>
        </w:r>
        <w:r>
          <w:rPr>
            <w:webHidden/>
          </w:rPr>
          <w:fldChar w:fldCharType="separate"/>
        </w:r>
        <w:r>
          <w:rPr>
            <w:webHidden/>
          </w:rPr>
          <w:t>31</w:t>
        </w:r>
        <w:r>
          <w:rPr>
            <w:webHidden/>
          </w:rPr>
          <w:fldChar w:fldCharType="end"/>
        </w:r>
      </w:hyperlink>
    </w:p>
    <w:p w14:paraId="72A1D491" w14:textId="76592F4C"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61" w:history="1">
        <w:r w:rsidRPr="00AD27A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AD27A1">
          <w:rPr>
            <w:rStyle w:val="Hyperlink"/>
          </w:rPr>
          <w:t>Tableau 4.19 — Dépenses de protection sociale en proportion du PIB (2019–2025) [src]</w:t>
        </w:r>
        <w:r>
          <w:rPr>
            <w:webHidden/>
          </w:rPr>
          <w:tab/>
        </w:r>
        <w:r>
          <w:rPr>
            <w:webHidden/>
          </w:rPr>
          <w:fldChar w:fldCharType="begin"/>
        </w:r>
        <w:r>
          <w:rPr>
            <w:webHidden/>
          </w:rPr>
          <w:instrText xml:space="preserve"> PAGEREF _Toc234324561 \h </w:instrText>
        </w:r>
        <w:r>
          <w:rPr>
            <w:webHidden/>
          </w:rPr>
        </w:r>
        <w:r>
          <w:rPr>
            <w:webHidden/>
          </w:rPr>
          <w:fldChar w:fldCharType="separate"/>
        </w:r>
        <w:r>
          <w:rPr>
            <w:webHidden/>
          </w:rPr>
          <w:t>31</w:t>
        </w:r>
        <w:r>
          <w:rPr>
            <w:webHidden/>
          </w:rPr>
          <w:fldChar w:fldCharType="end"/>
        </w:r>
      </w:hyperlink>
    </w:p>
    <w:p w14:paraId="4564A1E1" w14:textId="63FD578E"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62" w:history="1">
        <w:r w:rsidRPr="00AD27A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AD27A1">
          <w:rPr>
            <w:rStyle w:val="Hyperlink"/>
          </w:rPr>
          <w:t>Tableau 5.1 — Définitions des sous-indicateurs de l'ODD 1.3.1 [src]</w:t>
        </w:r>
        <w:r>
          <w:rPr>
            <w:webHidden/>
          </w:rPr>
          <w:tab/>
        </w:r>
        <w:r>
          <w:rPr>
            <w:webHidden/>
          </w:rPr>
          <w:fldChar w:fldCharType="begin"/>
        </w:r>
        <w:r>
          <w:rPr>
            <w:webHidden/>
          </w:rPr>
          <w:instrText xml:space="preserve"> PAGEREF _Toc234324562 \h </w:instrText>
        </w:r>
        <w:r>
          <w:rPr>
            <w:webHidden/>
          </w:rPr>
        </w:r>
        <w:r>
          <w:rPr>
            <w:webHidden/>
          </w:rPr>
          <w:fldChar w:fldCharType="separate"/>
        </w:r>
        <w:r>
          <w:rPr>
            <w:webHidden/>
          </w:rPr>
          <w:t>32</w:t>
        </w:r>
        <w:r>
          <w:rPr>
            <w:webHidden/>
          </w:rPr>
          <w:fldChar w:fldCharType="end"/>
        </w:r>
      </w:hyperlink>
    </w:p>
    <w:p w14:paraId="40A32176" w14:textId="7E817141"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63" w:history="1">
        <w:r w:rsidRPr="00AD27A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AD27A1">
          <w:rPr>
            <w:rStyle w:val="Hyperlink"/>
          </w:rPr>
          <w:t>Tableau 5.2 — Valeurs de l'ODD 1.3.1 pour la RDC par groupe de population (2019–2025) [src]</w:t>
        </w:r>
        <w:r>
          <w:rPr>
            <w:webHidden/>
          </w:rPr>
          <w:tab/>
        </w:r>
        <w:r>
          <w:rPr>
            <w:webHidden/>
          </w:rPr>
          <w:fldChar w:fldCharType="begin"/>
        </w:r>
        <w:r>
          <w:rPr>
            <w:webHidden/>
          </w:rPr>
          <w:instrText xml:space="preserve"> PAGEREF _Toc234324563 \h </w:instrText>
        </w:r>
        <w:r>
          <w:rPr>
            <w:webHidden/>
          </w:rPr>
        </w:r>
        <w:r>
          <w:rPr>
            <w:webHidden/>
          </w:rPr>
          <w:fldChar w:fldCharType="separate"/>
        </w:r>
        <w:r>
          <w:rPr>
            <w:webHidden/>
          </w:rPr>
          <w:t>32</w:t>
        </w:r>
        <w:r>
          <w:rPr>
            <w:webHidden/>
          </w:rPr>
          <w:fldChar w:fldCharType="end"/>
        </w:r>
      </w:hyperlink>
    </w:p>
    <w:p w14:paraId="4D4774D9" w14:textId="04077710"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64" w:history="1">
        <w:r w:rsidRPr="00AD27A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AD27A1">
          <w:rPr>
            <w:rStyle w:val="Hyperlink"/>
          </w:rPr>
          <w:t>Tableau 5.3 — Comparaison régionale et internationale de l'ODD 1.3.1 [src]</w:t>
        </w:r>
        <w:r>
          <w:rPr>
            <w:webHidden/>
          </w:rPr>
          <w:tab/>
        </w:r>
        <w:r>
          <w:rPr>
            <w:webHidden/>
          </w:rPr>
          <w:fldChar w:fldCharType="begin"/>
        </w:r>
        <w:r>
          <w:rPr>
            <w:webHidden/>
          </w:rPr>
          <w:instrText xml:space="preserve"> PAGEREF _Toc234324564 \h </w:instrText>
        </w:r>
        <w:r>
          <w:rPr>
            <w:webHidden/>
          </w:rPr>
        </w:r>
        <w:r>
          <w:rPr>
            <w:webHidden/>
          </w:rPr>
          <w:fldChar w:fldCharType="separate"/>
        </w:r>
        <w:r>
          <w:rPr>
            <w:webHidden/>
          </w:rPr>
          <w:t>33</w:t>
        </w:r>
        <w:r>
          <w:rPr>
            <w:webHidden/>
          </w:rPr>
          <w:fldChar w:fldCharType="end"/>
        </w:r>
      </w:hyperlink>
    </w:p>
    <w:p w14:paraId="495A7F86" w14:textId="20132E50"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65" w:history="1">
        <w:r w:rsidRPr="00AD27A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AD27A1">
          <w:rPr>
            <w:rStyle w:val="Hyperlink"/>
          </w:rPr>
          <w:t>Tableau 5.4 — Trajectoire et objectifs de l'indicateur ODD 1.3.1 pour la RDC [src]</w:t>
        </w:r>
        <w:r>
          <w:rPr>
            <w:webHidden/>
          </w:rPr>
          <w:tab/>
        </w:r>
        <w:r>
          <w:rPr>
            <w:webHidden/>
          </w:rPr>
          <w:fldChar w:fldCharType="begin"/>
        </w:r>
        <w:r>
          <w:rPr>
            <w:webHidden/>
          </w:rPr>
          <w:instrText xml:space="preserve"> PAGEREF _Toc234324565 \h </w:instrText>
        </w:r>
        <w:r>
          <w:rPr>
            <w:webHidden/>
          </w:rPr>
        </w:r>
        <w:r>
          <w:rPr>
            <w:webHidden/>
          </w:rPr>
          <w:fldChar w:fldCharType="separate"/>
        </w:r>
        <w:r>
          <w:rPr>
            <w:webHidden/>
          </w:rPr>
          <w:t>33</w:t>
        </w:r>
        <w:r>
          <w:rPr>
            <w:webHidden/>
          </w:rPr>
          <w:fldChar w:fldCharType="end"/>
        </w:r>
      </w:hyperlink>
    </w:p>
    <w:p w14:paraId="2FDB1797" w14:textId="4763EC20"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66" w:history="1">
        <w:r w:rsidRPr="00AD27A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AD27A1">
          <w:rPr>
            <w:rStyle w:val="Hyperlink"/>
          </w:rPr>
          <w:t>Tableau 5.5 — Évolution de l'indice ODD 3.8.1 pour la RDC (2015–2023) [src]</w:t>
        </w:r>
        <w:r>
          <w:rPr>
            <w:webHidden/>
          </w:rPr>
          <w:tab/>
        </w:r>
        <w:r>
          <w:rPr>
            <w:webHidden/>
          </w:rPr>
          <w:fldChar w:fldCharType="begin"/>
        </w:r>
        <w:r>
          <w:rPr>
            <w:webHidden/>
          </w:rPr>
          <w:instrText xml:space="preserve"> PAGEREF _Toc234324566 \h </w:instrText>
        </w:r>
        <w:r>
          <w:rPr>
            <w:webHidden/>
          </w:rPr>
        </w:r>
        <w:r>
          <w:rPr>
            <w:webHidden/>
          </w:rPr>
          <w:fldChar w:fldCharType="separate"/>
        </w:r>
        <w:r>
          <w:rPr>
            <w:webHidden/>
          </w:rPr>
          <w:t>33</w:t>
        </w:r>
        <w:r>
          <w:rPr>
            <w:webHidden/>
          </w:rPr>
          <w:fldChar w:fldCharType="end"/>
        </w:r>
      </w:hyperlink>
    </w:p>
    <w:p w14:paraId="0324C284" w14:textId="735D1EEE"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67" w:history="1">
        <w:r w:rsidRPr="00AD27A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AD27A1">
          <w:rPr>
            <w:rStyle w:val="Hyperlink"/>
          </w:rPr>
          <w:t>Tableau 5.6 — Comparaison régionale et internationale de l'ODD 3.8.1 [src]</w:t>
        </w:r>
        <w:r>
          <w:rPr>
            <w:webHidden/>
          </w:rPr>
          <w:tab/>
        </w:r>
        <w:r>
          <w:rPr>
            <w:webHidden/>
          </w:rPr>
          <w:fldChar w:fldCharType="begin"/>
        </w:r>
        <w:r>
          <w:rPr>
            <w:webHidden/>
          </w:rPr>
          <w:instrText xml:space="preserve"> PAGEREF _Toc234324567 \h </w:instrText>
        </w:r>
        <w:r>
          <w:rPr>
            <w:webHidden/>
          </w:rPr>
        </w:r>
        <w:r>
          <w:rPr>
            <w:webHidden/>
          </w:rPr>
          <w:fldChar w:fldCharType="separate"/>
        </w:r>
        <w:r>
          <w:rPr>
            <w:webHidden/>
          </w:rPr>
          <w:t>34</w:t>
        </w:r>
        <w:r>
          <w:rPr>
            <w:webHidden/>
          </w:rPr>
          <w:fldChar w:fldCharType="end"/>
        </w:r>
      </w:hyperlink>
    </w:p>
    <w:p w14:paraId="34470072" w14:textId="6719A08B"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68" w:history="1">
        <w:r w:rsidRPr="00AD27A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AD27A1">
          <w:rPr>
            <w:rStyle w:val="Hyperlink"/>
          </w:rPr>
          <w:t>Tableau 5.7 — Trajectoire et objectifs de l'indicateur ODD 3.8.1 pour la RDC [src]</w:t>
        </w:r>
        <w:r>
          <w:rPr>
            <w:webHidden/>
          </w:rPr>
          <w:tab/>
        </w:r>
        <w:r>
          <w:rPr>
            <w:webHidden/>
          </w:rPr>
          <w:fldChar w:fldCharType="begin"/>
        </w:r>
        <w:r>
          <w:rPr>
            <w:webHidden/>
          </w:rPr>
          <w:instrText xml:space="preserve"> PAGEREF _Toc234324568 \h </w:instrText>
        </w:r>
        <w:r>
          <w:rPr>
            <w:webHidden/>
          </w:rPr>
        </w:r>
        <w:r>
          <w:rPr>
            <w:webHidden/>
          </w:rPr>
          <w:fldChar w:fldCharType="separate"/>
        </w:r>
        <w:r>
          <w:rPr>
            <w:webHidden/>
          </w:rPr>
          <w:t>34</w:t>
        </w:r>
        <w:r>
          <w:rPr>
            <w:webHidden/>
          </w:rPr>
          <w:fldChar w:fldCharType="end"/>
        </w:r>
      </w:hyperlink>
    </w:p>
    <w:p w14:paraId="190F8570" w14:textId="22E8DBA0" w:rsidR="003C12C0" w:rsidRDefault="00000000">
      <w:r>
        <w:fldChar w:fldCharType="end"/>
      </w:r>
    </w:p>
    <w:p w14:paraId="190F8571" w14:textId="77777777" w:rsidR="003C12C0" w:rsidRDefault="00000000">
      <w:pPr>
        <w:pStyle w:val="Heading2"/>
      </w:pPr>
      <w:bookmarkStart w:id="6" w:name="liste-des-graphiques"/>
      <w:bookmarkEnd w:id="5"/>
      <w:r>
        <w:t>Liste des graphiques</w:t>
      </w:r>
    </w:p>
    <w:p w14:paraId="6204DA84" w14:textId="2E830EA8" w:rsidR="00DF4DEA" w:rsidRDefault="00000000">
      <w:pPr>
        <w:pStyle w:val="TOC1"/>
        <w:rPr>
          <w:rFonts w:asciiTheme="minorHAnsi" w:eastAsiaTheme="minorEastAsia" w:hAnsiTheme="minorHAnsi"/>
          <w:color w:val="auto"/>
          <w:kern w:val="2"/>
          <w:sz w:val="24"/>
          <w:szCs w:val="24"/>
          <w:lang w:val="en-CH" w:eastAsia="en-CH"/>
          <w14:ligatures w14:val="standardContextual"/>
        </w:rPr>
      </w:pPr>
      <w:r>
        <w:fldChar w:fldCharType="begin"/>
      </w:r>
      <w:r>
        <w:instrText xml:space="preserve"> TOC \h \z \t "GraphicTitle,1" </w:instrText>
      </w:r>
      <w:r>
        <w:fldChar w:fldCharType="separate"/>
      </w:r>
      <w:hyperlink w:anchor="_Toc234324569" w:history="1">
        <w:r w:rsidR="00DF4DEA" w:rsidRPr="00F03D25">
          <w:rPr>
            <w:rStyle w:val="Hyperlink"/>
            <w:rFonts w:ascii="Wingdings 3" w:hAnsi="Wingdings 3"/>
          </w:rPr>
          <w:t></w:t>
        </w:r>
        <w:r w:rsidR="00DF4DEA">
          <w:rPr>
            <w:rFonts w:asciiTheme="minorHAnsi" w:eastAsiaTheme="minorEastAsia" w:hAnsiTheme="minorHAnsi"/>
            <w:color w:val="auto"/>
            <w:kern w:val="2"/>
            <w:sz w:val="24"/>
            <w:szCs w:val="24"/>
            <w:lang w:val="en-CH" w:eastAsia="en-CH"/>
            <w14:ligatures w14:val="standardContextual"/>
          </w:rPr>
          <w:tab/>
        </w:r>
        <w:r w:rsidR="00DF4DEA" w:rsidRPr="00F03D25">
          <w:rPr>
            <w:rStyle w:val="Hyperlink"/>
            <w:bCs/>
          </w:rPr>
          <w:t>Figure 1</w:t>
        </w:r>
        <w:r w:rsidR="00DF4DEA" w:rsidRPr="00F03D25">
          <w:rPr>
            <w:rStyle w:val="Hyperlink"/>
          </w:rPr>
          <w:t xml:space="preserve"> — Évolution de la population totale, urbaine et rurale de la RDC (1950–2025)</w:t>
        </w:r>
        <w:r w:rsidR="00DF4DEA">
          <w:rPr>
            <w:webHidden/>
          </w:rPr>
          <w:tab/>
        </w:r>
        <w:r w:rsidR="00DF4DEA">
          <w:rPr>
            <w:webHidden/>
          </w:rPr>
          <w:fldChar w:fldCharType="begin"/>
        </w:r>
        <w:r w:rsidR="00DF4DEA">
          <w:rPr>
            <w:webHidden/>
          </w:rPr>
          <w:instrText xml:space="preserve"> PAGEREF _Toc234324569 \h </w:instrText>
        </w:r>
        <w:r w:rsidR="00DF4DEA">
          <w:rPr>
            <w:webHidden/>
          </w:rPr>
        </w:r>
        <w:r w:rsidR="00DF4DEA">
          <w:rPr>
            <w:webHidden/>
          </w:rPr>
          <w:fldChar w:fldCharType="separate"/>
        </w:r>
        <w:r w:rsidR="00DF4DEA">
          <w:rPr>
            <w:webHidden/>
          </w:rPr>
          <w:t>8</w:t>
        </w:r>
        <w:r w:rsidR="00DF4DEA">
          <w:rPr>
            <w:webHidden/>
          </w:rPr>
          <w:fldChar w:fldCharType="end"/>
        </w:r>
      </w:hyperlink>
    </w:p>
    <w:p w14:paraId="6F3FF522" w14:textId="541034D7"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70" w:history="1">
        <w:r w:rsidRPr="00F03D25">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F03D25">
          <w:rPr>
            <w:rStyle w:val="Hyperlink"/>
            <w:bCs/>
          </w:rPr>
          <w:t>Figure 2</w:t>
        </w:r>
        <w:r w:rsidRPr="00F03D25">
          <w:rPr>
            <w:rStyle w:val="Hyperlink"/>
          </w:rPr>
          <w:t xml:space="preserve"> — Pyramide des âges de la RDC (2025) : répartition de la population par groupe d'âge quinquennal et par sexe</w:t>
        </w:r>
        <w:r>
          <w:rPr>
            <w:webHidden/>
          </w:rPr>
          <w:tab/>
        </w:r>
        <w:r>
          <w:rPr>
            <w:webHidden/>
          </w:rPr>
          <w:fldChar w:fldCharType="begin"/>
        </w:r>
        <w:r>
          <w:rPr>
            <w:webHidden/>
          </w:rPr>
          <w:instrText xml:space="preserve"> PAGEREF _Toc234324570 \h </w:instrText>
        </w:r>
        <w:r>
          <w:rPr>
            <w:webHidden/>
          </w:rPr>
        </w:r>
        <w:r>
          <w:rPr>
            <w:webHidden/>
          </w:rPr>
          <w:fldChar w:fldCharType="separate"/>
        </w:r>
        <w:r>
          <w:rPr>
            <w:webHidden/>
          </w:rPr>
          <w:t>9</w:t>
        </w:r>
        <w:r>
          <w:rPr>
            <w:webHidden/>
          </w:rPr>
          <w:fldChar w:fldCharType="end"/>
        </w:r>
      </w:hyperlink>
    </w:p>
    <w:p w14:paraId="03AC0ADF" w14:textId="6EB190E5"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71" w:history="1">
        <w:r w:rsidRPr="00F03D25">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F03D25">
          <w:rPr>
            <w:rStyle w:val="Hyperlink"/>
            <w:bCs/>
          </w:rPr>
          <w:t>Figure 4</w:t>
        </w:r>
        <w:r w:rsidRPr="00F03D25">
          <w:rPr>
            <w:rStyle w:val="Hyperlink"/>
          </w:rPr>
          <w:t xml:space="preserve"> — Évolution du taux de croissance annuel du PIB en RDC (2000–2024)</w:t>
        </w:r>
        <w:r>
          <w:rPr>
            <w:webHidden/>
          </w:rPr>
          <w:tab/>
        </w:r>
        <w:r>
          <w:rPr>
            <w:webHidden/>
          </w:rPr>
          <w:fldChar w:fldCharType="begin"/>
        </w:r>
        <w:r>
          <w:rPr>
            <w:webHidden/>
          </w:rPr>
          <w:instrText xml:space="preserve"> PAGEREF _Toc234324571 \h </w:instrText>
        </w:r>
        <w:r>
          <w:rPr>
            <w:webHidden/>
          </w:rPr>
        </w:r>
        <w:r>
          <w:rPr>
            <w:webHidden/>
          </w:rPr>
          <w:fldChar w:fldCharType="separate"/>
        </w:r>
        <w:r>
          <w:rPr>
            <w:webHidden/>
          </w:rPr>
          <w:t>10</w:t>
        </w:r>
        <w:r>
          <w:rPr>
            <w:webHidden/>
          </w:rPr>
          <w:fldChar w:fldCharType="end"/>
        </w:r>
      </w:hyperlink>
    </w:p>
    <w:p w14:paraId="7A29C7AD" w14:textId="6DCDE252"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72" w:history="1">
        <w:r w:rsidRPr="00F03D25">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F03D25">
          <w:rPr>
            <w:rStyle w:val="Hyperlink"/>
            <w:bCs/>
          </w:rPr>
          <w:t>Figure 5</w:t>
        </w:r>
        <w:r w:rsidRPr="00F03D25">
          <w:rPr>
            <w:rStyle w:val="Hyperlink"/>
          </w:rPr>
          <w:t xml:space="preserve"> — Marché du travail en RDC : taux d'activité et emploi informel par sexe</w:t>
        </w:r>
        <w:r>
          <w:rPr>
            <w:webHidden/>
          </w:rPr>
          <w:tab/>
        </w:r>
        <w:r>
          <w:rPr>
            <w:webHidden/>
          </w:rPr>
          <w:fldChar w:fldCharType="begin"/>
        </w:r>
        <w:r>
          <w:rPr>
            <w:webHidden/>
          </w:rPr>
          <w:instrText xml:space="preserve"> PAGEREF _Toc234324572 \h </w:instrText>
        </w:r>
        <w:r>
          <w:rPr>
            <w:webHidden/>
          </w:rPr>
        </w:r>
        <w:r>
          <w:rPr>
            <w:webHidden/>
          </w:rPr>
          <w:fldChar w:fldCharType="separate"/>
        </w:r>
        <w:r>
          <w:rPr>
            <w:webHidden/>
          </w:rPr>
          <w:t>11</w:t>
        </w:r>
        <w:r>
          <w:rPr>
            <w:webHidden/>
          </w:rPr>
          <w:fldChar w:fldCharType="end"/>
        </w:r>
      </w:hyperlink>
    </w:p>
    <w:p w14:paraId="2FDE40AB" w14:textId="076E47D2" w:rsidR="00DF4DEA" w:rsidRDefault="00DF4DEA">
      <w:pPr>
        <w:pStyle w:val="TOC1"/>
        <w:rPr>
          <w:rFonts w:asciiTheme="minorHAnsi" w:eastAsiaTheme="minorEastAsia" w:hAnsiTheme="minorHAnsi"/>
          <w:color w:val="auto"/>
          <w:kern w:val="2"/>
          <w:sz w:val="24"/>
          <w:szCs w:val="24"/>
          <w:lang w:val="en-CH" w:eastAsia="en-CH"/>
          <w14:ligatures w14:val="standardContextual"/>
        </w:rPr>
      </w:pPr>
      <w:hyperlink w:anchor="_Toc234324573" w:history="1">
        <w:r w:rsidRPr="00F03D25">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F03D25">
          <w:rPr>
            <w:rStyle w:val="Hyperlink"/>
            <w:bCs/>
          </w:rPr>
          <w:t>Figure 6</w:t>
        </w:r>
        <w:r w:rsidRPr="00F03D25">
          <w:rPr>
            <w:rStyle w:val="Hyperlink"/>
          </w:rPr>
          <w:t xml:space="preserve"> — Structure de l'emploi par grand secteur d'activité (agriculture, industrie, services), RDC</w:t>
        </w:r>
        <w:r>
          <w:rPr>
            <w:webHidden/>
          </w:rPr>
          <w:tab/>
        </w:r>
        <w:r>
          <w:rPr>
            <w:webHidden/>
          </w:rPr>
          <w:fldChar w:fldCharType="begin"/>
        </w:r>
        <w:r>
          <w:rPr>
            <w:webHidden/>
          </w:rPr>
          <w:instrText xml:space="preserve"> PAGEREF _Toc234324573 \h </w:instrText>
        </w:r>
        <w:r>
          <w:rPr>
            <w:webHidden/>
          </w:rPr>
        </w:r>
        <w:r>
          <w:rPr>
            <w:webHidden/>
          </w:rPr>
          <w:fldChar w:fldCharType="separate"/>
        </w:r>
        <w:r>
          <w:rPr>
            <w:webHidden/>
          </w:rPr>
          <w:t>12</w:t>
        </w:r>
        <w:r>
          <w:rPr>
            <w:webHidden/>
          </w:rPr>
          <w:fldChar w:fldCharType="end"/>
        </w:r>
      </w:hyperlink>
    </w:p>
    <w:p w14:paraId="190F8572" w14:textId="7C63ADAB" w:rsidR="003C12C0" w:rsidRDefault="00000000">
      <w:r>
        <w:fldChar w:fldCharType="end"/>
      </w:r>
    </w:p>
    <w:p w14:paraId="190F8573" w14:textId="77777777" w:rsidR="003C12C0" w:rsidRDefault="00000000">
      <w:pPr>
        <w:pStyle w:val="Heading2"/>
      </w:pPr>
      <w:bookmarkStart w:id="7" w:name="liste-des-encadres"/>
      <w:bookmarkEnd w:id="6"/>
      <w:r>
        <w:t>Liste des encadrés</w:t>
      </w:r>
    </w:p>
    <w:p w14:paraId="190F8574" w14:textId="77777777" w:rsidR="003C12C0" w:rsidRDefault="00000000">
      <w:pPr>
        <w:pStyle w:val="Heading2"/>
      </w:pPr>
      <w:bookmarkStart w:id="8" w:name="liste-des-annexes-statistiques"/>
      <w:bookmarkEnd w:id="7"/>
      <w:r>
        <w:t>Liste des annexes statistiques</w:t>
      </w:r>
    </w:p>
    <w:p w14:paraId="190F8575" w14:textId="77777777" w:rsidR="003C12C0" w:rsidRDefault="00000000">
      <w:r>
        <w:t>[À compléter]</w:t>
      </w:r>
    </w:p>
    <w:p w14:paraId="190F8576" w14:textId="77777777" w:rsidR="003C12C0" w:rsidRDefault="00000000">
      <w:pPr>
        <w:pStyle w:val="Heading1"/>
      </w:pPr>
      <w:bookmarkStart w:id="9" w:name="X7a5f8325099eba1b0341b61e06a68940aaa639e"/>
      <w:bookmarkEnd w:id="4"/>
      <w:bookmarkEnd w:id="8"/>
      <w:r>
        <w:lastRenderedPageBreak/>
        <w:t>Chapitre 1 — Contexte général et cadre de référence pour la protection sociale en RDC</w:t>
      </w:r>
    </w:p>
    <w:p w14:paraId="190F8577" w14:textId="77777777" w:rsidR="003C12C0" w:rsidRDefault="00000000">
      <w:pPr>
        <w:pStyle w:val="Heading2"/>
      </w:pPr>
      <w:bookmarkStart w:id="10" w:name="X0f6502e11a7224c7a278d89dd0c9e42c9fd83b0"/>
      <w:r>
        <w:t>1.1 Contexte démographique et implications pour la protection sociale</w:t>
      </w:r>
    </w:p>
    <w:p w14:paraId="190F8578" w14:textId="77777777" w:rsidR="003C12C0" w:rsidRDefault="00000000">
      <w:pPr>
        <w:pStyle w:val="Heading3"/>
      </w:pPr>
      <w:bookmarkStart w:id="11" w:name="X50e6fbaf0e1adace2699f520e46b4bf2114bed8"/>
      <w:r>
        <w:t>Une population en forte croissance</w:t>
      </w:r>
    </w:p>
    <w:p w14:paraId="190F8579" w14:textId="77777777" w:rsidR="003C12C0" w:rsidRDefault="00000000">
      <w:r>
        <w:t>La République Démocratique du Congo est l'un des pays les plus peuplés d'Afrique, avec une population estimée à environ 112 millions d'habitants</w:t>
      </w:r>
      <w:r>
        <w:rPr>
          <w:rStyle w:val="FootnoteReference"/>
        </w:rPr>
        <w:footnoteReference w:id="1"/>
      </w:r>
      <w:r>
        <w:t xml:space="preserve"> en 2025. Sa croissance démographique soutenue — avec un taux d'accroissement naturel annuel d'environ 3,2 %</w:t>
      </w:r>
      <w:r>
        <w:rPr>
          <w:rStyle w:val="FootnoteReference"/>
        </w:rPr>
        <w:footnoteReference w:id="2"/>
      </w:r>
      <w:r>
        <w:t xml:space="preserve"> — en fait l'un des pays à la démographie la plus dynamique du continent. À ce rythme, les projections indiquent un doublement de la population dans les prochaines décennies, ce qui place la RDC au 4e rang africain</w:t>
      </w:r>
      <w:r>
        <w:rPr>
          <w:rStyle w:val="FootnoteReference"/>
        </w:rPr>
        <w:footnoteReference w:id="3"/>
      </w:r>
      <w:r>
        <w:t xml:space="preserve"> par la taille de sa population, après le Nigeria, l'Éthiopie et l'Égypte </w:t>
      </w:r>
      <w:r>
        <w:rPr>
          <w:i/>
          <w:iCs/>
        </w:rPr>
        <w:t>(Division de la population des Nations Unies, WPP 2024)</w:t>
      </w:r>
      <w:r>
        <w:t>.</w:t>
      </w:r>
    </w:p>
    <w:p w14:paraId="190F857A" w14:textId="77777777" w:rsidR="003C12C0" w:rsidRDefault="00000000">
      <w:pPr>
        <w:pStyle w:val="GraphicTitle"/>
      </w:pPr>
      <w:bookmarkStart w:id="12" w:name="_Toc234324569"/>
      <w:r>
        <w:rPr>
          <w:bCs/>
        </w:rPr>
        <w:t>Figure 1</w:t>
      </w:r>
      <w:r>
        <w:t xml:space="preserve"> — Évolution de la population totale, urbaine et rurale de la RDC (1950–2025)</w:t>
      </w:r>
      <w:bookmarkEnd w:id="12"/>
    </w:p>
    <w:p w14:paraId="190F857B" w14:textId="77777777" w:rsidR="003C12C0" w:rsidRDefault="00000000">
      <w:r>
        <w:rPr>
          <w:noProof/>
        </w:rPr>
        <w:drawing>
          <wp:inline distT="0" distB="0" distL="0" distR="0" wp14:anchorId="190F8D26" wp14:editId="190F8D27">
            <wp:extent cx="5753100" cy="3072208"/>
            <wp:effectExtent l="0" t="0" r="0" b="0"/>
            <wp:docPr id="22" name="Picture" descr="Évolution de la population totale, urbaine et rurale de la RDC (1950–2025)"/>
            <wp:cNvGraphicFramePr/>
            <a:graphic xmlns:a="http://schemas.openxmlformats.org/drawingml/2006/main">
              <a:graphicData uri="http://schemas.openxmlformats.org/drawingml/2006/picture">
                <pic:pic xmlns:pic="http://schemas.openxmlformats.org/drawingml/2006/picture">
                  <pic:nvPicPr>
                    <pic:cNvPr id="23" name="Picture" descr="C:/Users/M.Diouf/OneDrive/Bureau/RDC%20Bulletin%20V1/Bulletin_rdc_2026_agents/08_figures/exports/FIG_1_population_totale_urbaine_rurale_1950_2025.png"/>
                    <pic:cNvPicPr>
                      <a:picLocks noChangeAspect="1" noChangeArrowheads="1"/>
                    </pic:cNvPicPr>
                  </pic:nvPicPr>
                  <pic:blipFill>
                    <a:blip r:embed="rId7"/>
                    <a:stretch>
                      <a:fillRect/>
                    </a:stretch>
                  </pic:blipFill>
                  <pic:spPr bwMode="auto">
                    <a:xfrm>
                      <a:off x="0" y="0"/>
                      <a:ext cx="5753100" cy="3072208"/>
                    </a:xfrm>
                    <a:prstGeom prst="rect">
                      <a:avLst/>
                    </a:prstGeom>
                    <a:noFill/>
                    <a:ln w="9525">
                      <a:noFill/>
                      <a:headEnd/>
                      <a:tailEnd/>
                    </a:ln>
                  </pic:spPr>
                </pic:pic>
              </a:graphicData>
            </a:graphic>
          </wp:inline>
        </w:drawing>
      </w:r>
    </w:p>
    <w:p w14:paraId="190F857C" w14:textId="77777777" w:rsidR="003C12C0" w:rsidRPr="00DF4DEA" w:rsidRDefault="00000000">
      <w:pPr>
        <w:pStyle w:val="Source-GraphicPicture"/>
        <w:rPr>
          <w:lang w:val="fr-CH"/>
        </w:rPr>
      </w:pPr>
      <w:r w:rsidRPr="00DF4DEA">
        <w:rPr>
          <w:i/>
          <w:iCs/>
          <w:lang w:val="fr-CH"/>
        </w:rPr>
        <w:t>Source : Division de la population des Nations Unies, Perspectives mondiales de la population 2024 (WPP 2024)</w:t>
      </w:r>
      <w:r>
        <w:rPr>
          <w:rStyle w:val="FootnoteReference"/>
        </w:rPr>
        <w:footnoteReference w:id="4"/>
      </w:r>
      <w:r w:rsidRPr="00DF4DEA">
        <w:rPr>
          <w:i/>
          <w:iCs/>
          <w:lang w:val="fr-CH"/>
        </w:rPr>
        <w:t>.</w:t>
      </w:r>
    </w:p>
    <w:p w14:paraId="190F857D" w14:textId="77777777" w:rsidR="003C12C0" w:rsidRDefault="00000000">
      <w:pPr>
        <w:pStyle w:val="Heading3"/>
      </w:pPr>
      <w:bookmarkStart w:id="13" w:name="X78341611dcbeec1863796d4a6a53f8a2affd21e"/>
      <w:bookmarkEnd w:id="11"/>
      <w:r>
        <w:t>Une population jeune, portée par des besoins de cycle de vie</w:t>
      </w:r>
    </w:p>
    <w:p w14:paraId="190F857E" w14:textId="77777777" w:rsidR="003C12C0" w:rsidRDefault="00000000">
      <w:r>
        <w:t>La population congolaise est structurellement jeune : les personnes âgées de moins de 15 ans représentent environ 46 %</w:t>
      </w:r>
      <w:r>
        <w:rPr>
          <w:rStyle w:val="FootnoteReference"/>
        </w:rPr>
        <w:footnoteReference w:id="5"/>
      </w:r>
      <w:r>
        <w:t xml:space="preserve"> de la population totale, et l'âge médian s'établit à 15,9 ans</w:t>
      </w:r>
      <w:r>
        <w:rPr>
          <w:rStyle w:val="FootnoteReference"/>
        </w:rPr>
        <w:footnoteReference w:id="6"/>
      </w:r>
      <w:r>
        <w:t xml:space="preserve"> </w:t>
      </w:r>
      <w:r>
        <w:rPr>
          <w:i/>
          <w:iCs/>
        </w:rPr>
        <w:t>(UNFPA, 2024 ; Division de la population des Nations Unies, WPP 2024)</w:t>
      </w:r>
      <w:r>
        <w:t>. Le ratio de dépendance démographique atteint près de 96 dépendants pour 100 personnes en âge de travailler</w:t>
      </w:r>
      <w:r>
        <w:rPr>
          <w:rStyle w:val="FootnoteReference"/>
        </w:rPr>
        <w:footnoteReference w:id="7"/>
      </w:r>
      <w:r>
        <w:t xml:space="preserve">, ce qui </w:t>
      </w:r>
      <w:r>
        <w:lastRenderedPageBreak/>
        <w:t>signifie qu'une proportion élevée de la population est composée de personnes non actives — enfants, jeunes et personnes âgées — dont les besoins en prestations sociales (protection de la maternité, prestations familiales, soins de santé, pensions) sont particulièrement importants.</w:t>
      </w:r>
    </w:p>
    <w:p w14:paraId="190F857F" w14:textId="77777777" w:rsidR="003C12C0" w:rsidRDefault="00000000">
      <w:pPr>
        <w:pStyle w:val="GraphicTitle"/>
      </w:pPr>
      <w:bookmarkStart w:id="14" w:name="_Toc234324570"/>
      <w:r>
        <w:rPr>
          <w:bCs/>
        </w:rPr>
        <w:t>Figure 2</w:t>
      </w:r>
      <w:r>
        <w:t xml:space="preserve"> — Pyramide des âges de la RDC (2025) : répartition de la population par groupe d'âge quinquennal et par sexe</w:t>
      </w:r>
      <w:bookmarkEnd w:id="14"/>
    </w:p>
    <w:p w14:paraId="190F8580" w14:textId="77777777" w:rsidR="003C12C0" w:rsidRDefault="00000000">
      <w:r>
        <w:rPr>
          <w:noProof/>
        </w:rPr>
        <w:drawing>
          <wp:inline distT="0" distB="0" distL="0" distR="0" wp14:anchorId="190F8D28" wp14:editId="190F8D29">
            <wp:extent cx="5753100" cy="4138951"/>
            <wp:effectExtent l="0" t="0" r="0" b="0"/>
            <wp:docPr id="30" name="Picture" descr="Pyramide des âges de la RDC (2025) : répartition par groupe d'âge quinquennal et par sexe"/>
            <wp:cNvGraphicFramePr/>
            <a:graphic xmlns:a="http://schemas.openxmlformats.org/drawingml/2006/main">
              <a:graphicData uri="http://schemas.openxmlformats.org/drawingml/2006/picture">
                <pic:pic xmlns:pic="http://schemas.openxmlformats.org/drawingml/2006/picture">
                  <pic:nvPicPr>
                    <pic:cNvPr id="31" name="Picture" descr="C:/Users/M.Diouf/OneDrive/Bureau/RDC%20Bulletin%20V1/Bulletin_rdc_2026_agents/08_figures/exports/FIG_2_structure_age_2025.png"/>
                    <pic:cNvPicPr>
                      <a:picLocks noChangeAspect="1" noChangeArrowheads="1"/>
                    </pic:cNvPicPr>
                  </pic:nvPicPr>
                  <pic:blipFill>
                    <a:blip r:embed="rId8"/>
                    <a:stretch>
                      <a:fillRect/>
                    </a:stretch>
                  </pic:blipFill>
                  <pic:spPr bwMode="auto">
                    <a:xfrm>
                      <a:off x="0" y="0"/>
                      <a:ext cx="5753100" cy="4138951"/>
                    </a:xfrm>
                    <a:prstGeom prst="rect">
                      <a:avLst/>
                    </a:prstGeom>
                    <a:noFill/>
                    <a:ln w="9525">
                      <a:noFill/>
                      <a:headEnd/>
                      <a:tailEnd/>
                    </a:ln>
                  </pic:spPr>
                </pic:pic>
              </a:graphicData>
            </a:graphic>
          </wp:inline>
        </w:drawing>
      </w:r>
    </w:p>
    <w:p w14:paraId="190F8581" w14:textId="77777777" w:rsidR="003C12C0" w:rsidRPr="00DF4DEA" w:rsidRDefault="00000000">
      <w:pPr>
        <w:pStyle w:val="Source-GraphicPicture"/>
        <w:rPr>
          <w:lang w:val="fr-CH"/>
        </w:rPr>
      </w:pPr>
      <w:r w:rsidRPr="00DF4DEA">
        <w:rPr>
          <w:i/>
          <w:iCs/>
          <w:lang w:val="fr-CH"/>
        </w:rPr>
        <w:t>Source : Division de la population des Nations Unies, WPP 2024 / UNFPA. Effectifs approximés d'après les tables WPP 2024 standard — estimation mi-2025.</w:t>
      </w:r>
      <w:r>
        <w:rPr>
          <w:rStyle w:val="FootnoteReference"/>
        </w:rPr>
        <w:footnoteReference w:id="8"/>
      </w:r>
    </w:p>
    <w:p w14:paraId="190F8582" w14:textId="77777777" w:rsidR="003C12C0" w:rsidRDefault="00000000">
      <w:pPr>
        <w:pStyle w:val="Heading3"/>
      </w:pPr>
      <w:bookmarkStart w:id="15" w:name="Xe0616fbbd5dccd65a25078d95a3f8242d91d905"/>
      <w:bookmarkEnd w:id="13"/>
      <w:r>
        <w:t>Une urbanisation rapide sur fond de ruralité persistante</w:t>
      </w:r>
    </w:p>
    <w:p w14:paraId="190F8583" w14:textId="77777777" w:rsidR="003C12C0" w:rsidRDefault="00000000">
      <w:r>
        <w:t>Entre 1950 et 2024, la part de la population vivant en milieu urbain est passée de 19 %</w:t>
      </w:r>
      <w:r>
        <w:rPr>
          <w:rStyle w:val="FootnoteReference"/>
        </w:rPr>
        <w:footnoteReference w:id="9"/>
      </w:r>
      <w:r>
        <w:t xml:space="preserve"> à environ 45 %</w:t>
      </w:r>
      <w:r>
        <w:rPr>
          <w:rStyle w:val="FootnoteReference"/>
        </w:rPr>
        <w:footnoteReference w:id="10"/>
      </w:r>
      <w:r>
        <w:t xml:space="preserve"> </w:t>
      </w:r>
      <w:r>
        <w:rPr>
          <w:i/>
          <w:iCs/>
        </w:rPr>
        <w:t>(Banque mondiale, WDI 2024)</w:t>
      </w:r>
      <w:r>
        <w:t>. Cette urbanisation accélérée transforme les besoins sociaux dans les grandes agglomérations, en premier lieu à Kinshasa qui compte environ 17 millions d'habitants</w:t>
      </w:r>
      <w:r>
        <w:rPr>
          <w:rStyle w:val="FootnoteReference"/>
        </w:rPr>
        <w:footnoteReference w:id="11"/>
      </w:r>
      <w:r>
        <w:t xml:space="preserve"> </w:t>
      </w:r>
      <w:r>
        <w:rPr>
          <w:i/>
          <w:iCs/>
        </w:rPr>
        <w:t>(ONU WPP 2024)</w:t>
      </w:r>
      <w:r>
        <w:t>, troisième agglomération africaine et plus grande ville francophone du monde. Elle ne doit cependant pas masquer la persistance d'une population majoritairement rurale : environ 55 %</w:t>
      </w:r>
      <w:r>
        <w:rPr>
          <w:rStyle w:val="FootnoteReference"/>
        </w:rPr>
        <w:footnoteReference w:id="12"/>
      </w:r>
      <w:r>
        <w:t xml:space="preserve"> des Congolais vivent encore dans des zones éloignées des grands centres </w:t>
      </w:r>
      <w:r>
        <w:rPr>
          <w:i/>
          <w:iCs/>
        </w:rPr>
        <w:t>(Banque mondiale WDI, 2024)</w:t>
      </w:r>
      <w:r>
        <w:t>, avec une densité moyenne de 51 habitants par km²</w:t>
      </w:r>
      <w:r>
        <w:rPr>
          <w:rStyle w:val="FootnoteReference"/>
        </w:rPr>
        <w:footnoteReference w:id="13"/>
      </w:r>
      <w:r>
        <w:t xml:space="preserve"> sur un territoire de plus de 2,3 millions de km², mais des disparités provinciales considérables.</w:t>
      </w:r>
    </w:p>
    <w:p w14:paraId="190F8584" w14:textId="77777777" w:rsidR="003C12C0" w:rsidRDefault="00000000">
      <w:pPr>
        <w:pStyle w:val="Heading3"/>
      </w:pPr>
      <w:bookmarkStart w:id="16" w:name="X912a58608aab668871cff6cc7049525fa97ac19"/>
      <w:bookmarkEnd w:id="15"/>
      <w:r>
        <w:lastRenderedPageBreak/>
        <w:t>Premiers enseignements pour la protection sociale</w:t>
      </w:r>
    </w:p>
    <w:p w14:paraId="190F8585" w14:textId="77777777" w:rsidR="003C12C0" w:rsidRDefault="00000000">
      <w:r>
        <w:t>Ces caractéristiques démographiques — forte croissance, population jeune, dualisme urbain-rural — définissent l'ampleur du défi auquel fait face le système de protection sociale congolais. Le nombre de personnes potentiellement éligibles aux différentes branches de couverture est considérable, tandis que la dispersion géographique de la population complique l'accès aux prestations et l'enregistrement des bénéficiaires. Ces constats, combinés aux données économiques présentées dans la section suivante, permettront d'apprécier plus finement les conditions dans lesquelles l'extension de la couverture devra se réaliser.</w:t>
      </w:r>
    </w:p>
    <w:p w14:paraId="190F8586" w14:textId="77777777" w:rsidR="003C12C0" w:rsidRDefault="00000000">
      <w:pPr>
        <w:pStyle w:val="Heading2"/>
      </w:pPr>
      <w:bookmarkStart w:id="17" w:name="X875bd217f609cd4b0efe41cdc0493e4b94e2a8f"/>
      <w:bookmarkEnd w:id="10"/>
      <w:bookmarkEnd w:id="16"/>
      <w:r>
        <w:t>1.2 Contexte économique, emploi et enjeux d'extension de la couverture</w:t>
      </w:r>
    </w:p>
    <w:p w14:paraId="190F8587" w14:textId="77777777" w:rsidR="003C12C0" w:rsidRDefault="00000000">
      <w:pPr>
        <w:pStyle w:val="Heading3"/>
      </w:pPr>
      <w:bookmarkStart w:id="18" w:name="X9430b9601170a57d5f0d0a76d4bc515d36baad3"/>
      <w:r>
        <w:t>Une croissance soutenue sur fond de fragilité économique</w:t>
      </w:r>
    </w:p>
    <w:p w14:paraId="190F8588" w14:textId="77777777" w:rsidR="003C12C0" w:rsidRDefault="00000000">
      <w:r>
        <w:t>La République Démocratique du Congo a enregistré des taux de croissance économique élevés au cours des dernières années : +6,4 % en 2021</w:t>
      </w:r>
      <w:r>
        <w:rPr>
          <w:rStyle w:val="FootnoteReference"/>
        </w:rPr>
        <w:footnoteReference w:id="14"/>
      </w:r>
      <w:r>
        <w:t>, +9,3 % en 2022</w:t>
      </w:r>
      <w:r>
        <w:rPr>
          <w:rStyle w:val="FootnoteReference"/>
        </w:rPr>
        <w:footnoteReference w:id="15"/>
      </w:r>
      <w:r>
        <w:t>, +8,5 % en 2023</w:t>
      </w:r>
      <w:r>
        <w:rPr>
          <w:rStyle w:val="FootnoteReference"/>
        </w:rPr>
        <w:footnoteReference w:id="16"/>
      </w:r>
      <w:r>
        <w:t xml:space="preserve"> et +6,1 % en 2024</w:t>
      </w:r>
      <w:r>
        <w:rPr>
          <w:rStyle w:val="FootnoteReference"/>
        </w:rPr>
        <w:footnoteReference w:id="17"/>
      </w:r>
      <w:r>
        <w:t xml:space="preserve"> </w:t>
      </w:r>
      <w:r>
        <w:rPr>
          <w:i/>
          <w:iCs/>
        </w:rPr>
        <w:t>(Banque mondiale, WDI 2026)</w:t>
      </w:r>
      <w:r>
        <w:t>. Cette dynamique est largement portée par le secteur minier, qui concentre d'importants gisements de cuivre, cobalt, or, diamants et coltan. Elle ne se traduit cependant pas par une amélioration sensible du niveau de vie moyen : le PIB par habitant s'établissait à 649 USD en 2024</w:t>
      </w:r>
      <w:r>
        <w:rPr>
          <w:rStyle w:val="FootnoteReference"/>
        </w:rPr>
        <w:footnoteReference w:id="18"/>
      </w:r>
      <w:r>
        <w:t xml:space="preserve"> (USD courants), parmi les plus bas du continent. Les inégalités restent marquées — l'indice de Gini s'établissait à 0,447 en 2020</w:t>
      </w:r>
      <w:r>
        <w:rPr>
          <w:rStyle w:val="FootnoteReference"/>
        </w:rPr>
        <w:footnoteReference w:id="19"/>
      </w:r>
      <w:r>
        <w:t xml:space="preserve"> </w:t>
      </w:r>
      <w:r>
        <w:rPr>
          <w:i/>
          <w:iCs/>
        </w:rPr>
        <w:t>(Banque mondiale, WDI — enquête ménages 2020 ; l'enquête INS 2024 indique une valeur de 0,381, non encore intégrée dans les bases internationales)</w:t>
      </w:r>
      <w:r>
        <w:t xml:space="preserve"> — et le taux de pauvreté atteignait 69 % de la population</w:t>
      </w:r>
      <w:r>
        <w:rPr>
          <w:rStyle w:val="FootnoteReference"/>
        </w:rPr>
        <w:footnoteReference w:id="20"/>
      </w:r>
      <w:r>
        <w:t xml:space="preserve"> selon le seuil national </w:t>
      </w:r>
      <w:r>
        <w:rPr>
          <w:i/>
          <w:iCs/>
        </w:rPr>
        <w:t>(Banque mondiale, mars 2026, citant enquête INS 2024)</w:t>
      </w:r>
      <w:r>
        <w:t>. Ces données soulignent la persistance d'une vulnérabilité économique structurelle.</w:t>
      </w:r>
    </w:p>
    <w:p w14:paraId="190F8589" w14:textId="77777777" w:rsidR="003C12C0" w:rsidRDefault="00000000">
      <w:pPr>
        <w:pStyle w:val="GraphicTitle"/>
      </w:pPr>
      <w:bookmarkStart w:id="19" w:name="_Toc234324571"/>
      <w:r>
        <w:rPr>
          <w:bCs/>
        </w:rPr>
        <w:t>Figure 4</w:t>
      </w:r>
      <w:r>
        <w:t xml:space="preserve"> — Évolution du taux de croissance annuel du PIB en RDC (2000–2024)</w:t>
      </w:r>
      <w:bookmarkEnd w:id="19"/>
    </w:p>
    <w:p w14:paraId="190F858A" w14:textId="77777777" w:rsidR="003C12C0" w:rsidRDefault="00000000">
      <w:r>
        <w:rPr>
          <w:noProof/>
        </w:rPr>
        <w:drawing>
          <wp:inline distT="0" distB="0" distL="0" distR="0" wp14:anchorId="190F8D2A" wp14:editId="190F8D2B">
            <wp:extent cx="5753100" cy="2452872"/>
            <wp:effectExtent l="0" t="0" r="0" b="0"/>
            <wp:docPr id="50" name="Picture" descr="Évolution du taux de croissance annuel du PIB en RDC (2000–2024)"/>
            <wp:cNvGraphicFramePr/>
            <a:graphic xmlns:a="http://schemas.openxmlformats.org/drawingml/2006/main">
              <a:graphicData uri="http://schemas.openxmlformats.org/drawingml/2006/picture">
                <pic:pic xmlns:pic="http://schemas.openxmlformats.org/drawingml/2006/picture">
                  <pic:nvPicPr>
                    <pic:cNvPr id="51" name="Picture" descr="C:/Users/M.Diouf/OneDrive/Bureau/RDC%20Bulletin%20V1/Bulletin_rdc_2026_agents/08_figures/exports/FIG_4_croissance_PIB_2000_2024.png"/>
                    <pic:cNvPicPr>
                      <a:picLocks noChangeAspect="1" noChangeArrowheads="1"/>
                    </pic:cNvPicPr>
                  </pic:nvPicPr>
                  <pic:blipFill>
                    <a:blip r:embed="rId9"/>
                    <a:stretch>
                      <a:fillRect/>
                    </a:stretch>
                  </pic:blipFill>
                  <pic:spPr bwMode="auto">
                    <a:xfrm>
                      <a:off x="0" y="0"/>
                      <a:ext cx="5753100" cy="2452872"/>
                    </a:xfrm>
                    <a:prstGeom prst="rect">
                      <a:avLst/>
                    </a:prstGeom>
                    <a:noFill/>
                    <a:ln w="9525">
                      <a:noFill/>
                      <a:headEnd/>
                      <a:tailEnd/>
                    </a:ln>
                  </pic:spPr>
                </pic:pic>
              </a:graphicData>
            </a:graphic>
          </wp:inline>
        </w:drawing>
      </w:r>
    </w:p>
    <w:p w14:paraId="190F858B" w14:textId="77777777" w:rsidR="003C12C0" w:rsidRPr="00DF4DEA" w:rsidRDefault="00000000">
      <w:pPr>
        <w:pStyle w:val="Source-GraphicPicture"/>
        <w:rPr>
          <w:lang w:val="fr-CH"/>
        </w:rPr>
      </w:pPr>
      <w:r w:rsidRPr="00DF4DEA">
        <w:rPr>
          <w:i/>
          <w:iCs/>
          <w:lang w:val="fr-CH"/>
        </w:rPr>
        <w:t xml:space="preserve">Source : Banque mondiale, World </w:t>
      </w:r>
      <w:proofErr w:type="spellStart"/>
      <w:r w:rsidRPr="00DF4DEA">
        <w:rPr>
          <w:i/>
          <w:iCs/>
          <w:lang w:val="fr-CH"/>
        </w:rPr>
        <w:t>Development</w:t>
      </w:r>
      <w:proofErr w:type="spellEnd"/>
      <w:r w:rsidRPr="00DF4DEA">
        <w:rPr>
          <w:i/>
          <w:iCs/>
          <w:lang w:val="fr-CH"/>
        </w:rPr>
        <w:t xml:space="preserve"> </w:t>
      </w:r>
      <w:proofErr w:type="spellStart"/>
      <w:r w:rsidRPr="00DF4DEA">
        <w:rPr>
          <w:i/>
          <w:iCs/>
          <w:lang w:val="fr-CH"/>
        </w:rPr>
        <w:t>Indicators</w:t>
      </w:r>
      <w:proofErr w:type="spellEnd"/>
      <w:r w:rsidRPr="00DF4DEA">
        <w:rPr>
          <w:i/>
          <w:iCs/>
          <w:lang w:val="fr-CH"/>
        </w:rPr>
        <w:t xml:space="preserve"> (WDI, avril 2026)</w:t>
      </w:r>
      <w:r>
        <w:rPr>
          <w:rStyle w:val="FootnoteReference"/>
        </w:rPr>
        <w:footnoteReference w:id="21"/>
      </w:r>
      <w:r w:rsidRPr="00DF4DEA">
        <w:rPr>
          <w:i/>
          <w:iCs/>
          <w:lang w:val="fr-CH"/>
        </w:rPr>
        <w:t>.</w:t>
      </w:r>
    </w:p>
    <w:p w14:paraId="190F858C" w14:textId="77777777" w:rsidR="003C12C0" w:rsidRDefault="00000000">
      <w:pPr>
        <w:pStyle w:val="Heading3"/>
      </w:pPr>
      <w:bookmarkStart w:id="20" w:name="X4a9dc27c2bcb00ce2a49728742e4b47b9e11392"/>
      <w:bookmarkEnd w:id="18"/>
      <w:r>
        <w:lastRenderedPageBreak/>
        <w:t>Un marché du travail dominé par l'informalité</w:t>
      </w:r>
    </w:p>
    <w:p w14:paraId="190F858D" w14:textId="77777777" w:rsidR="003C12C0" w:rsidRDefault="00000000">
      <w:r>
        <w:t xml:space="preserve">La population active — c'est-à-dire les personnes de 15 ans et plus qui travaillent ou qui recherchent un emploi — représente environ 70,9 % de la population en âge de travailler en RDC </w:t>
      </w:r>
      <w:r>
        <w:rPr>
          <w:i/>
          <w:iCs/>
        </w:rPr>
        <w:t>(OIT, ILOSTAT, estimations modélisées, 2023)</w:t>
      </w:r>
      <w:r>
        <w:t>. Ce taux d'activité masque cependant une forte disparité entre les sexes : il atteint 78,5 % chez les hommes, contre 63,5 % chez les femmes, ces dernières étant plus fréquemment maintenues hors du marché du travail visible du fait de responsabilités familiales et de barrières d'accès à l'emploi.</w:t>
      </w:r>
    </w:p>
    <w:p w14:paraId="190F858E" w14:textId="77777777" w:rsidR="003C12C0" w:rsidRDefault="00000000">
      <w:r>
        <w:t>Au sein de cette population active, la structure du marché du travail est marquée par la prédominance écrasante de l'emploi informel et de l'agriculture de subsistance. Selon les estimations modélisées de l'OIT (ILOEST) relayées par la Banque mondiale, environ 59 % de la population active</w:t>
      </w:r>
      <w:r>
        <w:rPr>
          <w:rStyle w:val="FootnoteReference"/>
        </w:rPr>
        <w:footnoteReference w:id="22"/>
      </w:r>
      <w:r>
        <w:t xml:space="preserve"> travaille dans l'agriculture en 2024, avec une part nettement plus élevée chez les femmes (68 %) que chez les hommes (50 %) </w:t>
      </w:r>
      <w:r>
        <w:rPr>
          <w:i/>
          <w:iCs/>
        </w:rPr>
        <w:t>(Banque mondiale WDI, indicateur ILOEST, 2024)</w:t>
      </w:r>
      <w:r>
        <w:t>. Malgré un taux de chômage officiel relativement faible — estimé à 4,4 %</w:t>
      </w:r>
      <w:r>
        <w:rPr>
          <w:rStyle w:val="FootnoteReference"/>
        </w:rPr>
        <w:footnoteReference w:id="23"/>
      </w:r>
      <w:r>
        <w:t xml:space="preserve"> en 2024 </w:t>
      </w:r>
      <w:r>
        <w:rPr>
          <w:i/>
          <w:iCs/>
        </w:rPr>
        <w:t>(Banque mondiale WDI, modèle ILO)</w:t>
      </w:r>
      <w:r>
        <w:t xml:space="preserve"> —, la grande majorité des actifs occupés exercent dans des conditions précaires : le taux d'emploi informel est estimé à environ 96 %</w:t>
      </w:r>
      <w:r>
        <w:rPr>
          <w:rStyle w:val="FootnoteReference"/>
        </w:rPr>
        <w:footnoteReference w:id="24"/>
      </w:r>
      <w:r>
        <w:t xml:space="preserve"> selon les estimations modélisées de l'OIT </w:t>
      </w:r>
      <w:r>
        <w:rPr>
          <w:i/>
          <w:iCs/>
        </w:rPr>
        <w:t>(ILOSTAT, données 2020)</w:t>
      </w:r>
      <w:r>
        <w:t>, avec une légère prépondérance chez les femmes (97,8 %</w:t>
      </w:r>
      <w:r>
        <w:rPr>
          <w:rStyle w:val="FootnoteReference"/>
        </w:rPr>
        <w:footnoteReference w:id="25"/>
      </w:r>
      <w:r>
        <w:t>) par rapport aux hommes (95,7 %</w:t>
      </w:r>
      <w:r>
        <w:rPr>
          <w:rStyle w:val="FootnoteReference"/>
        </w:rPr>
        <w:footnoteReference w:id="26"/>
      </w:r>
      <w:r>
        <w:t>). Cette informalité concerne toutes les catégories de statut dans l'emploi : travailleurs indépendants, employés et employeurs. La combinaison d'un taux d'activité inférieur chez les femmes et d'une informalité légèrement plus élevée explique leur moindre représentation dans les régimes contributifs de protection sociale.</w:t>
      </w:r>
    </w:p>
    <w:p w14:paraId="190F858F" w14:textId="77777777" w:rsidR="003C12C0" w:rsidRDefault="00000000">
      <w:pPr>
        <w:pStyle w:val="GraphicTitle"/>
      </w:pPr>
      <w:bookmarkStart w:id="21" w:name="_Toc234324572"/>
      <w:r>
        <w:rPr>
          <w:bCs/>
        </w:rPr>
        <w:t>Figure 5</w:t>
      </w:r>
      <w:r>
        <w:t xml:space="preserve"> — Marché du travail en RDC : taux d'activité et emploi informel par sexe</w:t>
      </w:r>
      <w:bookmarkEnd w:id="21"/>
    </w:p>
    <w:p w14:paraId="190F8590" w14:textId="77777777" w:rsidR="003C12C0" w:rsidRDefault="00000000">
      <w:r>
        <w:rPr>
          <w:noProof/>
        </w:rPr>
        <w:drawing>
          <wp:inline distT="0" distB="0" distL="0" distR="0" wp14:anchorId="190F8D2C" wp14:editId="190F8D2D">
            <wp:extent cx="5753100" cy="2473913"/>
            <wp:effectExtent l="0" t="0" r="0" b="0"/>
            <wp:docPr id="60" name="Picture" descr="Marché du travail en RDC : taux d'activité (15+) et emploi informel par sexe"/>
            <wp:cNvGraphicFramePr/>
            <a:graphic xmlns:a="http://schemas.openxmlformats.org/drawingml/2006/main">
              <a:graphicData uri="http://schemas.openxmlformats.org/drawingml/2006/picture">
                <pic:pic xmlns:pic="http://schemas.openxmlformats.org/drawingml/2006/picture">
                  <pic:nvPicPr>
                    <pic:cNvPr id="61" name="Picture" descr="C:/Users/M.Diouf/OneDrive/Bureau/RDC%20Bulletin%20V1/Bulletin_rdc_2026_agents/08_figures/exports/FIG_5_emploi_informel_par_sexe.png"/>
                    <pic:cNvPicPr>
                      <a:picLocks noChangeAspect="1" noChangeArrowheads="1"/>
                    </pic:cNvPicPr>
                  </pic:nvPicPr>
                  <pic:blipFill>
                    <a:blip r:embed="rId10"/>
                    <a:stretch>
                      <a:fillRect/>
                    </a:stretch>
                  </pic:blipFill>
                  <pic:spPr bwMode="auto">
                    <a:xfrm>
                      <a:off x="0" y="0"/>
                      <a:ext cx="5753100" cy="2473913"/>
                    </a:xfrm>
                    <a:prstGeom prst="rect">
                      <a:avLst/>
                    </a:prstGeom>
                    <a:noFill/>
                    <a:ln w="9525">
                      <a:noFill/>
                      <a:headEnd/>
                      <a:tailEnd/>
                    </a:ln>
                  </pic:spPr>
                </pic:pic>
              </a:graphicData>
            </a:graphic>
          </wp:inline>
        </w:drawing>
      </w:r>
    </w:p>
    <w:p w14:paraId="190F8591" w14:textId="77777777" w:rsidR="003C12C0" w:rsidRPr="00DF4DEA" w:rsidRDefault="00000000">
      <w:pPr>
        <w:pStyle w:val="Source-GraphicPicture"/>
        <w:rPr>
          <w:lang w:val="fr-CH"/>
        </w:rPr>
      </w:pPr>
      <w:r w:rsidRPr="00DF4DEA">
        <w:rPr>
          <w:i/>
          <w:iCs/>
          <w:lang w:val="fr-CH"/>
        </w:rPr>
        <w:t>Source : OIT, ILOSTAT — estimations modélisées (ILOEST). Taux d'activité (15+) : indicateur EAP_DWAP_SEX_AGE_RT_A, 2023.</w:t>
      </w:r>
      <w:r>
        <w:rPr>
          <w:rStyle w:val="FootnoteReference"/>
        </w:rPr>
        <w:footnoteReference w:id="27"/>
      </w:r>
      <w:r w:rsidRPr="00DF4DEA">
        <w:rPr>
          <w:i/>
          <w:iCs/>
          <w:lang w:val="fr-CH"/>
        </w:rPr>
        <w:t xml:space="preserve"> Emploi informel : indicateur INF_2INF_NOC_RT_A, 2020.</w:t>
      </w:r>
      <w:r>
        <w:rPr>
          <w:rStyle w:val="FootnoteReference"/>
        </w:rPr>
        <w:footnoteReference w:id="28"/>
      </w:r>
    </w:p>
    <w:p w14:paraId="190F8592" w14:textId="77777777" w:rsidR="003C12C0" w:rsidRDefault="00000000">
      <w:pPr>
        <w:pStyle w:val="Heading3"/>
      </w:pPr>
      <w:bookmarkStart w:id="22" w:name="X715cb2b842b1fbda7ec037084f392878b78425b"/>
      <w:bookmarkEnd w:id="20"/>
      <w:r>
        <w:lastRenderedPageBreak/>
        <w:t>Des secteurs exposés à des risques professionnels spécifiques</w:t>
      </w:r>
    </w:p>
    <w:p w14:paraId="190F8593" w14:textId="77777777" w:rsidR="003C12C0" w:rsidRDefault="00000000">
      <w:r>
        <w:t>L'économie congolaise concentre des activités à forte exposition aux risques professionnels. Le secteur minier artisanal et industriel emploie plusieurs centaines de milliers de travailleurs dans des conditions souvent difficiles, avec des risques d'accidents du travail, de maladies professionnelles et d'exposition à des substances dangereuses. Le secteur agricole, qui mobilise la majorité de la main-d'œuvre active, est lui aussi exposé à des risques liés aux conditions de travail en milieu rural. Ces réalités renforcent l'importance d'un suivi statistique rigoureux des affiliés, des cotisants actifs et des victimes d'accidents du travail — données au cœur du présent bulletin.</w:t>
      </w:r>
    </w:p>
    <w:p w14:paraId="190F8594" w14:textId="77777777" w:rsidR="003C12C0" w:rsidRDefault="00000000">
      <w:pPr>
        <w:pStyle w:val="GraphicTitle"/>
      </w:pPr>
      <w:bookmarkStart w:id="23" w:name="_Toc234324573"/>
      <w:r>
        <w:rPr>
          <w:bCs/>
        </w:rPr>
        <w:t>Figure 6</w:t>
      </w:r>
      <w:r>
        <w:t xml:space="preserve"> — Structure de l'emploi par grand secteur d'activité (agriculture, industrie, services), RDC</w:t>
      </w:r>
      <w:bookmarkEnd w:id="23"/>
    </w:p>
    <w:p w14:paraId="190F8595" w14:textId="77777777" w:rsidR="003C12C0" w:rsidRDefault="00000000">
      <w:r>
        <w:rPr>
          <w:noProof/>
        </w:rPr>
        <w:drawing>
          <wp:inline distT="0" distB="0" distL="0" distR="0" wp14:anchorId="190F8D2E" wp14:editId="190F8D2F">
            <wp:extent cx="5753100" cy="3081931"/>
            <wp:effectExtent l="0" t="0" r="0" b="0"/>
            <wp:docPr id="66" name="Picture" descr="Structure de l'emploi par grand secteur d'activité, RDC"/>
            <wp:cNvGraphicFramePr/>
            <a:graphic xmlns:a="http://schemas.openxmlformats.org/drawingml/2006/main">
              <a:graphicData uri="http://schemas.openxmlformats.org/drawingml/2006/picture">
                <pic:pic xmlns:pic="http://schemas.openxmlformats.org/drawingml/2006/picture">
                  <pic:nvPicPr>
                    <pic:cNvPr id="67" name="Picture" descr="C:/Users/M.Diouf/OneDrive/Bureau/RDC%20Bulletin%20V1/Bulletin_rdc_2026_agents/08_figures/exports/FIG_6_structure_emploi_secteurs.png"/>
                    <pic:cNvPicPr>
                      <a:picLocks noChangeAspect="1" noChangeArrowheads="1"/>
                    </pic:cNvPicPr>
                  </pic:nvPicPr>
                  <pic:blipFill>
                    <a:blip r:embed="rId11"/>
                    <a:stretch>
                      <a:fillRect/>
                    </a:stretch>
                  </pic:blipFill>
                  <pic:spPr bwMode="auto">
                    <a:xfrm>
                      <a:off x="0" y="0"/>
                      <a:ext cx="5753100" cy="3081931"/>
                    </a:xfrm>
                    <a:prstGeom prst="rect">
                      <a:avLst/>
                    </a:prstGeom>
                    <a:noFill/>
                    <a:ln w="9525">
                      <a:noFill/>
                      <a:headEnd/>
                      <a:tailEnd/>
                    </a:ln>
                  </pic:spPr>
                </pic:pic>
              </a:graphicData>
            </a:graphic>
          </wp:inline>
        </w:drawing>
      </w:r>
    </w:p>
    <w:p w14:paraId="190F8596" w14:textId="77777777" w:rsidR="003C12C0" w:rsidRPr="00DF4DEA" w:rsidRDefault="00000000">
      <w:pPr>
        <w:pStyle w:val="Source-GraphicPicture"/>
        <w:rPr>
          <w:lang w:val="fr-CH"/>
        </w:rPr>
      </w:pPr>
      <w:r w:rsidRPr="00DF4DEA">
        <w:rPr>
          <w:i/>
          <w:iCs/>
          <w:lang w:val="fr-CH"/>
        </w:rPr>
        <w:t>Source : Banque mondiale, WDI (indicateur ILOEST, 2024). Industrie et services : parts résiduelles estimées.</w:t>
      </w:r>
      <w:r>
        <w:rPr>
          <w:rStyle w:val="FootnoteReference"/>
        </w:rPr>
        <w:footnoteReference w:id="29"/>
      </w:r>
    </w:p>
    <w:p w14:paraId="190F8597" w14:textId="77777777" w:rsidR="003C12C0" w:rsidRDefault="00000000">
      <w:pPr>
        <w:pStyle w:val="Heading3"/>
      </w:pPr>
      <w:bookmarkStart w:id="24" w:name="Xd7c73b019aafacd98f641e17bbb1f947657ec23"/>
      <w:bookmarkEnd w:id="22"/>
      <w:r>
        <w:t>Les enjeux d'extension de la couverture contributive</w:t>
      </w:r>
    </w:p>
    <w:p w14:paraId="190F8598" w14:textId="77777777" w:rsidR="003C12C0" w:rsidRDefault="00000000">
      <w:r>
        <w:t>Dans ce contexte — forte informalité, bas revenus, vulnérabilité persistante —, l'extension de la protection sociale se heurte à des contraintes structurelles importantes. La majorité des travailleurs n'est pas enregistrée auprès des régimes contributifs formels, ce qui limite à la fois l'assiette de cotisation des institutions et l'accès effectif aux prestations pour les assurés potentiels. Ces constats, croisés avec les données démographiques de la section précédente, éclairent les orientations stratégiques que la RDC s'est données pour répondre à ces défis, présentées dans la section suivante.</w:t>
      </w:r>
    </w:p>
    <w:p w14:paraId="190F8599" w14:textId="77777777" w:rsidR="003C12C0" w:rsidRDefault="00000000">
      <w:pPr>
        <w:pStyle w:val="Heading2"/>
      </w:pPr>
      <w:bookmarkStart w:id="25" w:name="X9525585a82bf70263e12a782584206f6e266557"/>
      <w:bookmarkEnd w:id="17"/>
      <w:bookmarkEnd w:id="24"/>
      <w:r>
        <w:lastRenderedPageBreak/>
        <w:t>1.3 Protection sociale, stratégie nationale et besoin de données statistiques</w:t>
      </w:r>
    </w:p>
    <w:p w14:paraId="190F859A" w14:textId="77777777" w:rsidR="003C12C0" w:rsidRDefault="00000000">
      <w:pPr>
        <w:pStyle w:val="Heading3"/>
      </w:pPr>
      <w:bookmarkStart w:id="26" w:name="X2c0cd32e4591787bd80c74eed82bb28b835b26e"/>
      <w:r>
        <w:t>La protection sociale face aux risques et vulnérabilités</w:t>
      </w:r>
    </w:p>
    <w:p w14:paraId="190F859B" w14:textId="77777777" w:rsidR="003C12C0" w:rsidRDefault="00000000">
      <w:r>
        <w:t>Dans un contexte marqué par une forte croissance démographique, une économie dominée par l'emploi informel et un niveau de revenu par habitant encore très bas, la population congolaise reste largement exposée aux risques sociaux tout au long du cycle de vie : maternité, maladie, accidents du travail, invalidité, vieillesse, perte d'un soutien de famille. L'exposition de nombreux ménages à des chocs économiques, climatiques ou sécuritaires amplifie ces vulnérabilités. La protection sociale, entendue comme l'ensemble des politiques et programmes visant à réduire et prévenir la pauvreté et la vulnérabilité</w:t>
      </w:r>
      <w:r>
        <w:rPr>
          <w:rStyle w:val="FootnoteReference"/>
        </w:rPr>
        <w:footnoteReference w:id="30"/>
      </w:r>
      <w:r>
        <w:t xml:space="preserve"> </w:t>
      </w:r>
      <w:r>
        <w:rPr>
          <w:i/>
          <w:iCs/>
        </w:rPr>
        <w:t>(BIT, 2024)</w:t>
      </w:r>
      <w:r>
        <w:t>, constitue dans ce cadre une réponse structurelle dont l'organisation et l'extension sont des enjeux prioritaires pour la RDC. À l'échelle mondiale, seulement 52,4 % de la population mondiale</w:t>
      </w:r>
      <w:r>
        <w:rPr>
          <w:rStyle w:val="FootnoteReference"/>
        </w:rPr>
        <w:footnoteReference w:id="31"/>
      </w:r>
      <w:r>
        <w:t xml:space="preserve"> bénéficient d'au moins une prestation de protection sociale, et ce taux tombe à 19,1 % en Afrique</w:t>
      </w:r>
      <w:r>
        <w:rPr>
          <w:rStyle w:val="FootnoteReference"/>
        </w:rPr>
        <w:footnoteReference w:id="32"/>
      </w:r>
      <w:r>
        <w:t xml:space="preserve"> </w:t>
      </w:r>
      <w:r>
        <w:rPr>
          <w:i/>
          <w:iCs/>
        </w:rPr>
        <w:t>(BIT, 2024)</w:t>
      </w:r>
      <w:r>
        <w:t>, soulignant l'ampleur des défis communs à la RDC et à son environnement régional.</w:t>
      </w:r>
    </w:p>
    <w:p w14:paraId="190F859C" w14:textId="77777777" w:rsidR="003C12C0" w:rsidRDefault="00000000">
      <w:pPr>
        <w:pStyle w:val="Heading3"/>
      </w:pPr>
      <w:bookmarkStart w:id="27" w:name="Xbc554c6ed16623ce9e774a636bc7c13010bd3d7"/>
      <w:bookmarkEnd w:id="26"/>
      <w:r>
        <w:t>Les engagements stratégiques de la RDC</w:t>
      </w:r>
    </w:p>
    <w:p w14:paraId="190F859D" w14:textId="77777777" w:rsidR="003C12C0" w:rsidRDefault="00000000">
      <w:r>
        <w:t>La RDC s'est dotée d'un cadre stratégique national pour répondre à ces défis. La Politique Nationale de Protection Sociale (PNPS), instituée par le décret présidentiel n°05/176 du 24 novembre 2005, fixe une vision à l'horizon 2030 : « à l'horizon 2030, le Congo est une Nation solidaire, soucieuse d'équité, promotrice de bien-être, une Nation qui protège efficacement les couches sociales les plus vulnérables et les plus démunies »</w:t>
      </w:r>
      <w:r>
        <w:rPr>
          <w:rStyle w:val="FootnoteReference"/>
        </w:rPr>
        <w:footnoteReference w:id="33"/>
      </w:r>
      <w:r>
        <w:t xml:space="preserve"> </w:t>
      </w:r>
      <w:r>
        <w:rPr>
          <w:i/>
          <w:iCs/>
        </w:rPr>
        <w:t>(RDC, 2016)</w:t>
      </w:r>
      <w:r>
        <w:t xml:space="preserve">. Elle s'articule autour de trois axes stratégiques complémentaires : la promotion de l'accès aux services sociaux de base et à une sécurité élémentaire de revenus pour les personnes vulnérables ; le renforcement et l'extension des systèmes d'assurance sociale ; et le renforcement du cadre institutionnel, des capacités et du financement de la protection sociale. La mise en place progressive de la Couverture Sanitaire Universelle, déclinée dans le Plan stratégique national CSU 2021-2030, s'inscrit dans ce même élan. Ces engagements rejoignent les normes internationales auxquelles la RDC a souscrit, notamment la Convention n°102 de l'OIT sur la sécurité sociale </w:t>
      </w:r>
      <w:r>
        <w:rPr>
          <w:i/>
          <w:iCs/>
        </w:rPr>
        <w:t>(ratifiée en 1987)</w:t>
      </w:r>
      <w:r>
        <w:t xml:space="preserve"> et la Recommandation n°202 sur les socles de protection sociale </w:t>
      </w:r>
      <w:r>
        <w:rPr>
          <w:i/>
          <w:iCs/>
        </w:rPr>
        <w:t>(OIT, 2012)</w:t>
      </w:r>
      <w:r>
        <w:t>.</w:t>
      </w:r>
    </w:p>
    <w:p w14:paraId="190F859E" w14:textId="77777777" w:rsidR="003C12C0" w:rsidRDefault="00000000">
      <w:pPr>
        <w:pStyle w:val="Heading3"/>
      </w:pPr>
      <w:bookmarkStart w:id="28" w:name="X61d7077ac9a8204b4462f3d957fd596f38bb028"/>
      <w:bookmarkEnd w:id="27"/>
      <w:r>
        <w:t>Des contraintes structurelles à prendre en compte</w:t>
      </w:r>
    </w:p>
    <w:p w14:paraId="190F859F" w14:textId="77777777" w:rsidR="003C12C0" w:rsidRDefault="00000000">
      <w:r>
        <w:t>La mise en œuvre de ces orientations stratégiques se heurte à des contraintes bien documentées. La très forte prévalence de l'emploi informel réduit mécaniquement l'assiette des régimes contributifs et limite l'enregistrement des affiliés potentiels. Les capacités de financement public restent sous pression dans un contexte de besoins sociaux considérables. La dispersion géographique de la population, dans un pays de plus de 2,3 millions de km², complique l'accès aux prestations et l'organisation de la collecte des données. Ces contraintes ne remettent pas en cause la pertinence de la stratégie nationale, mais elles en conditionnent le rythme et les modalités de mise en œuvre.</w:t>
      </w:r>
    </w:p>
    <w:p w14:paraId="190F85A0" w14:textId="77777777" w:rsidR="003C12C0" w:rsidRDefault="00000000">
      <w:pPr>
        <w:pStyle w:val="Heading3"/>
      </w:pPr>
      <w:bookmarkStart w:id="29" w:name="Xbfcecd41b026061d26aa6abbb50857e9b9c864a"/>
      <w:bookmarkEnd w:id="28"/>
      <w:r>
        <w:lastRenderedPageBreak/>
        <w:t>Le bulletin comme instrument d'aide à la décision</w:t>
      </w:r>
    </w:p>
    <w:p w14:paraId="190F85A1" w14:textId="77777777" w:rsidR="003C12C0" w:rsidRDefault="00000000">
      <w:r>
        <w:t>C'est dans ce contexte que s'inscrit le présent bulletin. La production régulière de statistiques de protection sociale constitue un outil essentiel pour orienter les choix de politique publique sur la base de données factuelles. Ce deuxième bulletin statistique vise à consolider les informations disponibles sur les régimes, institutions et programmes de protection sociale en RDC, à mesurer les niveaux de couverture effective — notamment au regard de l'indicateur ODD 1.3.1 — et à identifier les lacunes qui devront être prises en compte dans l'élaboration et le suivi de la stratégie nationale. Il couvre la période jusqu'à décembre 2025 et s'appuie sur les données transmises par les institutions nationales, les publications des organisations internationales et les registres administratifs disponibles. Le chapitre 1 présente le cadre conceptuel et les choix méthodologiques qui fondent cette démarche.</w:t>
      </w:r>
    </w:p>
    <w:p w14:paraId="190F85A2" w14:textId="77777777" w:rsidR="003C12C0" w:rsidRDefault="00000000">
      <w:pPr>
        <w:pStyle w:val="Heading1"/>
      </w:pPr>
      <w:bookmarkStart w:id="30" w:name="X101ffbd1ca7686cb5d65df408d79fa3b64745ae"/>
      <w:bookmarkEnd w:id="9"/>
      <w:bookmarkEnd w:id="25"/>
      <w:bookmarkEnd w:id="29"/>
      <w:r>
        <w:lastRenderedPageBreak/>
        <w:t>Chapitre 2 — Cadre conceptuel et périmètre statistique</w:t>
      </w:r>
    </w:p>
    <w:p w14:paraId="190F85A3" w14:textId="77777777" w:rsidR="003C12C0" w:rsidRDefault="00000000">
      <w:pPr>
        <w:pStyle w:val="Heading2"/>
      </w:pPr>
      <w:bookmarkStart w:id="31" w:name="Xb5de44341d3431b4058dcfcfb2191280a9838ee"/>
      <w:r>
        <w:t>2.1 Définitions et approches de la protection sociale</w:t>
      </w:r>
    </w:p>
    <w:p w14:paraId="190F85A4" w14:textId="77777777" w:rsidR="003C12C0" w:rsidRDefault="00000000">
      <w:pPr>
        <w:pStyle w:val="Heading3"/>
      </w:pPr>
      <w:bookmarkStart w:id="32" w:name="X8e09a1b3b26070c5a9eb97c5b40883aaaee8d58"/>
      <w:r>
        <w:t>La protection sociale comme droit fondamental</w:t>
      </w:r>
    </w:p>
    <w:p w14:paraId="190F85A5" w14:textId="77777777" w:rsidR="003C12C0" w:rsidRDefault="00000000">
      <w:r>
        <w:t>La protection sociale désigne l'ensemble des mécanismes permettant aux individus et aux ménages de faire face aux risques et aux vulnérabilités susceptibles de réduire leurs revenus ou d'alourdir leurs dépenses essentielles. Elle est reconnue comme un droit fondamental par l'article 22 de la Déclaration universelle des droits de l'homme (1948)</w:t>
      </w:r>
      <w:r>
        <w:rPr>
          <w:rStyle w:val="FootnoteReference"/>
        </w:rPr>
        <w:footnoteReference w:id="34"/>
      </w:r>
      <w:r>
        <w:t>, qui reconnaît à toute personne, en tant que membre de la société, le droit à la sécurité sociale. L'article 25 du même texte précise que toute personne a droit à un niveau de vie suffisant pour assurer sa santé et son bien-être, notamment en cas de maladie, d'invalidité, de veuvage, de vieillesse, ou dans tout autre cas de perte de moyens de subsistance.</w:t>
      </w:r>
      <w:r>
        <w:rPr>
          <w:rStyle w:val="FootnoteReference"/>
        </w:rPr>
        <w:footnoteReference w:id="35"/>
      </w:r>
    </w:p>
    <w:p w14:paraId="190F85A6" w14:textId="77777777" w:rsidR="003C12C0" w:rsidRDefault="00000000">
      <w:pPr>
        <w:pStyle w:val="Heading3"/>
      </w:pPr>
      <w:bookmarkStart w:id="33" w:name="Xbb3fd8961a6b86ee5b99031747c635d7a9634c9"/>
      <w:bookmarkEnd w:id="32"/>
      <w:r>
        <w:t>Trois approches complémentaires</w:t>
      </w:r>
    </w:p>
    <w:p w14:paraId="190F85A7" w14:textId="77777777" w:rsidR="003C12C0" w:rsidRDefault="00000000">
      <w:r>
        <w:t>Plusieurs approches coexistent pour traduire ce droit en systèmes concrets. La première est celle de la sécurité sociale au sens normatif, posée par la Convention no 102 de l'OIT sur la sécurité sociale (normes minimales), adoptée en 1952</w:t>
      </w:r>
      <w:r>
        <w:rPr>
          <w:rStyle w:val="FootnoteReference"/>
        </w:rPr>
        <w:footnoteReference w:id="36"/>
      </w:r>
      <w:r>
        <w:t>. Cette convention identifie neuf branches de risques : les soins médicaux, les indemnités de maladie, les prestations de chômage, les pensions de vieillesse, les prestations en cas d'accidents du travail ou de maladie professionnelle, les allocations familiales, les prestations de maternité, les pensions d'invalidité et les pensions de survivants. Elle constitue la référence normative minimale en matière de sécurité sociale à l'échelle internationale.</w:t>
      </w:r>
    </w:p>
    <w:p w14:paraId="190F85A8" w14:textId="77777777" w:rsidR="003C12C0" w:rsidRDefault="00000000">
      <w:r>
        <w:t>La deuxième approche, complémentaire de la première, est celle des socles de protection sociale, formalisée par la Recommandation no 202 de l'OIT, adoptée à l'unanimité en 2012</w:t>
      </w:r>
      <w:r>
        <w:rPr>
          <w:rStyle w:val="FootnoteReference"/>
        </w:rPr>
        <w:footnoteReference w:id="37"/>
      </w:r>
      <w:r>
        <w:t>. Elle invite les États à garantir à l'ensemble de leur population un niveau de base de sécurité sociale tout au long du cycle de vie, articulé autour de quatre garanties minimales : l'accès aux soins de santé essentiels, une sécurité de revenu de base pour les enfants, une sécurité de revenu pour les personnes en âge actif dans l'incapacité de travailler, et une sécurité de revenu pour les personnes âgées. Ce plancher universel est pensé comme un point de départ à partir duquel des niveaux plus élevés de protection peuvent être progressivement construits, en cohérence avec les ressources et les priorités de chaque pays.</w:t>
      </w:r>
    </w:p>
    <w:p w14:paraId="190F85A9" w14:textId="77777777" w:rsidR="003C12C0" w:rsidRDefault="00000000">
      <w:r>
        <w:t>Une troisième acception, plus large, est mobilisée dans les stratégies nationales de développement social. Elle englobe les programmes d'assistance sociale ciblés sur les populations vulnérables, les politiques d'accès aux services sociaux de base et les dispositifs de réponse aux crises. Cette conception rejoint les engagements internationaux formalisés dans les Objectifs de développement durable, notamment l'indicateur ODD 1.3.1, qui mesure la proportion de la population couverte par des socles ou des systèmes de protection sociale.</w:t>
      </w:r>
    </w:p>
    <w:p w14:paraId="190F85AA" w14:textId="77777777" w:rsidR="003C12C0" w:rsidRDefault="00000000">
      <w:pPr>
        <w:pStyle w:val="Heading2"/>
      </w:pPr>
      <w:bookmarkStart w:id="34" w:name="X1ab6219a882291178bcfc20cbc2711226a7d9c6"/>
      <w:bookmarkEnd w:id="31"/>
      <w:bookmarkEnd w:id="33"/>
      <w:r>
        <w:lastRenderedPageBreak/>
        <w:t>2.2 Approche retenue pour le bulletin : cadre BIT/OIT et indicateurs de couverture effective</w:t>
      </w:r>
    </w:p>
    <w:p w14:paraId="190F85AB" w14:textId="77777777" w:rsidR="003C12C0" w:rsidRDefault="00000000">
      <w:pPr>
        <w:pStyle w:val="Heading3"/>
      </w:pPr>
      <w:bookmarkStart w:id="35" w:name="X02846e4591a0892af690e07158037a5cabc0ce1"/>
      <w:r>
        <w:t>L'approche BIT/OIT : une grille normative et statistique</w:t>
      </w:r>
    </w:p>
    <w:p w14:paraId="190F85AC" w14:textId="77777777" w:rsidR="003C12C0" w:rsidRDefault="00000000">
      <w:r>
        <w:t>Le présent bulletin retient comme cadre principal l'approche du Bureau international du Travail (BIT) et de l'Organisation internationale du Travail (OIT). Ce cadre organise la protection sociale autour de notions directement mesurables</w:t>
      </w:r>
      <w:r>
        <w:rPr>
          <w:rStyle w:val="FootnoteReference"/>
        </w:rPr>
        <w:footnoteReference w:id="38"/>
      </w:r>
      <w:r>
        <w:t xml:space="preserve"> — régimes, branches de risques couvertes, personnes affiliées, cotisants actifs, bénéficiaires, prestations servies et dépenses — permettant de construire des indicateurs comparables dans le temps et entre systèmes. Il couvre à la fois les régimes contributifs, les dispositifs non contributifs et la protection de la santé, sans réduire la protection sociale à l'assistance sociale ou aux transferts ciblés. Il correspond enfin aux engagements internationaux de la RDC : Convention no 102 de l'OIT (ratifiée en 1987)</w:t>
      </w:r>
      <w:r>
        <w:rPr>
          <w:rStyle w:val="FootnoteReference"/>
        </w:rPr>
        <w:footnoteReference w:id="39"/>
      </w:r>
      <w:r>
        <w:t xml:space="preserve"> et indicateur ODD 1.3.1, dont la méthodologie est harmonisée par le BIT</w:t>
      </w:r>
      <w:r>
        <w:rPr>
          <w:rStyle w:val="FootnoteReference"/>
        </w:rPr>
        <w:footnoteReference w:id="40"/>
      </w:r>
      <w:r>
        <w:t>.</w:t>
      </w:r>
    </w:p>
    <w:p w14:paraId="190F85AD" w14:textId="77777777" w:rsidR="003C12C0" w:rsidRDefault="00000000">
      <w:pPr>
        <w:pStyle w:val="Heading3"/>
      </w:pPr>
      <w:bookmarkStart w:id="36" w:name="X58f988e2d4a374c4d10014b38f42ba100a75356"/>
      <w:bookmarkEnd w:id="35"/>
      <w:r>
        <w:t>Ce que le bulletin mesure et ce qu'il documente sans mesurer</w:t>
      </w:r>
    </w:p>
    <w:p w14:paraId="190F85AE" w14:textId="77777777" w:rsidR="003C12C0" w:rsidRDefault="00000000">
      <w:r>
        <w:t>Le bulletin distingue deux niveaux de traitement des dispositifs. Sont intégrés dans les indicateurs statistiques les régimes et programmes pour lesquels il est possible d'identifier des personnes couvertes, des prestations servies et des dépenses. Sont documentés à titre contextuel les dispositifs pour lesquels ces données ne sont pas disponibles ou ne permettent pas d'identifier un bénéficiaire individualisable. Cette distinction traduit une contrainte statistique, non un jugement sur l'importance des dispositifs.</w:t>
      </w:r>
    </w:p>
    <w:p w14:paraId="190F85AF" w14:textId="77777777" w:rsidR="003C12C0" w:rsidRDefault="00000000">
      <w:pPr>
        <w:pStyle w:val="Heading2"/>
      </w:pPr>
      <w:bookmarkStart w:id="37" w:name="Xd67dbdbe4284bfbd7d5a725fbe16010e3707dc7"/>
      <w:bookmarkEnd w:id="34"/>
      <w:bookmarkEnd w:id="36"/>
      <w:r>
        <w:t>2.4 Grilles de lecture : classification des régimes, programmes et prestations</w:t>
      </w:r>
    </w:p>
    <w:p w14:paraId="190F85B0" w14:textId="77777777" w:rsidR="003C12C0" w:rsidRDefault="00000000">
      <w:r>
        <w:t>Le bulletin distingue deux notions fondamentales, non interchangeables. La couverture légale désigne les personnes auxquelles un régime est applicable selon les textes en vigueur. La couverture effective désigne les personnes réellement protégées, mesurées par les données administratives ou d'enquête. La couverture effective est un sous-ensemble de la couverture légale ; c'est elle qui constitue le principal objet de mesure du bulletin.</w:t>
      </w:r>
    </w:p>
    <w:p w14:paraId="190F85B1" w14:textId="77777777" w:rsidR="003C12C0" w:rsidRDefault="00000000">
      <w:r>
        <w:t>Les dispositifs sont analysés selon quatre dimensions complémentaires : le caractère obligatoire ou volontaire de l'affiliation ; la nature du financement (contributif ou non contributif) ; le statut réglementaire (statutaire ou non) ; la nature des prestations (en espèces ou en nature). Ces dimensions s'appliquent à l'ensemble des régimes cartographiés au chapitre 3. Les conditions d'accès — affiliation et cotisation, statut professionnel, condition de ressources, ciblage catégoriel ou résidence — sont précisées pour chaque dispositif.</w:t>
      </w:r>
    </w:p>
    <w:p w14:paraId="190F85B2" w14:textId="77777777" w:rsidR="003C12C0" w:rsidRDefault="00000000">
      <w:r>
        <w:rPr>
          <w:i/>
          <w:iCs/>
        </w:rPr>
        <w:t>→ Les définitions complètes et les grilles de classification détaillées sont développées en Annexe A.2 — Classification des régimes, programmes et prestations.</w:t>
      </w:r>
    </w:p>
    <w:p w14:paraId="190F85B3" w14:textId="77777777" w:rsidR="003C12C0" w:rsidRDefault="00000000">
      <w:pPr>
        <w:pStyle w:val="Heading2"/>
      </w:pPr>
      <w:bookmarkStart w:id="38" w:name="X323c4f22bad9d26e731773e1bb5ec18c2dc8d6f"/>
      <w:bookmarkEnd w:id="37"/>
      <w:r>
        <w:lastRenderedPageBreak/>
        <w:t>2.5 Précautions de lecture : distinctions statistiques et limites méthodologiques</w:t>
      </w:r>
    </w:p>
    <w:p w14:paraId="190F85B4" w14:textId="77777777" w:rsidR="003C12C0" w:rsidRDefault="00000000">
      <w:r>
        <w:t>La lecture des indicateurs du bulletin suppose quelques distinctions que l'usage courant tend à confondre. Un affilié n'est pas nécessairement un cotisant actif : l'affiliation peut précéder la première cotisation ou persister après une interruption. Un bénéficiaire (ayant reçu une prestation) n'est pas une personne couverte (ayant droit à une prestation si le risque se réalise). Une même personne peut recevoir plusieurs prestations dans l'année : le dénombrement de prestations servies n'équivaut pas à un décompte de personnes distinctes. Lorsque les résultats sont exprimés en ménages bénéficiaires, la conversion en individus couverts repose sur des hypothèses de taille de ménage documentées dans le bulletin. La distinction entre couverture légale et couverture effective, centrale pour l'ensemble du bulletin, est rappelée à chaque indicateur concerné.</w:t>
      </w:r>
    </w:p>
    <w:p w14:paraId="190F85B5" w14:textId="77777777" w:rsidR="003C12C0" w:rsidRDefault="00000000">
      <w:r>
        <w:t>Les limites générales du bulletin sont de trois ordres. La disponibilité des données administratives reste inégale selon les institutions et les périodes. La complétude des données transmises peut varier selon les exercices. La désagrégation — par sexe, âge, province ou secteur — n'est pas systématiquement disponible et est indiquée au cas par cas.</w:t>
      </w:r>
    </w:p>
    <w:p w14:paraId="190F85B6" w14:textId="77777777" w:rsidR="003C12C0" w:rsidRDefault="00000000">
      <w:r>
        <w:rPr>
          <w:i/>
          <w:iCs/>
        </w:rPr>
        <w:t>→ Les définitions opérationnelles complètes figurent dans le Glossaire.</w:t>
      </w:r>
    </w:p>
    <w:p w14:paraId="190F85B7" w14:textId="77777777" w:rsidR="003C12C0" w:rsidRDefault="00000000">
      <w:pPr>
        <w:pStyle w:val="Heading1"/>
      </w:pPr>
      <w:bookmarkStart w:id="39" w:name="X5f1b84ce5a1e87a4731e51491ddbc71a2f4a872"/>
      <w:bookmarkEnd w:id="30"/>
      <w:bookmarkEnd w:id="38"/>
      <w:r>
        <w:lastRenderedPageBreak/>
        <w:t>Chapitre 3 — Cartographie institutionnelle de la protection sociale en RDC</w:t>
      </w:r>
    </w:p>
    <w:p w14:paraId="190F85B8" w14:textId="77777777" w:rsidR="003C12C0" w:rsidRDefault="00000000">
      <w:pPr>
        <w:pStyle w:val="Heading2"/>
      </w:pPr>
      <w:bookmarkStart w:id="40" w:name="X27535e0f9de3278860b155ee257df3da6e7665e"/>
      <w:r>
        <w:t>3.1 Panorama des régimes et programmes de protection sociale en RDC</w:t>
      </w:r>
    </w:p>
    <w:p w14:paraId="190F85B9" w14:textId="77777777" w:rsidR="003C12C0" w:rsidRDefault="00000000">
      <w:pPr>
        <w:pStyle w:val="Heading3"/>
      </w:pPr>
      <w:bookmarkStart w:id="41" w:name="vue-densemble-non-valide"/>
      <w:r>
        <w:t>Vue d'ensemble</w:t>
      </w:r>
    </w:p>
    <w:p w14:paraId="190F85BA" w14:textId="77777777" w:rsidR="003C12C0" w:rsidRDefault="00000000">
      <w:r>
        <w:t>Sur la base des grilles définies au chapitre 2 — couverture légale et effective, caractère obligatoire ou volontaire, financement contributif ou non contributif, statut réglementaire, nature des prestations et conditions d'accès —, le présent chapitre cartographie les régimes, programmes et institutions de protection sociale identifiés en RDC à la date de rédaction.</w:t>
      </w:r>
    </w:p>
    <w:p w14:paraId="190F85BB" w14:textId="77777777" w:rsidR="003C12C0" w:rsidRDefault="00000000">
      <w:r>
        <w:t>Cette cartographie distingue quatre grandes catégories : la sécurité sociale contributive obligatoire, qui couvre les travailleurs du secteur formel selon leurs catégories (Tableaux 2.1 et 2.2) ; la protection de la santé, organisée par segment de population (Tableau 2.3) ; les programmes d'assistance sociale et initiatives non contributives destinés aux populations non couvertes par les régimes formels (Tableau 2.4) ; enfin, un ensemble de politiques sectorielles à dimension protectrice — gratuités, programmes d'activation par l'emploi, accès subventionné aux services de base — dont la finalité sociale est établie mais qui ne relèvent pas à proprement parler de l'assistance sociale (Tableau 2.5, mention contextuelle).</w:t>
      </w:r>
    </w:p>
    <w:p w14:paraId="190F85BC" w14:textId="77777777" w:rsidR="003C12C0" w:rsidRDefault="00000000">
      <w:pPr>
        <w:pStyle w:val="Heading3"/>
      </w:pPr>
      <w:bookmarkStart w:id="42" w:name="Xbd772998dce239fbe32d94c283e30eed6cb5291"/>
      <w:bookmarkEnd w:id="41"/>
      <w:r>
        <w:t>Sécurité sociale contributive obligatoire</w:t>
      </w:r>
    </w:p>
    <w:p w14:paraId="190F85BD" w14:textId="77777777" w:rsidR="003C12C0" w:rsidRDefault="00000000">
      <w:r>
        <w:t>Les neuf branches de la Convention no 102 de l'OIT</w:t>
      </w:r>
      <w:r>
        <w:rPr>
          <w:rStyle w:val="FootnoteReference"/>
        </w:rPr>
        <w:footnoteReference w:id="41"/>
      </w:r>
      <w:r>
        <w:t xml:space="preserve"> servent de grille de lecture pour situer chaque institution dans le panorama de la protection sociale.</w:t>
      </w:r>
    </w:p>
    <w:p w14:paraId="190F85BE" w14:textId="77777777" w:rsidR="003C12C0" w:rsidRDefault="00000000">
      <w:pPr>
        <w:pStyle w:val="TableTitle"/>
      </w:pPr>
      <w:bookmarkStart w:id="43" w:name="_Toc234324538"/>
      <w:r>
        <w:t>Tableau 2.1 — Sécurité sociale contributive obligatoire : CNSS et CNSSAP</w:t>
      </w:r>
      <w:bookmarkEnd w:id="43"/>
    </w:p>
    <w:tbl>
      <w:tblPr>
        <w:tblStyle w:val="ILOTable"/>
        <w:tblW w:w="5000" w:type="pct"/>
        <w:tblLook w:val="0020" w:firstRow="1" w:lastRow="0" w:firstColumn="0" w:lastColumn="0" w:noHBand="0" w:noVBand="0"/>
      </w:tblPr>
      <w:tblGrid>
        <w:gridCol w:w="2318"/>
        <w:gridCol w:w="2767"/>
        <w:gridCol w:w="3975"/>
      </w:tblGrid>
      <w:tr w:rsidR="003C12C0" w14:paraId="190F85C2"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5BF"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5C0" w14:textId="77777777" w:rsidR="003C12C0" w:rsidRDefault="00000000">
            <w:pPr>
              <w:pStyle w:val="TableHeader"/>
              <w:jc w:val="center"/>
            </w:pPr>
            <w:r>
              <w:t>CNSS</w:t>
            </w:r>
            <w:r>
              <w:rPr>
                <w:rStyle w:val="FootnoteReference"/>
              </w:rPr>
              <w:footnoteReference w:id="42"/>
            </w:r>
          </w:p>
        </w:tc>
        <w:tc>
          <w:tcPr>
            <w:tcW w:w="0" w:type="auto"/>
            <w:tcBorders>
              <w:top w:val="single" w:sz="4" w:space="0" w:color="000000"/>
              <w:left w:val="single" w:sz="4" w:space="0" w:color="000000"/>
              <w:bottom w:val="single" w:sz="4" w:space="0" w:color="000000"/>
              <w:right w:val="single" w:sz="4" w:space="0" w:color="000000"/>
            </w:tcBorders>
          </w:tcPr>
          <w:p w14:paraId="190F85C1" w14:textId="77777777" w:rsidR="003C12C0" w:rsidRDefault="00000000">
            <w:pPr>
              <w:pStyle w:val="TableHeader"/>
              <w:jc w:val="center"/>
            </w:pPr>
            <w:r>
              <w:t>CNSSAP</w:t>
            </w:r>
            <w:r>
              <w:rPr>
                <w:rStyle w:val="FootnoteReference"/>
              </w:rPr>
              <w:footnoteReference w:id="43"/>
            </w:r>
          </w:p>
        </w:tc>
      </w:tr>
      <w:tr w:rsidR="003C12C0" w14:paraId="190F85C6"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5C3" w14:textId="77777777" w:rsidR="003C12C0" w:rsidRDefault="00000000">
            <w:pPr>
              <w:pStyle w:val="TableText"/>
            </w:pPr>
            <w:r>
              <w:rPr>
                <w:b/>
                <w:bCs/>
              </w:rPr>
              <w:t>Population assujettie</w:t>
            </w:r>
          </w:p>
        </w:tc>
        <w:tc>
          <w:tcPr>
            <w:tcW w:w="0" w:type="auto"/>
            <w:tcBorders>
              <w:top w:val="single" w:sz="4" w:space="0" w:color="000000"/>
              <w:left w:val="single" w:sz="4" w:space="0" w:color="000000"/>
              <w:bottom w:val="single" w:sz="4" w:space="0" w:color="000000"/>
              <w:right w:val="single" w:sz="4" w:space="0" w:color="000000"/>
            </w:tcBorders>
          </w:tcPr>
          <w:p w14:paraId="190F85C4" w14:textId="77777777" w:rsidR="003C12C0" w:rsidRDefault="00000000">
            <w:pPr>
              <w:pStyle w:val="TableText"/>
              <w:jc w:val="center"/>
            </w:pPr>
            <w:r>
              <w:t>Travailleurs du secteur privé formel et assimilés [1]</w:t>
            </w:r>
            <w:r>
              <w:rPr>
                <w:rStyle w:val="FootnoteReference"/>
              </w:rPr>
              <w:footnoteReference w:id="44"/>
            </w:r>
          </w:p>
        </w:tc>
        <w:tc>
          <w:tcPr>
            <w:tcW w:w="0" w:type="auto"/>
            <w:tcBorders>
              <w:top w:val="single" w:sz="4" w:space="0" w:color="000000"/>
              <w:left w:val="single" w:sz="4" w:space="0" w:color="000000"/>
              <w:bottom w:val="single" w:sz="4" w:space="0" w:color="000000"/>
              <w:right w:val="single" w:sz="4" w:space="0" w:color="000000"/>
            </w:tcBorders>
          </w:tcPr>
          <w:p w14:paraId="190F85C5" w14:textId="77777777" w:rsidR="003C12C0" w:rsidRDefault="00000000">
            <w:pPr>
              <w:pStyle w:val="TableText"/>
              <w:jc w:val="center"/>
            </w:pPr>
            <w:r>
              <w:t>Agents de carrière, militaires, policiers, enseignants, contractuels de l'État [2]</w:t>
            </w:r>
            <w:r>
              <w:rPr>
                <w:rStyle w:val="FootnoteReference"/>
              </w:rPr>
              <w:footnoteReference w:id="45"/>
            </w:r>
          </w:p>
        </w:tc>
      </w:tr>
      <w:tr w:rsidR="003C12C0" w14:paraId="190F85CA"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5C7" w14:textId="77777777" w:rsidR="003C12C0" w:rsidRDefault="00000000">
            <w:pPr>
              <w:pStyle w:val="TableText"/>
            </w:pPr>
            <w:r>
              <w:rPr>
                <w:b/>
                <w:bCs/>
              </w:rPr>
              <w:t>Caractère</w:t>
            </w:r>
          </w:p>
        </w:tc>
        <w:tc>
          <w:tcPr>
            <w:tcW w:w="0" w:type="auto"/>
            <w:tcBorders>
              <w:top w:val="single" w:sz="4" w:space="0" w:color="000000"/>
              <w:left w:val="single" w:sz="4" w:space="0" w:color="000000"/>
              <w:bottom w:val="single" w:sz="4" w:space="0" w:color="000000"/>
              <w:right w:val="single" w:sz="4" w:space="0" w:color="000000"/>
            </w:tcBorders>
          </w:tcPr>
          <w:p w14:paraId="190F85C8" w14:textId="77777777" w:rsidR="003C12C0" w:rsidRDefault="00000000">
            <w:pPr>
              <w:pStyle w:val="TableText"/>
              <w:jc w:val="center"/>
            </w:pPr>
            <w:r>
              <w:t>Obligatoire, statutaire</w:t>
            </w:r>
          </w:p>
        </w:tc>
        <w:tc>
          <w:tcPr>
            <w:tcW w:w="0" w:type="auto"/>
            <w:tcBorders>
              <w:top w:val="single" w:sz="4" w:space="0" w:color="000000"/>
              <w:left w:val="single" w:sz="4" w:space="0" w:color="000000"/>
              <w:bottom w:val="single" w:sz="4" w:space="0" w:color="000000"/>
              <w:right w:val="single" w:sz="4" w:space="0" w:color="000000"/>
            </w:tcBorders>
          </w:tcPr>
          <w:p w14:paraId="190F85C9" w14:textId="77777777" w:rsidR="003C12C0" w:rsidRDefault="00000000">
            <w:pPr>
              <w:pStyle w:val="TableText"/>
              <w:jc w:val="center"/>
            </w:pPr>
            <w:r>
              <w:t>Obligatoire, statutaire</w:t>
            </w:r>
          </w:p>
        </w:tc>
      </w:tr>
      <w:tr w:rsidR="003C12C0" w14:paraId="190F85CE"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5CB" w14:textId="77777777" w:rsidR="003C12C0" w:rsidRDefault="00000000">
            <w:pPr>
              <w:pStyle w:val="TableText"/>
            </w:pPr>
            <w:r>
              <w:rPr>
                <w:b/>
                <w:bCs/>
              </w:rPr>
              <w:t>Mode de financement</w:t>
            </w:r>
          </w:p>
        </w:tc>
        <w:tc>
          <w:tcPr>
            <w:tcW w:w="0" w:type="auto"/>
            <w:tcBorders>
              <w:top w:val="single" w:sz="4" w:space="0" w:color="000000"/>
              <w:left w:val="single" w:sz="4" w:space="0" w:color="000000"/>
              <w:bottom w:val="single" w:sz="4" w:space="0" w:color="000000"/>
              <w:right w:val="single" w:sz="4" w:space="0" w:color="000000"/>
            </w:tcBorders>
          </w:tcPr>
          <w:p w14:paraId="190F85CC" w14:textId="77777777" w:rsidR="003C12C0" w:rsidRDefault="00000000">
            <w:pPr>
              <w:pStyle w:val="TableText"/>
              <w:jc w:val="center"/>
            </w:pPr>
            <w:r>
              <w:t>Cotisations employeur + salarié [1]</w:t>
            </w:r>
            <w:r>
              <w:rPr>
                <w:rStyle w:val="FootnoteReference"/>
              </w:rPr>
              <w:footnoteReference w:id="46"/>
            </w:r>
          </w:p>
        </w:tc>
        <w:tc>
          <w:tcPr>
            <w:tcW w:w="0" w:type="auto"/>
            <w:tcBorders>
              <w:top w:val="single" w:sz="4" w:space="0" w:color="000000"/>
              <w:left w:val="single" w:sz="4" w:space="0" w:color="000000"/>
              <w:bottom w:val="single" w:sz="4" w:space="0" w:color="000000"/>
              <w:right w:val="single" w:sz="4" w:space="0" w:color="000000"/>
            </w:tcBorders>
          </w:tcPr>
          <w:p w14:paraId="190F85CD" w14:textId="77777777" w:rsidR="003C12C0" w:rsidRDefault="00000000">
            <w:pPr>
              <w:pStyle w:val="TableText"/>
              <w:jc w:val="center"/>
            </w:pPr>
            <w:r>
              <w:t>Cotisations État employeur + agent [2]</w:t>
            </w:r>
            <w:r>
              <w:rPr>
                <w:rStyle w:val="FootnoteReference"/>
              </w:rPr>
              <w:footnoteReference w:id="47"/>
            </w:r>
          </w:p>
        </w:tc>
      </w:tr>
      <w:tr w:rsidR="003C12C0" w14:paraId="190F85D2"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5CF" w14:textId="77777777" w:rsidR="003C12C0" w:rsidRDefault="00000000">
            <w:pPr>
              <w:pStyle w:val="TableText"/>
            </w:pPr>
            <w:r>
              <w:rPr>
                <w:b/>
                <w:bCs/>
              </w:rPr>
              <w:t>Base légale principale</w:t>
            </w:r>
          </w:p>
        </w:tc>
        <w:tc>
          <w:tcPr>
            <w:tcW w:w="0" w:type="auto"/>
            <w:tcBorders>
              <w:top w:val="single" w:sz="4" w:space="0" w:color="000000"/>
              <w:left w:val="single" w:sz="4" w:space="0" w:color="000000"/>
              <w:bottom w:val="single" w:sz="4" w:space="0" w:color="000000"/>
              <w:right w:val="single" w:sz="4" w:space="0" w:color="000000"/>
            </w:tcBorders>
          </w:tcPr>
          <w:p w14:paraId="190F85D0" w14:textId="77777777" w:rsidR="003C12C0" w:rsidRDefault="00000000">
            <w:pPr>
              <w:pStyle w:val="TableText"/>
              <w:jc w:val="center"/>
            </w:pPr>
            <w:r>
              <w:t>Loi n°16/009 du 15 juillet 2016 [1]</w:t>
            </w:r>
            <w:r>
              <w:rPr>
                <w:rStyle w:val="FootnoteReference"/>
              </w:rPr>
              <w:footnoteReference w:id="48"/>
            </w:r>
          </w:p>
        </w:tc>
        <w:tc>
          <w:tcPr>
            <w:tcW w:w="0" w:type="auto"/>
            <w:tcBorders>
              <w:top w:val="single" w:sz="4" w:space="0" w:color="000000"/>
              <w:left w:val="single" w:sz="4" w:space="0" w:color="000000"/>
              <w:bottom w:val="single" w:sz="4" w:space="0" w:color="000000"/>
              <w:right w:val="single" w:sz="4" w:space="0" w:color="000000"/>
            </w:tcBorders>
          </w:tcPr>
          <w:p w14:paraId="190F85D1" w14:textId="77777777" w:rsidR="003C12C0" w:rsidRDefault="00000000">
            <w:pPr>
              <w:pStyle w:val="TableText"/>
              <w:jc w:val="center"/>
            </w:pPr>
            <w:r>
              <w:t>Décret n°15/031 du 14 déc. 2015 ; Loi n°22/031 du 15 juil. 2022 [2]</w:t>
            </w:r>
            <w:r>
              <w:rPr>
                <w:rStyle w:val="FootnoteReference"/>
              </w:rPr>
              <w:footnoteReference w:id="49"/>
            </w:r>
          </w:p>
        </w:tc>
      </w:tr>
      <w:tr w:rsidR="003C12C0" w14:paraId="190F85D6"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5D3" w14:textId="77777777" w:rsidR="003C12C0" w:rsidRDefault="00000000">
            <w:pPr>
              <w:pStyle w:val="TableText"/>
            </w:pPr>
            <w:r>
              <w:rPr>
                <w:i/>
                <w:iCs/>
              </w:rPr>
              <w:t>Branche C102</w:t>
            </w:r>
          </w:p>
        </w:tc>
        <w:tc>
          <w:tcPr>
            <w:tcW w:w="0" w:type="auto"/>
            <w:tcBorders>
              <w:top w:val="single" w:sz="4" w:space="0" w:color="000000"/>
              <w:left w:val="single" w:sz="4" w:space="0" w:color="000000"/>
              <w:bottom w:val="single" w:sz="4" w:space="0" w:color="000000"/>
              <w:right w:val="single" w:sz="4" w:space="0" w:color="000000"/>
            </w:tcBorders>
          </w:tcPr>
          <w:p w14:paraId="190F85D4"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5D5" w14:textId="77777777" w:rsidR="003C12C0" w:rsidRDefault="003C12C0"/>
        </w:tc>
      </w:tr>
      <w:tr w:rsidR="003C12C0" w14:paraId="190F85DA"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5D7" w14:textId="77777777" w:rsidR="003C12C0" w:rsidRDefault="00000000">
            <w:pPr>
              <w:pStyle w:val="TableText"/>
            </w:pPr>
            <w:r>
              <w:t>Soins médicaux (Partie II)</w:t>
            </w:r>
          </w:p>
        </w:tc>
        <w:tc>
          <w:tcPr>
            <w:tcW w:w="0" w:type="auto"/>
            <w:tcBorders>
              <w:top w:val="single" w:sz="4" w:space="0" w:color="000000"/>
              <w:left w:val="single" w:sz="4" w:space="0" w:color="000000"/>
              <w:bottom w:val="single" w:sz="4" w:space="0" w:color="000000"/>
              <w:right w:val="single" w:sz="4" w:space="0" w:color="000000"/>
            </w:tcBorders>
          </w:tcPr>
          <w:p w14:paraId="190F85D8" w14:textId="77777777" w:rsidR="003C12C0" w:rsidRDefault="00000000">
            <w:pPr>
              <w:pStyle w:val="TableTex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190F85D9" w14:textId="77777777" w:rsidR="003C12C0" w:rsidRDefault="00000000">
            <w:pPr>
              <w:pStyle w:val="TableText"/>
              <w:jc w:val="center"/>
            </w:pPr>
            <w:r>
              <w:t>—</w:t>
            </w:r>
          </w:p>
        </w:tc>
      </w:tr>
      <w:tr w:rsidR="003C12C0" w14:paraId="190F85DE"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5DB" w14:textId="77777777" w:rsidR="003C12C0" w:rsidRDefault="00000000">
            <w:pPr>
              <w:pStyle w:val="TableText"/>
            </w:pPr>
            <w:r>
              <w:lastRenderedPageBreak/>
              <w:t>Indemnités de maladie (Partie III)</w:t>
            </w:r>
          </w:p>
        </w:tc>
        <w:tc>
          <w:tcPr>
            <w:tcW w:w="0" w:type="auto"/>
            <w:tcBorders>
              <w:top w:val="single" w:sz="4" w:space="0" w:color="000000"/>
              <w:left w:val="single" w:sz="4" w:space="0" w:color="000000"/>
              <w:bottom w:val="single" w:sz="4" w:space="0" w:color="000000"/>
              <w:right w:val="single" w:sz="4" w:space="0" w:color="000000"/>
            </w:tcBorders>
          </w:tcPr>
          <w:p w14:paraId="190F85DC" w14:textId="77777777" w:rsidR="003C12C0" w:rsidRDefault="00000000">
            <w:pPr>
              <w:pStyle w:val="TableTex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190F85DD" w14:textId="77777777" w:rsidR="003C12C0" w:rsidRDefault="00000000">
            <w:pPr>
              <w:pStyle w:val="TableText"/>
              <w:jc w:val="center"/>
            </w:pPr>
            <w:r>
              <w:t>—</w:t>
            </w:r>
          </w:p>
        </w:tc>
      </w:tr>
      <w:tr w:rsidR="003C12C0" w14:paraId="190F85E2"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5DF" w14:textId="77777777" w:rsidR="003C12C0" w:rsidRDefault="00000000">
            <w:pPr>
              <w:pStyle w:val="TableText"/>
            </w:pPr>
            <w:r>
              <w:t>Chômage (Partie IV)</w:t>
            </w:r>
          </w:p>
        </w:tc>
        <w:tc>
          <w:tcPr>
            <w:tcW w:w="0" w:type="auto"/>
            <w:tcBorders>
              <w:top w:val="single" w:sz="4" w:space="0" w:color="000000"/>
              <w:left w:val="single" w:sz="4" w:space="0" w:color="000000"/>
              <w:bottom w:val="single" w:sz="4" w:space="0" w:color="000000"/>
              <w:right w:val="single" w:sz="4" w:space="0" w:color="000000"/>
            </w:tcBorders>
          </w:tcPr>
          <w:p w14:paraId="190F85E0" w14:textId="77777777" w:rsidR="003C12C0" w:rsidRDefault="00000000">
            <w:pPr>
              <w:pStyle w:val="TableTex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190F85E1" w14:textId="77777777" w:rsidR="003C12C0" w:rsidRDefault="00000000">
            <w:pPr>
              <w:pStyle w:val="TableText"/>
              <w:jc w:val="center"/>
            </w:pPr>
            <w:r>
              <w:t>—</w:t>
            </w:r>
          </w:p>
        </w:tc>
      </w:tr>
      <w:tr w:rsidR="003C12C0" w14:paraId="190F85E6"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5E3" w14:textId="77777777" w:rsidR="003C12C0" w:rsidRDefault="00000000">
            <w:pPr>
              <w:pStyle w:val="TableText"/>
            </w:pPr>
            <w:r>
              <w:t>Vieillesse (Partie V)</w:t>
            </w:r>
          </w:p>
        </w:tc>
        <w:tc>
          <w:tcPr>
            <w:tcW w:w="0" w:type="auto"/>
            <w:tcBorders>
              <w:top w:val="single" w:sz="4" w:space="0" w:color="000000"/>
              <w:left w:val="single" w:sz="4" w:space="0" w:color="000000"/>
              <w:bottom w:val="single" w:sz="4" w:space="0" w:color="000000"/>
              <w:right w:val="single" w:sz="4" w:space="0" w:color="000000"/>
            </w:tcBorders>
          </w:tcPr>
          <w:p w14:paraId="190F85E4" w14:textId="77777777" w:rsidR="003C12C0" w:rsidRDefault="00000000">
            <w:pPr>
              <w:pStyle w:val="TableTex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190F85E5" w14:textId="77777777" w:rsidR="003C12C0" w:rsidRDefault="00000000">
            <w:pPr>
              <w:pStyle w:val="TableText"/>
              <w:jc w:val="center"/>
            </w:pPr>
            <w:r>
              <w:t>✓</w:t>
            </w:r>
          </w:p>
        </w:tc>
      </w:tr>
      <w:tr w:rsidR="003C12C0" w14:paraId="190F85EA"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5E7" w14:textId="77777777" w:rsidR="003C12C0" w:rsidRDefault="00000000">
            <w:pPr>
              <w:pStyle w:val="TableText"/>
            </w:pPr>
            <w:r>
              <w:t>Accidents du travail / mal. prof. (Partie VI)</w:t>
            </w:r>
          </w:p>
        </w:tc>
        <w:tc>
          <w:tcPr>
            <w:tcW w:w="0" w:type="auto"/>
            <w:tcBorders>
              <w:top w:val="single" w:sz="4" w:space="0" w:color="000000"/>
              <w:left w:val="single" w:sz="4" w:space="0" w:color="000000"/>
              <w:bottom w:val="single" w:sz="4" w:space="0" w:color="000000"/>
              <w:right w:val="single" w:sz="4" w:space="0" w:color="000000"/>
            </w:tcBorders>
          </w:tcPr>
          <w:p w14:paraId="190F85E8" w14:textId="77777777" w:rsidR="003C12C0" w:rsidRDefault="00000000">
            <w:pPr>
              <w:pStyle w:val="TableTex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190F85E9" w14:textId="77777777" w:rsidR="003C12C0" w:rsidRDefault="00000000">
            <w:pPr>
              <w:pStyle w:val="TableText"/>
              <w:jc w:val="center"/>
            </w:pPr>
            <w:r>
              <w:t>✓</w:t>
            </w:r>
          </w:p>
        </w:tc>
      </w:tr>
      <w:tr w:rsidR="003C12C0" w14:paraId="190F85EE"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5EB" w14:textId="77777777" w:rsidR="003C12C0" w:rsidRDefault="00000000">
            <w:pPr>
              <w:pStyle w:val="TableText"/>
            </w:pPr>
            <w:r>
              <w:t>Allocations familiales (Partie VII)</w:t>
            </w:r>
          </w:p>
        </w:tc>
        <w:tc>
          <w:tcPr>
            <w:tcW w:w="0" w:type="auto"/>
            <w:tcBorders>
              <w:top w:val="single" w:sz="4" w:space="0" w:color="000000"/>
              <w:left w:val="single" w:sz="4" w:space="0" w:color="000000"/>
              <w:bottom w:val="single" w:sz="4" w:space="0" w:color="000000"/>
              <w:right w:val="single" w:sz="4" w:space="0" w:color="000000"/>
            </w:tcBorders>
          </w:tcPr>
          <w:p w14:paraId="190F85EC" w14:textId="77777777" w:rsidR="003C12C0" w:rsidRDefault="00000000">
            <w:pPr>
              <w:pStyle w:val="TableTex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190F85ED" w14:textId="77777777" w:rsidR="003C12C0" w:rsidRDefault="00000000">
            <w:pPr>
              <w:pStyle w:val="TableText"/>
              <w:jc w:val="center"/>
            </w:pPr>
            <w:r>
              <w:t>✓</w:t>
            </w:r>
          </w:p>
        </w:tc>
      </w:tr>
      <w:tr w:rsidR="003C12C0" w14:paraId="190F85F2"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5EF" w14:textId="77777777" w:rsidR="003C12C0" w:rsidRDefault="00000000">
            <w:pPr>
              <w:pStyle w:val="TableText"/>
            </w:pPr>
            <w:r>
              <w:t>Maternité (Partie VIII)</w:t>
            </w:r>
          </w:p>
        </w:tc>
        <w:tc>
          <w:tcPr>
            <w:tcW w:w="0" w:type="auto"/>
            <w:tcBorders>
              <w:top w:val="single" w:sz="4" w:space="0" w:color="000000"/>
              <w:left w:val="single" w:sz="4" w:space="0" w:color="000000"/>
              <w:bottom w:val="single" w:sz="4" w:space="0" w:color="000000"/>
              <w:right w:val="single" w:sz="4" w:space="0" w:color="000000"/>
            </w:tcBorders>
          </w:tcPr>
          <w:p w14:paraId="190F85F0" w14:textId="77777777" w:rsidR="003C12C0" w:rsidRDefault="00000000">
            <w:pPr>
              <w:pStyle w:val="TableTex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190F85F1" w14:textId="77777777" w:rsidR="003C12C0" w:rsidRDefault="00000000">
            <w:pPr>
              <w:pStyle w:val="TableText"/>
              <w:jc w:val="center"/>
            </w:pPr>
            <w:r>
              <w:t>✓</w:t>
            </w:r>
          </w:p>
        </w:tc>
      </w:tr>
      <w:tr w:rsidR="003C12C0" w14:paraId="190F85F6"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5F3" w14:textId="77777777" w:rsidR="003C12C0" w:rsidRDefault="00000000">
            <w:pPr>
              <w:pStyle w:val="TableText"/>
            </w:pPr>
            <w:r>
              <w:t>Invalidité (Partie IX)</w:t>
            </w:r>
          </w:p>
        </w:tc>
        <w:tc>
          <w:tcPr>
            <w:tcW w:w="0" w:type="auto"/>
            <w:tcBorders>
              <w:top w:val="single" w:sz="4" w:space="0" w:color="000000"/>
              <w:left w:val="single" w:sz="4" w:space="0" w:color="000000"/>
              <w:bottom w:val="single" w:sz="4" w:space="0" w:color="000000"/>
              <w:right w:val="single" w:sz="4" w:space="0" w:color="000000"/>
            </w:tcBorders>
          </w:tcPr>
          <w:p w14:paraId="190F85F4" w14:textId="77777777" w:rsidR="003C12C0" w:rsidRDefault="00000000">
            <w:pPr>
              <w:pStyle w:val="TableTex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190F85F5" w14:textId="77777777" w:rsidR="003C12C0" w:rsidRDefault="00000000">
            <w:pPr>
              <w:pStyle w:val="TableText"/>
              <w:jc w:val="center"/>
            </w:pPr>
            <w:r>
              <w:t>✓</w:t>
            </w:r>
          </w:p>
        </w:tc>
      </w:tr>
      <w:tr w:rsidR="003C12C0" w14:paraId="190F85FA"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5F7" w14:textId="77777777" w:rsidR="003C12C0" w:rsidRDefault="00000000">
            <w:pPr>
              <w:pStyle w:val="TableText"/>
            </w:pPr>
            <w:r>
              <w:t>Survivants (Partie X)</w:t>
            </w:r>
          </w:p>
        </w:tc>
        <w:tc>
          <w:tcPr>
            <w:tcW w:w="0" w:type="auto"/>
            <w:tcBorders>
              <w:top w:val="single" w:sz="4" w:space="0" w:color="000000"/>
              <w:left w:val="single" w:sz="4" w:space="0" w:color="000000"/>
              <w:bottom w:val="single" w:sz="4" w:space="0" w:color="000000"/>
              <w:right w:val="single" w:sz="4" w:space="0" w:color="000000"/>
            </w:tcBorders>
          </w:tcPr>
          <w:p w14:paraId="190F85F8" w14:textId="77777777" w:rsidR="003C12C0" w:rsidRDefault="00000000">
            <w:pPr>
              <w:pStyle w:val="TableTex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190F85F9" w14:textId="77777777" w:rsidR="003C12C0" w:rsidRDefault="00000000">
            <w:pPr>
              <w:pStyle w:val="TableText"/>
              <w:jc w:val="center"/>
            </w:pPr>
            <w:r>
              <w:t>✓</w:t>
            </w:r>
          </w:p>
        </w:tc>
      </w:tr>
    </w:tbl>
    <w:p w14:paraId="190F85FB" w14:textId="77777777" w:rsidR="003C12C0" w:rsidRDefault="00000000">
      <w:pPr>
        <w:pStyle w:val="TableNoteSource"/>
      </w:pPr>
      <w:r>
        <w:rPr>
          <w:i/>
          <w:iCs/>
        </w:rPr>
        <w:t>Légende : ✓ = branche couverte de façon effective (données disponibles) — ✓ = branche prévue légalement, données non encore consolidées — — = branche non prévue dans le régime.</w:t>
      </w:r>
    </w:p>
    <w:p w14:paraId="190F85FC" w14:textId="77777777" w:rsidR="003C12C0" w:rsidRDefault="00000000">
      <w:pPr>
        <w:pStyle w:val="TableNoteSource"/>
      </w:pPr>
      <w:r>
        <w:t>Sources : CNSS (cnss.cd, 2026)</w:t>
      </w:r>
      <w:r>
        <w:rPr>
          <w:rStyle w:val="FootnoteReference"/>
        </w:rPr>
        <w:footnoteReference w:id="50"/>
      </w:r>
      <w:r>
        <w:t xml:space="preserve"> · CNSSAP (cnssap.cd, 2026)</w:t>
      </w:r>
      <w:r>
        <w:rPr>
          <w:rStyle w:val="FootnoteReference"/>
        </w:rPr>
        <w:footnoteReference w:id="51"/>
      </w:r>
      <w:r>
        <w:t xml:space="preserve"> · Premier bulletin RDC (2023)</w:t>
      </w:r>
      <w:r>
        <w:rPr>
          <w:rStyle w:val="FootnoteReference"/>
        </w:rPr>
        <w:footnoteReference w:id="52"/>
      </w:r>
    </w:p>
    <w:p w14:paraId="190F85FD" w14:textId="77777777" w:rsidR="003C12C0" w:rsidRDefault="00000000">
      <w:pPr>
        <w:pStyle w:val="Heading3"/>
      </w:pPr>
      <w:bookmarkStart w:id="44" w:name="regimes-speciaux-non-valide"/>
      <w:bookmarkEnd w:id="42"/>
      <w:r>
        <w:t>Régimes spéciaux</w:t>
      </w:r>
    </w:p>
    <w:p w14:paraId="190F85FE" w14:textId="77777777" w:rsidR="003C12C0" w:rsidRDefault="00000000">
      <w:r>
        <w:t>Les régimes spéciaux couvrent des catégories professionnelles spécifiques de l'État. À l'exception du régime des parlementaires, ces régimes sont en grande partie financés par allocation budgétaire du Trésor public et non par cotisations.</w:t>
      </w:r>
    </w:p>
    <w:p w14:paraId="190F85FF" w14:textId="77777777" w:rsidR="003C12C0" w:rsidRDefault="00000000">
      <w:pPr>
        <w:pStyle w:val="TableTitle"/>
      </w:pPr>
      <w:bookmarkStart w:id="45" w:name="_Toc234324539"/>
      <w:r>
        <w:t>Tableau 2.2 — Régimes spéciaux (financement par allocation budgétaire)</w:t>
      </w:r>
      <w:bookmarkEnd w:id="45"/>
    </w:p>
    <w:tbl>
      <w:tblPr>
        <w:tblStyle w:val="ILOTable"/>
        <w:tblW w:w="5000" w:type="pct"/>
        <w:tblLook w:val="0020" w:firstRow="1" w:lastRow="0" w:firstColumn="0" w:lastColumn="0" w:noHBand="0" w:noVBand="0"/>
      </w:tblPr>
      <w:tblGrid>
        <w:gridCol w:w="2123"/>
        <w:gridCol w:w="2729"/>
        <w:gridCol w:w="1528"/>
        <w:gridCol w:w="1043"/>
        <w:gridCol w:w="1637"/>
      </w:tblGrid>
      <w:tr w:rsidR="003C12C0" w14:paraId="190F8605"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600" w14:textId="77777777" w:rsidR="003C12C0" w:rsidRDefault="00000000">
            <w:pPr>
              <w:pStyle w:val="TableHeader"/>
            </w:pPr>
            <w:r>
              <w:t>Régime</w:t>
            </w:r>
          </w:p>
        </w:tc>
        <w:tc>
          <w:tcPr>
            <w:tcW w:w="0" w:type="auto"/>
            <w:tcBorders>
              <w:top w:val="single" w:sz="4" w:space="0" w:color="000000"/>
              <w:left w:val="single" w:sz="4" w:space="0" w:color="000000"/>
              <w:bottom w:val="single" w:sz="4" w:space="0" w:color="000000"/>
              <w:right w:val="single" w:sz="4" w:space="0" w:color="000000"/>
            </w:tcBorders>
          </w:tcPr>
          <w:p w14:paraId="190F8601" w14:textId="77777777" w:rsidR="003C12C0" w:rsidRDefault="00000000">
            <w:pPr>
              <w:pStyle w:val="TableHeader"/>
            </w:pPr>
            <w:r>
              <w:t>Population couverte</w:t>
            </w:r>
          </w:p>
        </w:tc>
        <w:tc>
          <w:tcPr>
            <w:tcW w:w="0" w:type="auto"/>
            <w:tcBorders>
              <w:top w:val="single" w:sz="4" w:space="0" w:color="000000"/>
              <w:left w:val="single" w:sz="4" w:space="0" w:color="000000"/>
              <w:bottom w:val="single" w:sz="4" w:space="0" w:color="000000"/>
              <w:right w:val="single" w:sz="4" w:space="0" w:color="000000"/>
            </w:tcBorders>
          </w:tcPr>
          <w:p w14:paraId="190F8602" w14:textId="77777777" w:rsidR="003C12C0" w:rsidRDefault="00000000">
            <w:pPr>
              <w:pStyle w:val="TableHeader"/>
              <w:jc w:val="center"/>
            </w:pPr>
            <w:r>
              <w:t>Mode de financement</w:t>
            </w:r>
          </w:p>
        </w:tc>
        <w:tc>
          <w:tcPr>
            <w:tcW w:w="0" w:type="auto"/>
            <w:tcBorders>
              <w:top w:val="single" w:sz="4" w:space="0" w:color="000000"/>
              <w:left w:val="single" w:sz="4" w:space="0" w:color="000000"/>
              <w:bottom w:val="single" w:sz="4" w:space="0" w:color="000000"/>
              <w:right w:val="single" w:sz="4" w:space="0" w:color="000000"/>
            </w:tcBorders>
          </w:tcPr>
          <w:p w14:paraId="190F8603" w14:textId="77777777" w:rsidR="003C12C0" w:rsidRDefault="00000000">
            <w:pPr>
              <w:pStyle w:val="TableHeader"/>
              <w:jc w:val="center"/>
            </w:pPr>
            <w:r>
              <w:t>Caractère</w:t>
            </w:r>
          </w:p>
        </w:tc>
        <w:tc>
          <w:tcPr>
            <w:tcW w:w="0" w:type="auto"/>
            <w:tcBorders>
              <w:top w:val="single" w:sz="4" w:space="0" w:color="000000"/>
              <w:left w:val="single" w:sz="4" w:space="0" w:color="000000"/>
              <w:bottom w:val="single" w:sz="4" w:space="0" w:color="000000"/>
              <w:right w:val="single" w:sz="4" w:space="0" w:color="000000"/>
            </w:tcBorders>
          </w:tcPr>
          <w:p w14:paraId="190F8604" w14:textId="77777777" w:rsidR="003C12C0" w:rsidRDefault="00000000">
            <w:pPr>
              <w:pStyle w:val="TableHeader"/>
              <w:jc w:val="center"/>
            </w:pPr>
            <w:r>
              <w:t>Branches C102 prévues</w:t>
            </w:r>
          </w:p>
        </w:tc>
      </w:tr>
      <w:tr w:rsidR="003C12C0" w14:paraId="190F860B"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606" w14:textId="77777777" w:rsidR="003C12C0" w:rsidRDefault="00000000">
            <w:pPr>
              <w:pStyle w:val="TableText"/>
            </w:pPr>
            <w:r>
              <w:t>Régime des militaires (FAC, PNC)</w:t>
            </w:r>
          </w:p>
        </w:tc>
        <w:tc>
          <w:tcPr>
            <w:tcW w:w="0" w:type="auto"/>
            <w:tcBorders>
              <w:top w:val="single" w:sz="4" w:space="0" w:color="000000"/>
              <w:left w:val="single" w:sz="4" w:space="0" w:color="000000"/>
              <w:bottom w:val="single" w:sz="4" w:space="0" w:color="000000"/>
              <w:right w:val="single" w:sz="4" w:space="0" w:color="000000"/>
            </w:tcBorders>
          </w:tcPr>
          <w:p w14:paraId="190F8607" w14:textId="77777777" w:rsidR="003C12C0" w:rsidRDefault="00000000">
            <w:pPr>
              <w:pStyle w:val="TableText"/>
            </w:pPr>
            <w:r>
              <w:t>Forces armées, Police nationale</w:t>
            </w:r>
          </w:p>
        </w:tc>
        <w:tc>
          <w:tcPr>
            <w:tcW w:w="0" w:type="auto"/>
            <w:tcBorders>
              <w:top w:val="single" w:sz="4" w:space="0" w:color="000000"/>
              <w:left w:val="single" w:sz="4" w:space="0" w:color="000000"/>
              <w:bottom w:val="single" w:sz="4" w:space="0" w:color="000000"/>
              <w:right w:val="single" w:sz="4" w:space="0" w:color="000000"/>
            </w:tcBorders>
          </w:tcPr>
          <w:p w14:paraId="190F8608" w14:textId="77777777" w:rsidR="003C12C0" w:rsidRDefault="00000000">
            <w:pPr>
              <w:pStyle w:val="TableText"/>
              <w:jc w:val="center"/>
            </w:pPr>
            <w:r>
              <w:t>Allocation budgétaire</w:t>
            </w:r>
          </w:p>
        </w:tc>
        <w:tc>
          <w:tcPr>
            <w:tcW w:w="0" w:type="auto"/>
            <w:tcBorders>
              <w:top w:val="single" w:sz="4" w:space="0" w:color="000000"/>
              <w:left w:val="single" w:sz="4" w:space="0" w:color="000000"/>
              <w:bottom w:val="single" w:sz="4" w:space="0" w:color="000000"/>
              <w:right w:val="single" w:sz="4" w:space="0" w:color="000000"/>
            </w:tcBorders>
          </w:tcPr>
          <w:p w14:paraId="190F8609" w14:textId="77777777" w:rsidR="003C12C0" w:rsidRDefault="00000000">
            <w:pPr>
              <w:pStyle w:val="TableText"/>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190F860A" w14:textId="77777777" w:rsidR="003C12C0" w:rsidRDefault="00000000">
            <w:pPr>
              <w:pStyle w:val="TableText"/>
              <w:jc w:val="center"/>
            </w:pPr>
            <w:r>
              <w:t>Vieillesse ✓, survivants ✓</w:t>
            </w:r>
          </w:p>
        </w:tc>
      </w:tr>
      <w:tr w:rsidR="003C12C0" w14:paraId="190F8611"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60C" w14:textId="77777777" w:rsidR="003C12C0" w:rsidRDefault="00000000">
            <w:pPr>
              <w:pStyle w:val="TableText"/>
            </w:pPr>
            <w:r>
              <w:t>Régime des magistrats civils</w:t>
            </w:r>
          </w:p>
        </w:tc>
        <w:tc>
          <w:tcPr>
            <w:tcW w:w="0" w:type="auto"/>
            <w:tcBorders>
              <w:top w:val="single" w:sz="4" w:space="0" w:color="000000"/>
              <w:left w:val="single" w:sz="4" w:space="0" w:color="000000"/>
              <w:bottom w:val="single" w:sz="4" w:space="0" w:color="000000"/>
              <w:right w:val="single" w:sz="4" w:space="0" w:color="000000"/>
            </w:tcBorders>
          </w:tcPr>
          <w:p w14:paraId="190F860D" w14:textId="77777777" w:rsidR="003C12C0" w:rsidRDefault="00000000">
            <w:pPr>
              <w:pStyle w:val="TableText"/>
            </w:pPr>
            <w:r>
              <w:t>Magistrats du siège et du parquet</w:t>
            </w:r>
          </w:p>
        </w:tc>
        <w:tc>
          <w:tcPr>
            <w:tcW w:w="0" w:type="auto"/>
            <w:tcBorders>
              <w:top w:val="single" w:sz="4" w:space="0" w:color="000000"/>
              <w:left w:val="single" w:sz="4" w:space="0" w:color="000000"/>
              <w:bottom w:val="single" w:sz="4" w:space="0" w:color="000000"/>
              <w:right w:val="single" w:sz="4" w:space="0" w:color="000000"/>
            </w:tcBorders>
          </w:tcPr>
          <w:p w14:paraId="190F860E" w14:textId="77777777" w:rsidR="003C12C0" w:rsidRDefault="00000000">
            <w:pPr>
              <w:pStyle w:val="TableText"/>
              <w:jc w:val="center"/>
            </w:pPr>
            <w:r>
              <w:t>Allocation budgétaire</w:t>
            </w:r>
          </w:p>
        </w:tc>
        <w:tc>
          <w:tcPr>
            <w:tcW w:w="0" w:type="auto"/>
            <w:tcBorders>
              <w:top w:val="single" w:sz="4" w:space="0" w:color="000000"/>
              <w:left w:val="single" w:sz="4" w:space="0" w:color="000000"/>
              <w:bottom w:val="single" w:sz="4" w:space="0" w:color="000000"/>
              <w:right w:val="single" w:sz="4" w:space="0" w:color="000000"/>
            </w:tcBorders>
          </w:tcPr>
          <w:p w14:paraId="190F860F" w14:textId="77777777" w:rsidR="003C12C0" w:rsidRDefault="00000000">
            <w:pPr>
              <w:pStyle w:val="TableText"/>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190F8610" w14:textId="77777777" w:rsidR="003C12C0" w:rsidRDefault="00000000">
            <w:pPr>
              <w:pStyle w:val="TableText"/>
              <w:jc w:val="center"/>
            </w:pPr>
            <w:r>
              <w:t>Vieillesse ✓, survivants ✓</w:t>
            </w:r>
          </w:p>
        </w:tc>
      </w:tr>
      <w:tr w:rsidR="003C12C0" w14:paraId="190F8617"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612" w14:textId="77777777" w:rsidR="003C12C0" w:rsidRDefault="00000000">
            <w:pPr>
              <w:pStyle w:val="TableText"/>
            </w:pPr>
            <w:r>
              <w:t>Régime des parlementaires</w:t>
            </w:r>
          </w:p>
        </w:tc>
        <w:tc>
          <w:tcPr>
            <w:tcW w:w="0" w:type="auto"/>
            <w:tcBorders>
              <w:top w:val="single" w:sz="4" w:space="0" w:color="000000"/>
              <w:left w:val="single" w:sz="4" w:space="0" w:color="000000"/>
              <w:bottom w:val="single" w:sz="4" w:space="0" w:color="000000"/>
              <w:right w:val="single" w:sz="4" w:space="0" w:color="000000"/>
            </w:tcBorders>
          </w:tcPr>
          <w:p w14:paraId="190F8613" w14:textId="77777777" w:rsidR="003C12C0" w:rsidRDefault="00000000">
            <w:pPr>
              <w:pStyle w:val="TableText"/>
            </w:pPr>
            <w:r>
              <w:t>Membres de l'Assemblée nationale et du Sénat</w:t>
            </w:r>
          </w:p>
        </w:tc>
        <w:tc>
          <w:tcPr>
            <w:tcW w:w="0" w:type="auto"/>
            <w:tcBorders>
              <w:top w:val="single" w:sz="4" w:space="0" w:color="000000"/>
              <w:left w:val="single" w:sz="4" w:space="0" w:color="000000"/>
              <w:bottom w:val="single" w:sz="4" w:space="0" w:color="000000"/>
              <w:right w:val="single" w:sz="4" w:space="0" w:color="000000"/>
            </w:tcBorders>
          </w:tcPr>
          <w:p w14:paraId="190F8614" w14:textId="77777777" w:rsidR="003C12C0" w:rsidRDefault="00000000">
            <w:pPr>
              <w:pStyle w:val="TableText"/>
              <w:jc w:val="center"/>
            </w:pPr>
            <w:r>
              <w:t>Cotisations + dotation</w:t>
            </w:r>
          </w:p>
        </w:tc>
        <w:tc>
          <w:tcPr>
            <w:tcW w:w="0" w:type="auto"/>
            <w:tcBorders>
              <w:top w:val="single" w:sz="4" w:space="0" w:color="000000"/>
              <w:left w:val="single" w:sz="4" w:space="0" w:color="000000"/>
              <w:bottom w:val="single" w:sz="4" w:space="0" w:color="000000"/>
              <w:right w:val="single" w:sz="4" w:space="0" w:color="000000"/>
            </w:tcBorders>
          </w:tcPr>
          <w:p w14:paraId="190F8615" w14:textId="77777777" w:rsidR="003C12C0" w:rsidRDefault="00000000">
            <w:pPr>
              <w:pStyle w:val="TableText"/>
              <w:jc w:val="center"/>
            </w:pPr>
            <w:r>
              <w:t>Mixte</w:t>
            </w:r>
          </w:p>
        </w:tc>
        <w:tc>
          <w:tcPr>
            <w:tcW w:w="0" w:type="auto"/>
            <w:tcBorders>
              <w:top w:val="single" w:sz="4" w:space="0" w:color="000000"/>
              <w:left w:val="single" w:sz="4" w:space="0" w:color="000000"/>
              <w:bottom w:val="single" w:sz="4" w:space="0" w:color="000000"/>
              <w:right w:val="single" w:sz="4" w:space="0" w:color="000000"/>
            </w:tcBorders>
          </w:tcPr>
          <w:p w14:paraId="190F8616" w14:textId="77777777" w:rsidR="003C12C0" w:rsidRDefault="00000000">
            <w:pPr>
              <w:pStyle w:val="TableText"/>
              <w:jc w:val="center"/>
            </w:pPr>
            <w:r>
              <w:t>Vieillesse ✓, survivants ✓</w:t>
            </w:r>
          </w:p>
        </w:tc>
      </w:tr>
      <w:tr w:rsidR="003C12C0" w14:paraId="190F861D"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618" w14:textId="77777777" w:rsidR="003C12C0" w:rsidRDefault="00000000">
            <w:pPr>
              <w:pStyle w:val="TableText"/>
            </w:pPr>
            <w:r>
              <w:t>Autres régimes budgétaires</w:t>
            </w:r>
          </w:p>
        </w:tc>
        <w:tc>
          <w:tcPr>
            <w:tcW w:w="0" w:type="auto"/>
            <w:tcBorders>
              <w:top w:val="single" w:sz="4" w:space="0" w:color="000000"/>
              <w:left w:val="single" w:sz="4" w:space="0" w:color="000000"/>
              <w:bottom w:val="single" w:sz="4" w:space="0" w:color="000000"/>
              <w:right w:val="single" w:sz="4" w:space="0" w:color="000000"/>
            </w:tcBorders>
          </w:tcPr>
          <w:p w14:paraId="190F8619" w14:textId="77777777" w:rsidR="003C12C0" w:rsidRDefault="00000000">
            <w:pPr>
              <w:pStyle w:val="TableText"/>
            </w:pPr>
            <w:r>
              <w:t>Autres catégories spécifiques</w:t>
            </w:r>
          </w:p>
        </w:tc>
        <w:tc>
          <w:tcPr>
            <w:tcW w:w="0" w:type="auto"/>
            <w:tcBorders>
              <w:top w:val="single" w:sz="4" w:space="0" w:color="000000"/>
              <w:left w:val="single" w:sz="4" w:space="0" w:color="000000"/>
              <w:bottom w:val="single" w:sz="4" w:space="0" w:color="000000"/>
              <w:right w:val="single" w:sz="4" w:space="0" w:color="000000"/>
            </w:tcBorders>
          </w:tcPr>
          <w:p w14:paraId="190F861A" w14:textId="77777777" w:rsidR="003C12C0" w:rsidRDefault="00000000">
            <w:pPr>
              <w:pStyle w:val="TableText"/>
              <w:jc w:val="center"/>
            </w:pPr>
            <w:r>
              <w:t>Allocation budgétaire</w:t>
            </w:r>
          </w:p>
        </w:tc>
        <w:tc>
          <w:tcPr>
            <w:tcW w:w="0" w:type="auto"/>
            <w:tcBorders>
              <w:top w:val="single" w:sz="4" w:space="0" w:color="000000"/>
              <w:left w:val="single" w:sz="4" w:space="0" w:color="000000"/>
              <w:bottom w:val="single" w:sz="4" w:space="0" w:color="000000"/>
              <w:right w:val="single" w:sz="4" w:space="0" w:color="000000"/>
            </w:tcBorders>
          </w:tcPr>
          <w:p w14:paraId="190F861B" w14:textId="77777777" w:rsidR="003C12C0" w:rsidRDefault="00000000">
            <w:pPr>
              <w:pStyle w:val="TableText"/>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190F861C" w14:textId="77777777" w:rsidR="003C12C0" w:rsidRDefault="00000000">
            <w:pPr>
              <w:pStyle w:val="TableText"/>
              <w:jc w:val="center"/>
            </w:pPr>
            <w:r>
              <w:t>À préciser</w:t>
            </w:r>
          </w:p>
        </w:tc>
      </w:tr>
    </w:tbl>
    <w:p w14:paraId="190F861E" w14:textId="77777777" w:rsidR="003C12C0" w:rsidRDefault="00000000">
      <w:pPr>
        <w:pStyle w:val="TableNoteSource"/>
      </w:pPr>
      <w:r>
        <w:t>Légende : ✓ = branche couverte de façon effective.</w:t>
      </w:r>
      <w:r>
        <w:br/>
        <w:t>Note : les branches couvertes par les régimes spéciaux sont identifiées sur base du premier bulletin (2023). La collecte des données effectives fera l'objet de démarches spécifiques dans le cadre du présent bulletin.</w:t>
      </w:r>
      <w:r>
        <w:br/>
        <w:t>Source : Premier bulletin RDC (2023)</w:t>
      </w:r>
      <w:r>
        <w:rPr>
          <w:rStyle w:val="FootnoteReference"/>
        </w:rPr>
        <w:footnoteReference w:id="53"/>
      </w:r>
    </w:p>
    <w:p w14:paraId="190F861F" w14:textId="77777777" w:rsidR="003C12C0" w:rsidRDefault="00000000">
      <w:pPr>
        <w:pStyle w:val="Heading3"/>
      </w:pPr>
      <w:bookmarkStart w:id="46" w:name="protection-de-la-sante-non-valide"/>
      <w:bookmarkEnd w:id="44"/>
      <w:r>
        <w:lastRenderedPageBreak/>
        <w:t>Protection de la santé</w:t>
      </w:r>
    </w:p>
    <w:p w14:paraId="190F8620" w14:textId="77777777" w:rsidR="003C12C0" w:rsidRDefault="00000000">
      <w:r>
        <w:t xml:space="preserve">La protection de la santé est organisée par segment de population. L'axe principal est la </w:t>
      </w:r>
      <w:r>
        <w:rPr>
          <w:b/>
          <w:bCs/>
        </w:rPr>
        <w:t>population bénéficiaire</w:t>
      </w:r>
      <w:r>
        <w:t>, ce qui permet de visualiser les lacunes de couverture entre segments.</w:t>
      </w:r>
    </w:p>
    <w:p w14:paraId="190F8621" w14:textId="77777777" w:rsidR="003C12C0" w:rsidRDefault="00000000">
      <w:pPr>
        <w:pStyle w:val="TableTitle"/>
      </w:pPr>
      <w:bookmarkStart w:id="47" w:name="_Toc234324540"/>
      <w:r>
        <w:t>Tableau 2.3 — Protection de la santé par segment de population</w:t>
      </w:r>
      <w:bookmarkEnd w:id="47"/>
    </w:p>
    <w:tbl>
      <w:tblPr>
        <w:tblStyle w:val="ILOTable"/>
        <w:tblW w:w="5000" w:type="pct"/>
        <w:tblLook w:val="0020" w:firstRow="1" w:lastRow="0" w:firstColumn="0" w:lastColumn="0" w:noHBand="0" w:noVBand="0"/>
      </w:tblPr>
      <w:tblGrid>
        <w:gridCol w:w="1827"/>
        <w:gridCol w:w="2060"/>
        <w:gridCol w:w="1122"/>
        <w:gridCol w:w="1179"/>
        <w:gridCol w:w="1662"/>
        <w:gridCol w:w="1210"/>
      </w:tblGrid>
      <w:tr w:rsidR="003C12C0" w14:paraId="190F8628"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622" w14:textId="77777777" w:rsidR="003C12C0" w:rsidRDefault="00000000">
            <w:pPr>
              <w:pStyle w:val="TableHeader"/>
            </w:pPr>
            <w:r>
              <w:t>Segment de population</w:t>
            </w:r>
          </w:p>
        </w:tc>
        <w:tc>
          <w:tcPr>
            <w:tcW w:w="0" w:type="auto"/>
            <w:tcBorders>
              <w:top w:val="single" w:sz="4" w:space="0" w:color="000000"/>
              <w:left w:val="single" w:sz="4" w:space="0" w:color="000000"/>
              <w:bottom w:val="single" w:sz="4" w:space="0" w:color="000000"/>
              <w:right w:val="single" w:sz="4" w:space="0" w:color="000000"/>
            </w:tcBorders>
          </w:tcPr>
          <w:p w14:paraId="190F8623" w14:textId="77777777" w:rsidR="003C12C0" w:rsidRDefault="00000000">
            <w:pPr>
              <w:pStyle w:val="TableHeader"/>
            </w:pPr>
            <w:r>
              <w:t>Dispositif</w:t>
            </w:r>
          </w:p>
        </w:tc>
        <w:tc>
          <w:tcPr>
            <w:tcW w:w="0" w:type="auto"/>
            <w:tcBorders>
              <w:top w:val="single" w:sz="4" w:space="0" w:color="000000"/>
              <w:left w:val="single" w:sz="4" w:space="0" w:color="000000"/>
              <w:bottom w:val="single" w:sz="4" w:space="0" w:color="000000"/>
              <w:right w:val="single" w:sz="4" w:space="0" w:color="000000"/>
            </w:tcBorders>
          </w:tcPr>
          <w:p w14:paraId="190F8624" w14:textId="77777777" w:rsidR="003C12C0" w:rsidRDefault="00000000">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190F8625" w14:textId="77777777" w:rsidR="003C12C0" w:rsidRDefault="00000000">
            <w:pPr>
              <w:pStyle w:val="TableHeader"/>
              <w:jc w:val="center"/>
            </w:pPr>
            <w:r>
              <w:t>Caractère</w:t>
            </w:r>
          </w:p>
        </w:tc>
        <w:tc>
          <w:tcPr>
            <w:tcW w:w="0" w:type="auto"/>
            <w:tcBorders>
              <w:top w:val="single" w:sz="4" w:space="0" w:color="000000"/>
              <w:left w:val="single" w:sz="4" w:space="0" w:color="000000"/>
              <w:bottom w:val="single" w:sz="4" w:space="0" w:color="000000"/>
              <w:right w:val="single" w:sz="4" w:space="0" w:color="000000"/>
            </w:tcBorders>
          </w:tcPr>
          <w:p w14:paraId="190F8626" w14:textId="77777777" w:rsidR="003C12C0" w:rsidRDefault="00000000">
            <w:pPr>
              <w:pStyle w:val="TableHeader"/>
              <w:jc w:val="center"/>
            </w:pPr>
            <w:r>
              <w:t>Mode de financement</w:t>
            </w:r>
          </w:p>
        </w:tc>
        <w:tc>
          <w:tcPr>
            <w:tcW w:w="0" w:type="auto"/>
            <w:tcBorders>
              <w:top w:val="single" w:sz="4" w:space="0" w:color="000000"/>
              <w:left w:val="single" w:sz="4" w:space="0" w:color="000000"/>
              <w:bottom w:val="single" w:sz="4" w:space="0" w:color="000000"/>
              <w:right w:val="single" w:sz="4" w:space="0" w:color="000000"/>
            </w:tcBorders>
          </w:tcPr>
          <w:p w14:paraId="190F8627" w14:textId="77777777" w:rsidR="003C12C0" w:rsidRDefault="00000000">
            <w:pPr>
              <w:pStyle w:val="TableHeader"/>
              <w:jc w:val="center"/>
            </w:pPr>
            <w:r>
              <w:t>Statut du dispositif</w:t>
            </w:r>
          </w:p>
        </w:tc>
      </w:tr>
      <w:tr w:rsidR="003C12C0" w14:paraId="190F862F"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629" w14:textId="77777777" w:rsidR="003C12C0" w:rsidRDefault="00000000">
            <w:pPr>
              <w:pStyle w:val="TableText"/>
            </w:pPr>
            <w:r>
              <w:t>Travailleurs privé formel + dépendants</w:t>
            </w:r>
          </w:p>
        </w:tc>
        <w:tc>
          <w:tcPr>
            <w:tcW w:w="0" w:type="auto"/>
            <w:tcBorders>
              <w:top w:val="single" w:sz="4" w:space="0" w:color="000000"/>
              <w:left w:val="single" w:sz="4" w:space="0" w:color="000000"/>
              <w:bottom w:val="single" w:sz="4" w:space="0" w:color="000000"/>
              <w:right w:val="single" w:sz="4" w:space="0" w:color="000000"/>
            </w:tcBorders>
          </w:tcPr>
          <w:p w14:paraId="190F862A" w14:textId="77777777" w:rsidR="003C12C0" w:rsidRDefault="00000000">
            <w:pPr>
              <w:pStyle w:val="TableText"/>
            </w:pPr>
            <w:r>
              <w:t>FSS — Afia Bora (paquet de base obligatoire)</w:t>
            </w:r>
            <w:r>
              <w:rPr>
                <w:rStyle w:val="FootnoteReference"/>
              </w:rPr>
              <w:footnoteReference w:id="54"/>
            </w:r>
            <w:r>
              <w:t xml:space="preserve"> [1]</w:t>
            </w:r>
            <w:r>
              <w:rPr>
                <w:rStyle w:val="FootnoteReference"/>
              </w:rPr>
              <w:footnoteReference w:id="55"/>
            </w:r>
          </w:p>
        </w:tc>
        <w:tc>
          <w:tcPr>
            <w:tcW w:w="0" w:type="auto"/>
            <w:tcBorders>
              <w:top w:val="single" w:sz="4" w:space="0" w:color="000000"/>
              <w:left w:val="single" w:sz="4" w:space="0" w:color="000000"/>
              <w:bottom w:val="single" w:sz="4" w:space="0" w:color="000000"/>
              <w:right w:val="single" w:sz="4" w:space="0" w:color="000000"/>
            </w:tcBorders>
          </w:tcPr>
          <w:p w14:paraId="190F862B" w14:textId="77777777" w:rsidR="003C12C0" w:rsidRDefault="00000000">
            <w:pPr>
              <w:pStyle w:val="TableText"/>
            </w:pPr>
            <w:r>
              <w:t>FSS</w:t>
            </w:r>
          </w:p>
        </w:tc>
        <w:tc>
          <w:tcPr>
            <w:tcW w:w="0" w:type="auto"/>
            <w:tcBorders>
              <w:top w:val="single" w:sz="4" w:space="0" w:color="000000"/>
              <w:left w:val="single" w:sz="4" w:space="0" w:color="000000"/>
              <w:bottom w:val="single" w:sz="4" w:space="0" w:color="000000"/>
              <w:right w:val="single" w:sz="4" w:space="0" w:color="000000"/>
            </w:tcBorders>
          </w:tcPr>
          <w:p w14:paraId="190F862C" w14:textId="77777777" w:rsidR="003C12C0" w:rsidRDefault="00000000">
            <w:pPr>
              <w:pStyle w:val="TableText"/>
              <w:jc w:val="center"/>
            </w:pPr>
            <w:r>
              <w:t>Obligatoire</w:t>
            </w:r>
          </w:p>
        </w:tc>
        <w:tc>
          <w:tcPr>
            <w:tcW w:w="0" w:type="auto"/>
            <w:tcBorders>
              <w:top w:val="single" w:sz="4" w:space="0" w:color="000000"/>
              <w:left w:val="single" w:sz="4" w:space="0" w:color="000000"/>
              <w:bottom w:val="single" w:sz="4" w:space="0" w:color="000000"/>
              <w:right w:val="single" w:sz="4" w:space="0" w:color="000000"/>
            </w:tcBorders>
          </w:tcPr>
          <w:p w14:paraId="190F862D" w14:textId="77777777" w:rsidR="003C12C0" w:rsidRDefault="00000000">
            <w:pPr>
              <w:pStyle w:val="TableText"/>
              <w:jc w:val="center"/>
            </w:pPr>
            <w:r>
              <w:t>Cotisations employeur/salarié</w:t>
            </w:r>
          </w:p>
        </w:tc>
        <w:tc>
          <w:tcPr>
            <w:tcW w:w="0" w:type="auto"/>
            <w:tcBorders>
              <w:top w:val="single" w:sz="4" w:space="0" w:color="000000"/>
              <w:left w:val="single" w:sz="4" w:space="0" w:color="000000"/>
              <w:bottom w:val="single" w:sz="4" w:space="0" w:color="000000"/>
              <w:right w:val="single" w:sz="4" w:space="0" w:color="000000"/>
            </w:tcBorders>
          </w:tcPr>
          <w:p w14:paraId="190F862E" w14:textId="77777777" w:rsidR="003C12C0" w:rsidRDefault="00000000">
            <w:pPr>
              <w:pStyle w:val="TableText"/>
              <w:jc w:val="center"/>
            </w:pPr>
            <w:r>
              <w:t>Opérationnel (2026)</w:t>
            </w:r>
          </w:p>
        </w:tc>
      </w:tr>
      <w:tr w:rsidR="003C12C0" w14:paraId="190F8636"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630" w14:textId="77777777" w:rsidR="003C12C0" w:rsidRDefault="00000000">
            <w:pPr>
              <w:pStyle w:val="TableText"/>
            </w:pPr>
            <w:r>
              <w:t>Travailleurs informels + dépendants</w:t>
            </w:r>
          </w:p>
        </w:tc>
        <w:tc>
          <w:tcPr>
            <w:tcW w:w="0" w:type="auto"/>
            <w:tcBorders>
              <w:top w:val="single" w:sz="4" w:space="0" w:color="000000"/>
              <w:left w:val="single" w:sz="4" w:space="0" w:color="000000"/>
              <w:bottom w:val="single" w:sz="4" w:space="0" w:color="000000"/>
              <w:right w:val="single" w:sz="4" w:space="0" w:color="000000"/>
            </w:tcBorders>
          </w:tcPr>
          <w:p w14:paraId="190F8631" w14:textId="77777777" w:rsidR="003C12C0" w:rsidRDefault="00000000">
            <w:pPr>
              <w:pStyle w:val="TableText"/>
            </w:pPr>
            <w:r>
              <w:t>FSS — régime informel [1]</w:t>
            </w:r>
            <w:r>
              <w:rPr>
                <w:rStyle w:val="FootnoteReference"/>
              </w:rPr>
              <w:footnoteReference w:id="56"/>
            </w:r>
          </w:p>
        </w:tc>
        <w:tc>
          <w:tcPr>
            <w:tcW w:w="0" w:type="auto"/>
            <w:tcBorders>
              <w:top w:val="single" w:sz="4" w:space="0" w:color="000000"/>
              <w:left w:val="single" w:sz="4" w:space="0" w:color="000000"/>
              <w:bottom w:val="single" w:sz="4" w:space="0" w:color="000000"/>
              <w:right w:val="single" w:sz="4" w:space="0" w:color="000000"/>
            </w:tcBorders>
          </w:tcPr>
          <w:p w14:paraId="190F8632" w14:textId="77777777" w:rsidR="003C12C0" w:rsidRDefault="00000000">
            <w:pPr>
              <w:pStyle w:val="TableText"/>
            </w:pPr>
            <w:r>
              <w:t>FSS</w:t>
            </w:r>
          </w:p>
        </w:tc>
        <w:tc>
          <w:tcPr>
            <w:tcW w:w="0" w:type="auto"/>
            <w:tcBorders>
              <w:top w:val="single" w:sz="4" w:space="0" w:color="000000"/>
              <w:left w:val="single" w:sz="4" w:space="0" w:color="000000"/>
              <w:bottom w:val="single" w:sz="4" w:space="0" w:color="000000"/>
              <w:right w:val="single" w:sz="4" w:space="0" w:color="000000"/>
            </w:tcBorders>
          </w:tcPr>
          <w:p w14:paraId="190F8633" w14:textId="77777777" w:rsidR="003C12C0" w:rsidRDefault="00000000">
            <w:pPr>
              <w:pStyle w:val="TableText"/>
              <w:jc w:val="center"/>
            </w:pPr>
            <w:r>
              <w:t>À confirmer</w:t>
            </w:r>
          </w:p>
        </w:tc>
        <w:tc>
          <w:tcPr>
            <w:tcW w:w="0" w:type="auto"/>
            <w:tcBorders>
              <w:top w:val="single" w:sz="4" w:space="0" w:color="000000"/>
              <w:left w:val="single" w:sz="4" w:space="0" w:color="000000"/>
              <w:bottom w:val="single" w:sz="4" w:space="0" w:color="000000"/>
              <w:right w:val="single" w:sz="4" w:space="0" w:color="000000"/>
            </w:tcBorders>
          </w:tcPr>
          <w:p w14:paraId="190F8634" w14:textId="77777777" w:rsidR="003C12C0" w:rsidRDefault="00000000">
            <w:pPr>
              <w:pStyle w:val="TableText"/>
              <w:jc w:val="center"/>
            </w:pPr>
            <w:r>
              <w:t>À confirmer</w:t>
            </w:r>
          </w:p>
        </w:tc>
        <w:tc>
          <w:tcPr>
            <w:tcW w:w="0" w:type="auto"/>
            <w:tcBorders>
              <w:top w:val="single" w:sz="4" w:space="0" w:color="000000"/>
              <w:left w:val="single" w:sz="4" w:space="0" w:color="000000"/>
              <w:bottom w:val="single" w:sz="4" w:space="0" w:color="000000"/>
              <w:right w:val="single" w:sz="4" w:space="0" w:color="000000"/>
            </w:tcBorders>
          </w:tcPr>
          <w:p w14:paraId="190F8635" w14:textId="77777777" w:rsidR="003C12C0" w:rsidRDefault="00000000">
            <w:pPr>
              <w:pStyle w:val="TableText"/>
              <w:jc w:val="center"/>
            </w:pPr>
            <w:r>
              <w:t>En déploiement</w:t>
            </w:r>
          </w:p>
        </w:tc>
      </w:tr>
      <w:tr w:rsidR="003C12C0" w14:paraId="190F863D"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637" w14:textId="77777777" w:rsidR="003C12C0" w:rsidRDefault="00000000">
            <w:pPr>
              <w:pStyle w:val="TableText"/>
            </w:pPr>
            <w:r>
              <w:t>Mères et nouveau-nés</w:t>
            </w:r>
          </w:p>
        </w:tc>
        <w:tc>
          <w:tcPr>
            <w:tcW w:w="0" w:type="auto"/>
            <w:tcBorders>
              <w:top w:val="single" w:sz="4" w:space="0" w:color="000000"/>
              <w:left w:val="single" w:sz="4" w:space="0" w:color="000000"/>
              <w:bottom w:val="single" w:sz="4" w:space="0" w:color="000000"/>
              <w:right w:val="single" w:sz="4" w:space="0" w:color="000000"/>
            </w:tcBorders>
          </w:tcPr>
          <w:p w14:paraId="190F8638" w14:textId="77777777" w:rsidR="003C12C0" w:rsidRDefault="00000000">
            <w:pPr>
              <w:pStyle w:val="TableText"/>
            </w:pPr>
            <w:r>
              <w:t>FSS — Kobota Ofele (gratuité maternité) [1]</w:t>
            </w:r>
            <w:r>
              <w:rPr>
                <w:rStyle w:val="FootnoteReference"/>
              </w:rPr>
              <w:footnoteReference w:id="57"/>
            </w:r>
          </w:p>
        </w:tc>
        <w:tc>
          <w:tcPr>
            <w:tcW w:w="0" w:type="auto"/>
            <w:tcBorders>
              <w:top w:val="single" w:sz="4" w:space="0" w:color="000000"/>
              <w:left w:val="single" w:sz="4" w:space="0" w:color="000000"/>
              <w:bottom w:val="single" w:sz="4" w:space="0" w:color="000000"/>
              <w:right w:val="single" w:sz="4" w:space="0" w:color="000000"/>
            </w:tcBorders>
          </w:tcPr>
          <w:p w14:paraId="190F8639" w14:textId="77777777" w:rsidR="003C12C0" w:rsidRDefault="00000000">
            <w:pPr>
              <w:pStyle w:val="TableText"/>
            </w:pPr>
            <w:r>
              <w:t>FSS / État</w:t>
            </w:r>
          </w:p>
        </w:tc>
        <w:tc>
          <w:tcPr>
            <w:tcW w:w="0" w:type="auto"/>
            <w:tcBorders>
              <w:top w:val="single" w:sz="4" w:space="0" w:color="000000"/>
              <w:left w:val="single" w:sz="4" w:space="0" w:color="000000"/>
              <w:bottom w:val="single" w:sz="4" w:space="0" w:color="000000"/>
              <w:right w:val="single" w:sz="4" w:space="0" w:color="000000"/>
            </w:tcBorders>
          </w:tcPr>
          <w:p w14:paraId="190F863A" w14:textId="77777777" w:rsidR="003C12C0" w:rsidRDefault="00000000">
            <w:pPr>
              <w:pStyle w:val="TableText"/>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190F863B" w14:textId="77777777" w:rsidR="003C12C0" w:rsidRDefault="00000000">
            <w:pPr>
              <w:pStyle w:val="TableText"/>
              <w:jc w:val="center"/>
            </w:pPr>
            <w:r>
              <w:t>Financement État</w:t>
            </w:r>
          </w:p>
        </w:tc>
        <w:tc>
          <w:tcPr>
            <w:tcW w:w="0" w:type="auto"/>
            <w:tcBorders>
              <w:top w:val="single" w:sz="4" w:space="0" w:color="000000"/>
              <w:left w:val="single" w:sz="4" w:space="0" w:color="000000"/>
              <w:bottom w:val="single" w:sz="4" w:space="0" w:color="000000"/>
              <w:right w:val="single" w:sz="4" w:space="0" w:color="000000"/>
            </w:tcBorders>
          </w:tcPr>
          <w:p w14:paraId="190F863C" w14:textId="77777777" w:rsidR="003C12C0" w:rsidRDefault="00000000">
            <w:pPr>
              <w:pStyle w:val="TableText"/>
              <w:jc w:val="center"/>
            </w:pPr>
            <w:r>
              <w:t>Opérationnel (2026)</w:t>
            </w:r>
          </w:p>
        </w:tc>
      </w:tr>
      <w:tr w:rsidR="003C12C0" w14:paraId="190F8644"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63E" w14:textId="77777777" w:rsidR="003C12C0" w:rsidRDefault="00000000">
            <w:pPr>
              <w:pStyle w:val="TableText"/>
            </w:pPr>
            <w:r>
              <w:t>Couverture complémentaire</w:t>
            </w:r>
          </w:p>
        </w:tc>
        <w:tc>
          <w:tcPr>
            <w:tcW w:w="0" w:type="auto"/>
            <w:tcBorders>
              <w:top w:val="single" w:sz="4" w:space="0" w:color="000000"/>
              <w:left w:val="single" w:sz="4" w:space="0" w:color="000000"/>
              <w:bottom w:val="single" w:sz="4" w:space="0" w:color="000000"/>
              <w:right w:val="single" w:sz="4" w:space="0" w:color="000000"/>
            </w:tcBorders>
          </w:tcPr>
          <w:p w14:paraId="190F863F" w14:textId="77777777" w:rsidR="003C12C0" w:rsidRDefault="00000000">
            <w:pPr>
              <w:pStyle w:val="TableText"/>
            </w:pPr>
            <w:r>
              <w:t>FSS — Afia Bora Prime [1]</w:t>
            </w:r>
            <w:r>
              <w:rPr>
                <w:rStyle w:val="FootnoteReference"/>
              </w:rPr>
              <w:footnoteReference w:id="58"/>
            </w:r>
          </w:p>
        </w:tc>
        <w:tc>
          <w:tcPr>
            <w:tcW w:w="0" w:type="auto"/>
            <w:tcBorders>
              <w:top w:val="single" w:sz="4" w:space="0" w:color="000000"/>
              <w:left w:val="single" w:sz="4" w:space="0" w:color="000000"/>
              <w:bottom w:val="single" w:sz="4" w:space="0" w:color="000000"/>
              <w:right w:val="single" w:sz="4" w:space="0" w:color="000000"/>
            </w:tcBorders>
          </w:tcPr>
          <w:p w14:paraId="190F8640" w14:textId="77777777" w:rsidR="003C12C0" w:rsidRDefault="00000000">
            <w:pPr>
              <w:pStyle w:val="TableText"/>
            </w:pPr>
            <w:r>
              <w:t>FSS</w:t>
            </w:r>
          </w:p>
        </w:tc>
        <w:tc>
          <w:tcPr>
            <w:tcW w:w="0" w:type="auto"/>
            <w:tcBorders>
              <w:top w:val="single" w:sz="4" w:space="0" w:color="000000"/>
              <w:left w:val="single" w:sz="4" w:space="0" w:color="000000"/>
              <w:bottom w:val="single" w:sz="4" w:space="0" w:color="000000"/>
              <w:right w:val="single" w:sz="4" w:space="0" w:color="000000"/>
            </w:tcBorders>
          </w:tcPr>
          <w:p w14:paraId="190F8641" w14:textId="77777777" w:rsidR="003C12C0" w:rsidRDefault="00000000">
            <w:pPr>
              <w:pStyle w:val="TableText"/>
              <w:jc w:val="center"/>
            </w:pPr>
            <w:r>
              <w:t>Volontaire</w:t>
            </w:r>
          </w:p>
        </w:tc>
        <w:tc>
          <w:tcPr>
            <w:tcW w:w="0" w:type="auto"/>
            <w:tcBorders>
              <w:top w:val="single" w:sz="4" w:space="0" w:color="000000"/>
              <w:left w:val="single" w:sz="4" w:space="0" w:color="000000"/>
              <w:bottom w:val="single" w:sz="4" w:space="0" w:color="000000"/>
              <w:right w:val="single" w:sz="4" w:space="0" w:color="000000"/>
            </w:tcBorders>
          </w:tcPr>
          <w:p w14:paraId="190F8642" w14:textId="77777777" w:rsidR="003C12C0" w:rsidRDefault="00000000">
            <w:pPr>
              <w:pStyle w:val="TableText"/>
              <w:jc w:val="center"/>
            </w:pPr>
            <w:r>
              <w:t>Cotisations</w:t>
            </w:r>
          </w:p>
        </w:tc>
        <w:tc>
          <w:tcPr>
            <w:tcW w:w="0" w:type="auto"/>
            <w:tcBorders>
              <w:top w:val="single" w:sz="4" w:space="0" w:color="000000"/>
              <w:left w:val="single" w:sz="4" w:space="0" w:color="000000"/>
              <w:bottom w:val="single" w:sz="4" w:space="0" w:color="000000"/>
              <w:right w:val="single" w:sz="4" w:space="0" w:color="000000"/>
            </w:tcBorders>
          </w:tcPr>
          <w:p w14:paraId="190F8643" w14:textId="77777777" w:rsidR="003C12C0" w:rsidRDefault="00000000">
            <w:pPr>
              <w:pStyle w:val="TableText"/>
              <w:jc w:val="center"/>
            </w:pPr>
            <w:r>
              <w:t>Opérationnel (2026)</w:t>
            </w:r>
          </w:p>
        </w:tc>
      </w:tr>
      <w:tr w:rsidR="003C12C0" w14:paraId="190F864B"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645" w14:textId="77777777" w:rsidR="003C12C0" w:rsidRDefault="00000000">
            <w:pPr>
              <w:pStyle w:val="TableText"/>
            </w:pPr>
            <w:r>
              <w:t>Enseignants EPST + dépendants</w:t>
            </w:r>
          </w:p>
        </w:tc>
        <w:tc>
          <w:tcPr>
            <w:tcW w:w="0" w:type="auto"/>
            <w:tcBorders>
              <w:top w:val="single" w:sz="4" w:space="0" w:color="000000"/>
              <w:left w:val="single" w:sz="4" w:space="0" w:color="000000"/>
              <w:bottom w:val="single" w:sz="4" w:space="0" w:color="000000"/>
              <w:right w:val="single" w:sz="4" w:space="0" w:color="000000"/>
            </w:tcBorders>
          </w:tcPr>
          <w:p w14:paraId="190F8646" w14:textId="77777777" w:rsidR="003C12C0" w:rsidRDefault="00000000">
            <w:pPr>
              <w:pStyle w:val="TableText"/>
            </w:pPr>
            <w:r>
              <w:t>MESP (Mutuelle agréée) [2]</w:t>
            </w:r>
            <w:r>
              <w:rPr>
                <w:rStyle w:val="FootnoteReference"/>
              </w:rPr>
              <w:footnoteReference w:id="59"/>
            </w:r>
          </w:p>
        </w:tc>
        <w:tc>
          <w:tcPr>
            <w:tcW w:w="0" w:type="auto"/>
            <w:tcBorders>
              <w:top w:val="single" w:sz="4" w:space="0" w:color="000000"/>
              <w:left w:val="single" w:sz="4" w:space="0" w:color="000000"/>
              <w:bottom w:val="single" w:sz="4" w:space="0" w:color="000000"/>
              <w:right w:val="single" w:sz="4" w:space="0" w:color="000000"/>
            </w:tcBorders>
          </w:tcPr>
          <w:p w14:paraId="190F8647" w14:textId="77777777" w:rsidR="003C12C0" w:rsidRDefault="00000000">
            <w:pPr>
              <w:pStyle w:val="TableText"/>
            </w:pPr>
            <w:r>
              <w:t>MESP</w:t>
            </w:r>
          </w:p>
        </w:tc>
        <w:tc>
          <w:tcPr>
            <w:tcW w:w="0" w:type="auto"/>
            <w:tcBorders>
              <w:top w:val="single" w:sz="4" w:space="0" w:color="000000"/>
              <w:left w:val="single" w:sz="4" w:space="0" w:color="000000"/>
              <w:bottom w:val="single" w:sz="4" w:space="0" w:color="000000"/>
              <w:right w:val="single" w:sz="4" w:space="0" w:color="000000"/>
            </w:tcBorders>
          </w:tcPr>
          <w:p w14:paraId="190F8648" w14:textId="77777777" w:rsidR="003C12C0" w:rsidRDefault="00000000">
            <w:pPr>
              <w:pStyle w:val="TableText"/>
              <w:jc w:val="center"/>
            </w:pPr>
            <w:r>
              <w:t>Obligatoire, statutaire</w:t>
            </w:r>
          </w:p>
        </w:tc>
        <w:tc>
          <w:tcPr>
            <w:tcW w:w="0" w:type="auto"/>
            <w:tcBorders>
              <w:top w:val="single" w:sz="4" w:space="0" w:color="000000"/>
              <w:left w:val="single" w:sz="4" w:space="0" w:color="000000"/>
              <w:bottom w:val="single" w:sz="4" w:space="0" w:color="000000"/>
              <w:right w:val="single" w:sz="4" w:space="0" w:color="000000"/>
            </w:tcBorders>
          </w:tcPr>
          <w:p w14:paraId="190F8649" w14:textId="77777777" w:rsidR="003C12C0" w:rsidRDefault="00000000">
            <w:pPr>
              <w:pStyle w:val="TableText"/>
              <w:jc w:val="center"/>
            </w:pPr>
            <w:r>
              <w:t>Cotisations membres + État</w:t>
            </w:r>
          </w:p>
        </w:tc>
        <w:tc>
          <w:tcPr>
            <w:tcW w:w="0" w:type="auto"/>
            <w:tcBorders>
              <w:top w:val="single" w:sz="4" w:space="0" w:color="000000"/>
              <w:left w:val="single" w:sz="4" w:space="0" w:color="000000"/>
              <w:bottom w:val="single" w:sz="4" w:space="0" w:color="000000"/>
              <w:right w:val="single" w:sz="4" w:space="0" w:color="000000"/>
            </w:tcBorders>
          </w:tcPr>
          <w:p w14:paraId="190F864A" w14:textId="77777777" w:rsidR="003C12C0" w:rsidRDefault="00000000">
            <w:pPr>
              <w:pStyle w:val="TableText"/>
              <w:jc w:val="center"/>
            </w:pPr>
            <w:r>
              <w:t>Opérationnel</w:t>
            </w:r>
          </w:p>
        </w:tc>
      </w:tr>
      <w:tr w:rsidR="003C12C0" w14:paraId="190F8652"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64C" w14:textId="77777777" w:rsidR="003C12C0" w:rsidRDefault="00000000">
            <w:pPr>
              <w:pStyle w:val="TableText"/>
            </w:pPr>
            <w:r>
              <w:t>Population générale (volontaire)</w:t>
            </w:r>
          </w:p>
        </w:tc>
        <w:tc>
          <w:tcPr>
            <w:tcW w:w="0" w:type="auto"/>
            <w:tcBorders>
              <w:top w:val="single" w:sz="4" w:space="0" w:color="000000"/>
              <w:left w:val="single" w:sz="4" w:space="0" w:color="000000"/>
              <w:bottom w:val="single" w:sz="4" w:space="0" w:color="000000"/>
              <w:right w:val="single" w:sz="4" w:space="0" w:color="000000"/>
            </w:tcBorders>
          </w:tcPr>
          <w:p w14:paraId="190F864D" w14:textId="77777777" w:rsidR="003C12C0" w:rsidRDefault="00000000">
            <w:pPr>
              <w:pStyle w:val="TableText"/>
            </w:pPr>
            <w:r>
              <w:t>Mutuelles de santé volontaires (&gt; 200)</w:t>
            </w:r>
          </w:p>
        </w:tc>
        <w:tc>
          <w:tcPr>
            <w:tcW w:w="0" w:type="auto"/>
            <w:tcBorders>
              <w:top w:val="single" w:sz="4" w:space="0" w:color="000000"/>
              <w:left w:val="single" w:sz="4" w:space="0" w:color="000000"/>
              <w:bottom w:val="single" w:sz="4" w:space="0" w:color="000000"/>
              <w:right w:val="single" w:sz="4" w:space="0" w:color="000000"/>
            </w:tcBorders>
          </w:tcPr>
          <w:p w14:paraId="190F864E" w14:textId="77777777" w:rsidR="003C12C0" w:rsidRDefault="00000000">
            <w:pPr>
              <w:pStyle w:val="TableText"/>
            </w:pPr>
            <w:r>
              <w:t>Diverses</w:t>
            </w:r>
          </w:p>
        </w:tc>
        <w:tc>
          <w:tcPr>
            <w:tcW w:w="0" w:type="auto"/>
            <w:tcBorders>
              <w:top w:val="single" w:sz="4" w:space="0" w:color="000000"/>
              <w:left w:val="single" w:sz="4" w:space="0" w:color="000000"/>
              <w:bottom w:val="single" w:sz="4" w:space="0" w:color="000000"/>
              <w:right w:val="single" w:sz="4" w:space="0" w:color="000000"/>
            </w:tcBorders>
          </w:tcPr>
          <w:p w14:paraId="190F864F" w14:textId="77777777" w:rsidR="003C12C0" w:rsidRDefault="00000000">
            <w:pPr>
              <w:pStyle w:val="TableText"/>
              <w:jc w:val="center"/>
            </w:pPr>
            <w:r>
              <w:t>Volontaire</w:t>
            </w:r>
          </w:p>
        </w:tc>
        <w:tc>
          <w:tcPr>
            <w:tcW w:w="0" w:type="auto"/>
            <w:tcBorders>
              <w:top w:val="single" w:sz="4" w:space="0" w:color="000000"/>
              <w:left w:val="single" w:sz="4" w:space="0" w:color="000000"/>
              <w:bottom w:val="single" w:sz="4" w:space="0" w:color="000000"/>
              <w:right w:val="single" w:sz="4" w:space="0" w:color="000000"/>
            </w:tcBorders>
          </w:tcPr>
          <w:p w14:paraId="190F8650" w14:textId="77777777" w:rsidR="003C12C0" w:rsidRDefault="00000000">
            <w:pPr>
              <w:pStyle w:val="TableText"/>
              <w:jc w:val="center"/>
            </w:pPr>
            <w:r>
              <w:t>Cotisations membres</w:t>
            </w:r>
          </w:p>
        </w:tc>
        <w:tc>
          <w:tcPr>
            <w:tcW w:w="0" w:type="auto"/>
            <w:tcBorders>
              <w:top w:val="single" w:sz="4" w:space="0" w:color="000000"/>
              <w:left w:val="single" w:sz="4" w:space="0" w:color="000000"/>
              <w:bottom w:val="single" w:sz="4" w:space="0" w:color="000000"/>
              <w:right w:val="single" w:sz="4" w:space="0" w:color="000000"/>
            </w:tcBorders>
          </w:tcPr>
          <w:p w14:paraId="190F8651" w14:textId="77777777" w:rsidR="003C12C0" w:rsidRDefault="00000000">
            <w:pPr>
              <w:pStyle w:val="TableText"/>
              <w:jc w:val="center"/>
            </w:pPr>
            <w:r>
              <w:t>Actif, non consolidé</w:t>
            </w:r>
          </w:p>
        </w:tc>
      </w:tr>
      <w:tr w:rsidR="003C12C0" w14:paraId="190F8659"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653" w14:textId="77777777" w:rsidR="003C12C0" w:rsidRDefault="00000000">
            <w:pPr>
              <w:pStyle w:val="TableText"/>
            </w:pPr>
            <w:r>
              <w:t>Militaires, magistrats + dépendants</w:t>
            </w:r>
          </w:p>
        </w:tc>
        <w:tc>
          <w:tcPr>
            <w:tcW w:w="0" w:type="auto"/>
            <w:tcBorders>
              <w:top w:val="single" w:sz="4" w:space="0" w:color="000000"/>
              <w:left w:val="single" w:sz="4" w:space="0" w:color="000000"/>
              <w:bottom w:val="single" w:sz="4" w:space="0" w:color="000000"/>
              <w:right w:val="single" w:sz="4" w:space="0" w:color="000000"/>
            </w:tcBorders>
          </w:tcPr>
          <w:p w14:paraId="190F8654" w14:textId="77777777" w:rsidR="003C12C0" w:rsidRDefault="00000000">
            <w:pPr>
              <w:pStyle w:val="TableText"/>
            </w:pPr>
            <w:r>
              <w:t>Régime d'assistance médicale de l'État</w:t>
            </w:r>
          </w:p>
        </w:tc>
        <w:tc>
          <w:tcPr>
            <w:tcW w:w="0" w:type="auto"/>
            <w:tcBorders>
              <w:top w:val="single" w:sz="4" w:space="0" w:color="000000"/>
              <w:left w:val="single" w:sz="4" w:space="0" w:color="000000"/>
              <w:bottom w:val="single" w:sz="4" w:space="0" w:color="000000"/>
              <w:right w:val="single" w:sz="4" w:space="0" w:color="000000"/>
            </w:tcBorders>
          </w:tcPr>
          <w:p w14:paraId="190F8655" w14:textId="77777777" w:rsidR="003C12C0" w:rsidRDefault="00000000">
            <w:pPr>
              <w:pStyle w:val="TableText"/>
            </w:pPr>
            <w:r>
              <w:t>Ministère compétent</w:t>
            </w:r>
          </w:p>
        </w:tc>
        <w:tc>
          <w:tcPr>
            <w:tcW w:w="0" w:type="auto"/>
            <w:tcBorders>
              <w:top w:val="single" w:sz="4" w:space="0" w:color="000000"/>
              <w:left w:val="single" w:sz="4" w:space="0" w:color="000000"/>
              <w:bottom w:val="single" w:sz="4" w:space="0" w:color="000000"/>
              <w:right w:val="single" w:sz="4" w:space="0" w:color="000000"/>
            </w:tcBorders>
          </w:tcPr>
          <w:p w14:paraId="190F8656" w14:textId="77777777" w:rsidR="003C12C0" w:rsidRDefault="00000000">
            <w:pPr>
              <w:pStyle w:val="TableText"/>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190F8657" w14:textId="77777777" w:rsidR="003C12C0" w:rsidRDefault="00000000">
            <w:pPr>
              <w:pStyle w:val="TableText"/>
              <w:jc w:val="center"/>
            </w:pPr>
            <w:r>
              <w:t>Allocation budgétaire</w:t>
            </w:r>
          </w:p>
        </w:tc>
        <w:tc>
          <w:tcPr>
            <w:tcW w:w="0" w:type="auto"/>
            <w:tcBorders>
              <w:top w:val="single" w:sz="4" w:space="0" w:color="000000"/>
              <w:left w:val="single" w:sz="4" w:space="0" w:color="000000"/>
              <w:bottom w:val="single" w:sz="4" w:space="0" w:color="000000"/>
              <w:right w:val="single" w:sz="4" w:space="0" w:color="000000"/>
            </w:tcBorders>
          </w:tcPr>
          <w:p w14:paraId="190F8658" w14:textId="77777777" w:rsidR="003C12C0" w:rsidRDefault="00000000">
            <w:pPr>
              <w:pStyle w:val="TableText"/>
              <w:jc w:val="center"/>
            </w:pPr>
            <w:r>
              <w:t>Actif</w:t>
            </w:r>
          </w:p>
        </w:tc>
      </w:tr>
    </w:tbl>
    <w:p w14:paraId="190F865A" w14:textId="77777777" w:rsidR="003C12C0" w:rsidRDefault="00000000">
      <w:pPr>
        <w:pStyle w:val="TableNoteSource"/>
      </w:pPr>
      <w:r>
        <w:rPr>
          <w:i/>
          <w:iCs/>
        </w:rPr>
        <w:t>Légende : Opérationnel = dispositif juridiquement institué et fonctionnant à la date de rédaction — En déploiement = cadre légal adopté, mise en œuvre en cours — Actif = dispositif en activité, données non consolidées au niveau national.</w:t>
      </w:r>
    </w:p>
    <w:p w14:paraId="190F865B" w14:textId="77777777" w:rsidR="003C12C0" w:rsidRDefault="00000000">
      <w:pPr>
        <w:pStyle w:val="TableNoteSource"/>
      </w:pPr>
      <w:r>
        <w:t>Sources : FSS (fss.cd, juin 2026)</w:t>
      </w:r>
      <w:r>
        <w:rPr>
          <w:rStyle w:val="FootnoteReference"/>
        </w:rPr>
        <w:footnoteReference w:id="60"/>
      </w:r>
      <w:r>
        <w:t xml:space="preserve"> · Premier bulletin RDC (2023), tableau 9</w:t>
      </w:r>
      <w:r>
        <w:rPr>
          <w:rStyle w:val="FootnoteReference"/>
        </w:rPr>
        <w:footnoteReference w:id="61"/>
      </w:r>
      <w:r>
        <w:t xml:space="preserve"> · Loi n°18/035 (2018) / Décret n°22/13 (2022)</w:t>
      </w:r>
      <w:r>
        <w:rPr>
          <w:rStyle w:val="FootnoteReference"/>
        </w:rPr>
        <w:footnoteReference w:id="62"/>
      </w:r>
      <w:r>
        <w:br/>
        <w:t>Note : Les mutuelles volontaires ne sont pas incluses dans les indicateurs de couverture du présent bulletin, conformément aux critères définis en section 2.3.</w:t>
      </w:r>
    </w:p>
    <w:p w14:paraId="190F865C" w14:textId="77777777" w:rsidR="003C12C0" w:rsidRDefault="00000000">
      <w:pPr>
        <w:pStyle w:val="Heading3"/>
      </w:pPr>
      <w:bookmarkStart w:id="48" w:name="Xaba88f253074b18ed779c93f80f71a3cba53fb6"/>
      <w:bookmarkEnd w:id="46"/>
      <w:r>
        <w:t>Programmes d'assistance sociale et initiatives non contributives</w:t>
      </w:r>
    </w:p>
    <w:p w14:paraId="190F865D" w14:textId="77777777" w:rsidR="003C12C0" w:rsidRDefault="00000000">
      <w:r>
        <w:t>Les régimes décrits dans les tableaux précédents reposent sur un fondement contributif ou statutaire permanent. Ils ne couvrent cependant qu'une fraction de la population, principalement celle intégrée dans l'emploi formel ou dans des catégories de fonctionnaires identifiées. La grande majorité de la population congolaise — travailleurs informels, ménages ruraux, déplacés, personnes vulnérables — ne bénéficie d'aucun de ces régimes.</w:t>
      </w:r>
    </w:p>
    <w:p w14:paraId="190F865E" w14:textId="77777777" w:rsidR="003C12C0" w:rsidRDefault="00000000">
      <w:r>
        <w:t>La Recommandation no 202 de l'OIT (2012)</w:t>
      </w:r>
      <w:r>
        <w:rPr>
          <w:rStyle w:val="FootnoteReference"/>
        </w:rPr>
        <w:footnoteReference w:id="63"/>
      </w:r>
      <w:r>
        <w:t xml:space="preserve"> définit les </w:t>
      </w:r>
      <w:r>
        <w:rPr>
          <w:b/>
          <w:bCs/>
        </w:rPr>
        <w:t>socles de protection sociale</w:t>
      </w:r>
      <w:r>
        <w:t xml:space="preserve"> comme des garanties élémentaires devant couvrir toute la population, y compris ceux qui ne participent à aucun régime contributif. En RDC, cette fonction est partiellement assurée par un ensemble de </w:t>
      </w:r>
      <w:r>
        <w:rPr>
          <w:b/>
          <w:bCs/>
        </w:rPr>
        <w:lastRenderedPageBreak/>
        <w:t>programmes non contributifs et d'initiatives sectorielles</w:t>
      </w:r>
      <w:r>
        <w:t>, portés soit par le gouvernement, soit par des partenaires techniques et financiers. [Premier bulletin 2023]</w:t>
      </w:r>
      <w:r>
        <w:rPr>
          <w:rStyle w:val="FootnoteReference"/>
        </w:rPr>
        <w:footnoteReference w:id="64"/>
      </w:r>
    </w:p>
    <w:p w14:paraId="190F865F" w14:textId="77777777" w:rsidR="003C12C0" w:rsidRDefault="00000000">
      <w:r>
        <w:t xml:space="preserve">Ces programmes se distinguent des régimes précédents par trois caractéristiques structurelles : ils sont entièrement </w:t>
      </w:r>
      <w:r>
        <w:rPr>
          <w:b/>
          <w:bCs/>
        </w:rPr>
        <w:t>financés par des ressources publiques ou des contributions extérieures</w:t>
      </w:r>
      <w:r>
        <w:t xml:space="preserve">, sans cotisation des bénéficiaires ; ils ne confèrent généralement </w:t>
      </w:r>
      <w:r>
        <w:rPr>
          <w:b/>
          <w:bCs/>
        </w:rPr>
        <w:t>aucun droit statutaire permanent</w:t>
      </w:r>
      <w:r>
        <w:t xml:space="preserve"> susceptible d'être invoqué par les intéressés ; et leur pérennité dépend des décisions budgétaires annuelles ou des cycles de financement des bailleurs. Cette fragilité institutionnelle est une limite importante à leur intégration dans les indicateurs de couverture ; ils sont néanmoins recensés ici car ils constituent, pour les populations concernées, la seule forme de protection sociale accessible.</w:t>
      </w:r>
    </w:p>
    <w:p w14:paraId="190F8660" w14:textId="77777777" w:rsidR="003C12C0" w:rsidRDefault="00000000">
      <w:pPr>
        <w:pStyle w:val="TableTitle"/>
      </w:pPr>
      <w:bookmarkStart w:id="49" w:name="_Toc234324541"/>
      <w:r>
        <w:t>Tableau 2.4 — Programmes d'assistance sociale et initiatives non contributives (actifs au 31.12.2025)</w:t>
      </w:r>
      <w:bookmarkEnd w:id="49"/>
    </w:p>
    <w:tbl>
      <w:tblPr>
        <w:tblStyle w:val="ILOTable"/>
        <w:tblW w:w="5000" w:type="pct"/>
        <w:tblLook w:val="0020" w:firstRow="1" w:lastRow="0" w:firstColumn="0" w:lastColumn="0" w:noHBand="0" w:noVBand="0"/>
      </w:tblPr>
      <w:tblGrid>
        <w:gridCol w:w="1493"/>
        <w:gridCol w:w="1444"/>
        <w:gridCol w:w="1430"/>
        <w:gridCol w:w="1331"/>
        <w:gridCol w:w="1210"/>
        <w:gridCol w:w="1095"/>
        <w:gridCol w:w="1057"/>
      </w:tblGrid>
      <w:tr w:rsidR="003C12C0" w14:paraId="190F8668"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661" w14:textId="77777777" w:rsidR="003C12C0" w:rsidRDefault="00000000">
            <w:pPr>
              <w:pStyle w:val="TableHeader"/>
            </w:pPr>
            <w:r>
              <w:t>Programme</w:t>
            </w:r>
          </w:p>
        </w:tc>
        <w:tc>
          <w:tcPr>
            <w:tcW w:w="0" w:type="auto"/>
            <w:tcBorders>
              <w:top w:val="single" w:sz="4" w:space="0" w:color="000000"/>
              <w:left w:val="single" w:sz="4" w:space="0" w:color="000000"/>
              <w:bottom w:val="single" w:sz="4" w:space="0" w:color="000000"/>
              <w:right w:val="single" w:sz="4" w:space="0" w:color="000000"/>
            </w:tcBorders>
          </w:tcPr>
          <w:p w14:paraId="190F8662" w14:textId="77777777" w:rsidR="003C12C0" w:rsidRDefault="00000000">
            <w:pPr>
              <w:pStyle w:val="TableHeader"/>
            </w:pPr>
            <w:r>
              <w:t>Type d'intervention</w:t>
            </w:r>
          </w:p>
        </w:tc>
        <w:tc>
          <w:tcPr>
            <w:tcW w:w="0" w:type="auto"/>
            <w:tcBorders>
              <w:top w:val="single" w:sz="4" w:space="0" w:color="000000"/>
              <w:left w:val="single" w:sz="4" w:space="0" w:color="000000"/>
              <w:bottom w:val="single" w:sz="4" w:space="0" w:color="000000"/>
              <w:right w:val="single" w:sz="4" w:space="0" w:color="000000"/>
            </w:tcBorders>
          </w:tcPr>
          <w:p w14:paraId="190F8663" w14:textId="77777777" w:rsidR="003C12C0" w:rsidRDefault="00000000">
            <w:pPr>
              <w:pStyle w:val="TableHeader"/>
            </w:pPr>
            <w:r>
              <w:t>Population cible</w:t>
            </w:r>
          </w:p>
        </w:tc>
        <w:tc>
          <w:tcPr>
            <w:tcW w:w="0" w:type="auto"/>
            <w:tcBorders>
              <w:top w:val="single" w:sz="4" w:space="0" w:color="000000"/>
              <w:left w:val="single" w:sz="4" w:space="0" w:color="000000"/>
              <w:bottom w:val="single" w:sz="4" w:space="0" w:color="000000"/>
              <w:right w:val="single" w:sz="4" w:space="0" w:color="000000"/>
            </w:tcBorders>
          </w:tcPr>
          <w:p w14:paraId="190F8664" w14:textId="77777777" w:rsidR="003C12C0" w:rsidRDefault="00000000">
            <w:pPr>
              <w:pStyle w:val="TableHeader"/>
            </w:pPr>
            <w:r>
              <w:t>Bailleur principal</w:t>
            </w:r>
          </w:p>
        </w:tc>
        <w:tc>
          <w:tcPr>
            <w:tcW w:w="0" w:type="auto"/>
            <w:tcBorders>
              <w:top w:val="single" w:sz="4" w:space="0" w:color="000000"/>
              <w:left w:val="single" w:sz="4" w:space="0" w:color="000000"/>
              <w:bottom w:val="single" w:sz="4" w:space="0" w:color="000000"/>
              <w:right w:val="single" w:sz="4" w:space="0" w:color="000000"/>
            </w:tcBorders>
          </w:tcPr>
          <w:p w14:paraId="190F8665" w14:textId="77777777" w:rsidR="003C12C0" w:rsidRDefault="00000000">
            <w:pPr>
              <w:pStyle w:val="TableHeader"/>
            </w:pPr>
            <w:r>
              <w:t>Responsable mise en œuvre</w:t>
            </w:r>
          </w:p>
        </w:tc>
        <w:tc>
          <w:tcPr>
            <w:tcW w:w="0" w:type="auto"/>
            <w:tcBorders>
              <w:top w:val="single" w:sz="4" w:space="0" w:color="000000"/>
              <w:left w:val="single" w:sz="4" w:space="0" w:color="000000"/>
              <w:bottom w:val="single" w:sz="4" w:space="0" w:color="000000"/>
              <w:right w:val="single" w:sz="4" w:space="0" w:color="000000"/>
            </w:tcBorders>
          </w:tcPr>
          <w:p w14:paraId="190F8666" w14:textId="77777777" w:rsidR="003C12C0" w:rsidRDefault="00000000">
            <w:pPr>
              <w:pStyle w:val="TableHeader"/>
              <w:jc w:val="center"/>
            </w:pPr>
            <w:r>
              <w:t>Périmètre</w:t>
            </w:r>
          </w:p>
        </w:tc>
        <w:tc>
          <w:tcPr>
            <w:tcW w:w="0" w:type="auto"/>
            <w:tcBorders>
              <w:top w:val="single" w:sz="4" w:space="0" w:color="000000"/>
              <w:left w:val="single" w:sz="4" w:space="0" w:color="000000"/>
              <w:bottom w:val="single" w:sz="4" w:space="0" w:color="000000"/>
              <w:right w:val="single" w:sz="4" w:space="0" w:color="000000"/>
            </w:tcBorders>
          </w:tcPr>
          <w:p w14:paraId="190F8667" w14:textId="77777777" w:rsidR="003C12C0" w:rsidRDefault="00000000">
            <w:pPr>
              <w:pStyle w:val="TableHeader"/>
              <w:jc w:val="center"/>
            </w:pPr>
            <w:r>
              <w:t>Statut au 31.12.2025</w:t>
            </w:r>
          </w:p>
        </w:tc>
      </w:tr>
      <w:tr w:rsidR="003C12C0" w14:paraId="190F8670"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669" w14:textId="77777777" w:rsidR="003C12C0" w:rsidRDefault="00000000">
            <w:pPr>
              <w:pStyle w:val="TableText"/>
            </w:pPr>
            <w:r>
              <w:t>PAM — Transferts de ressources sans conditions</w:t>
            </w:r>
            <w:r>
              <w:rPr>
                <w:rStyle w:val="FootnoteReference"/>
              </w:rPr>
              <w:footnoteReference w:id="65"/>
            </w:r>
            <w:r>
              <w:br/>
            </w:r>
            <w:r>
              <w:rPr>
                <w:i/>
                <w:iCs/>
              </w:rPr>
              <w:t>Début : continu (2000s) — Actif au 31.12.2025</w:t>
            </w:r>
            <w:r>
              <w:t xml:space="preserve"> [1]</w:t>
            </w:r>
            <w:r>
              <w:rPr>
                <w:rStyle w:val="FootnoteReference"/>
              </w:rPr>
              <w:footnoteReference w:id="66"/>
            </w:r>
          </w:p>
        </w:tc>
        <w:tc>
          <w:tcPr>
            <w:tcW w:w="0" w:type="auto"/>
            <w:tcBorders>
              <w:top w:val="single" w:sz="4" w:space="0" w:color="000000"/>
              <w:left w:val="single" w:sz="4" w:space="0" w:color="000000"/>
              <w:bottom w:val="single" w:sz="4" w:space="0" w:color="000000"/>
              <w:right w:val="single" w:sz="4" w:space="0" w:color="000000"/>
            </w:tcBorders>
          </w:tcPr>
          <w:p w14:paraId="190F866A" w14:textId="77777777" w:rsidR="003C12C0" w:rsidRDefault="00000000">
            <w:pPr>
              <w:pStyle w:val="TableText"/>
            </w:pPr>
            <w:r>
              <w:t>Transferts monétaires et alimentaires inconditionnels</w:t>
            </w:r>
          </w:p>
        </w:tc>
        <w:tc>
          <w:tcPr>
            <w:tcW w:w="0" w:type="auto"/>
            <w:tcBorders>
              <w:top w:val="single" w:sz="4" w:space="0" w:color="000000"/>
              <w:left w:val="single" w:sz="4" w:space="0" w:color="000000"/>
              <w:bottom w:val="single" w:sz="4" w:space="0" w:color="000000"/>
              <w:right w:val="single" w:sz="4" w:space="0" w:color="000000"/>
            </w:tcBorders>
          </w:tcPr>
          <w:p w14:paraId="190F866B" w14:textId="77777777" w:rsidR="003C12C0" w:rsidRDefault="00000000">
            <w:pPr>
              <w:pStyle w:val="TableText"/>
            </w:pPr>
            <w:r>
              <w:t>Ménages en insécurité alimentaire ; déplacés internes ; zones de conflit</w:t>
            </w:r>
          </w:p>
        </w:tc>
        <w:tc>
          <w:tcPr>
            <w:tcW w:w="0" w:type="auto"/>
            <w:tcBorders>
              <w:top w:val="single" w:sz="4" w:space="0" w:color="000000"/>
              <w:left w:val="single" w:sz="4" w:space="0" w:color="000000"/>
              <w:bottom w:val="single" w:sz="4" w:space="0" w:color="000000"/>
              <w:right w:val="single" w:sz="4" w:space="0" w:color="000000"/>
            </w:tcBorders>
          </w:tcPr>
          <w:p w14:paraId="190F866C" w14:textId="77777777" w:rsidR="003C12C0" w:rsidRDefault="00000000">
            <w:pPr>
              <w:pStyle w:val="TableText"/>
            </w:pPr>
            <w:r>
              <w:t>Donateurs internationaux (UE, USAID, RU…)</w:t>
            </w:r>
          </w:p>
        </w:tc>
        <w:tc>
          <w:tcPr>
            <w:tcW w:w="0" w:type="auto"/>
            <w:tcBorders>
              <w:top w:val="single" w:sz="4" w:space="0" w:color="000000"/>
              <w:left w:val="single" w:sz="4" w:space="0" w:color="000000"/>
              <w:bottom w:val="single" w:sz="4" w:space="0" w:color="000000"/>
              <w:right w:val="single" w:sz="4" w:space="0" w:color="000000"/>
            </w:tcBorders>
          </w:tcPr>
          <w:p w14:paraId="190F866D" w14:textId="77777777" w:rsidR="003C12C0" w:rsidRDefault="00000000">
            <w:pPr>
              <w:pStyle w:val="TableText"/>
            </w:pPr>
            <w:r>
              <w:t>PAM</w:t>
            </w:r>
          </w:p>
        </w:tc>
        <w:tc>
          <w:tcPr>
            <w:tcW w:w="0" w:type="auto"/>
            <w:tcBorders>
              <w:top w:val="single" w:sz="4" w:space="0" w:color="000000"/>
              <w:left w:val="single" w:sz="4" w:space="0" w:color="000000"/>
              <w:bottom w:val="single" w:sz="4" w:space="0" w:color="000000"/>
              <w:right w:val="single" w:sz="4" w:space="0" w:color="000000"/>
            </w:tcBorders>
          </w:tcPr>
          <w:p w14:paraId="190F866E" w14:textId="77777777" w:rsidR="003C12C0" w:rsidRDefault="00000000">
            <w:pPr>
              <w:pStyle w:val="TableText"/>
              <w:jc w:val="center"/>
            </w:pPr>
            <w:r>
              <w:t>Est DRC (prioritaire) ; national</w:t>
            </w:r>
          </w:p>
        </w:tc>
        <w:tc>
          <w:tcPr>
            <w:tcW w:w="0" w:type="auto"/>
            <w:tcBorders>
              <w:top w:val="single" w:sz="4" w:space="0" w:color="000000"/>
              <w:left w:val="single" w:sz="4" w:space="0" w:color="000000"/>
              <w:bottom w:val="single" w:sz="4" w:space="0" w:color="000000"/>
              <w:right w:val="single" w:sz="4" w:space="0" w:color="000000"/>
            </w:tcBorders>
          </w:tcPr>
          <w:p w14:paraId="190F866F" w14:textId="77777777" w:rsidR="003C12C0" w:rsidRDefault="00000000">
            <w:pPr>
              <w:pStyle w:val="TableText"/>
              <w:jc w:val="center"/>
            </w:pPr>
            <w:r>
              <w:t>Actif</w:t>
            </w:r>
          </w:p>
        </w:tc>
      </w:tr>
      <w:tr w:rsidR="003C12C0" w14:paraId="190F8678"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671" w14:textId="77777777" w:rsidR="003C12C0" w:rsidRDefault="00000000">
            <w:pPr>
              <w:pStyle w:val="TableText"/>
            </w:pPr>
            <w:r>
              <w:t>PAM — Cantines scolaires</w:t>
            </w:r>
            <w:r>
              <w:rPr>
                <w:rStyle w:val="FootnoteReference"/>
              </w:rPr>
              <w:footnoteReference w:id="67"/>
            </w:r>
            <w:r>
              <w:br/>
            </w:r>
            <w:r>
              <w:rPr>
                <w:i/>
                <w:iCs/>
              </w:rPr>
              <w:t>Début : 2023 (pilote) — Statut 2025 : en cours (données non consolidées)</w:t>
            </w:r>
            <w:r>
              <w:t xml:space="preserve"> [1]</w:t>
            </w:r>
            <w:r>
              <w:rPr>
                <w:rStyle w:val="FootnoteReference"/>
              </w:rPr>
              <w:footnoteReference w:id="68"/>
            </w:r>
          </w:p>
        </w:tc>
        <w:tc>
          <w:tcPr>
            <w:tcW w:w="0" w:type="auto"/>
            <w:tcBorders>
              <w:top w:val="single" w:sz="4" w:space="0" w:color="000000"/>
              <w:left w:val="single" w:sz="4" w:space="0" w:color="000000"/>
              <w:bottom w:val="single" w:sz="4" w:space="0" w:color="000000"/>
              <w:right w:val="single" w:sz="4" w:space="0" w:color="000000"/>
            </w:tcBorders>
          </w:tcPr>
          <w:p w14:paraId="190F8672" w14:textId="77777777" w:rsidR="003C12C0" w:rsidRDefault="00000000">
            <w:pPr>
              <w:pStyle w:val="TableText"/>
            </w:pPr>
            <w:r>
              <w:t>Transferts en nature (repas nutritifs en milieu scolaire)</w:t>
            </w:r>
          </w:p>
        </w:tc>
        <w:tc>
          <w:tcPr>
            <w:tcW w:w="0" w:type="auto"/>
            <w:tcBorders>
              <w:top w:val="single" w:sz="4" w:space="0" w:color="000000"/>
              <w:left w:val="single" w:sz="4" w:space="0" w:color="000000"/>
              <w:bottom w:val="single" w:sz="4" w:space="0" w:color="000000"/>
              <w:right w:val="single" w:sz="4" w:space="0" w:color="000000"/>
            </w:tcBorders>
          </w:tcPr>
          <w:p w14:paraId="190F8673" w14:textId="77777777" w:rsidR="003C12C0" w:rsidRDefault="00000000">
            <w:pPr>
              <w:pStyle w:val="TableText"/>
            </w:pPr>
            <w:r>
              <w:t>Enfants scolarisés dans les écoles publiques</w:t>
            </w:r>
          </w:p>
        </w:tc>
        <w:tc>
          <w:tcPr>
            <w:tcW w:w="0" w:type="auto"/>
            <w:tcBorders>
              <w:top w:val="single" w:sz="4" w:space="0" w:color="000000"/>
              <w:left w:val="single" w:sz="4" w:space="0" w:color="000000"/>
              <w:bottom w:val="single" w:sz="4" w:space="0" w:color="000000"/>
              <w:right w:val="single" w:sz="4" w:space="0" w:color="000000"/>
            </w:tcBorders>
          </w:tcPr>
          <w:p w14:paraId="190F8674" w14:textId="77777777" w:rsidR="003C12C0" w:rsidRDefault="00000000">
            <w:pPr>
              <w:pStyle w:val="TableText"/>
            </w:pPr>
            <w:r>
              <w:t>PAM + donateurs</w:t>
            </w:r>
          </w:p>
        </w:tc>
        <w:tc>
          <w:tcPr>
            <w:tcW w:w="0" w:type="auto"/>
            <w:tcBorders>
              <w:top w:val="single" w:sz="4" w:space="0" w:color="000000"/>
              <w:left w:val="single" w:sz="4" w:space="0" w:color="000000"/>
              <w:bottom w:val="single" w:sz="4" w:space="0" w:color="000000"/>
              <w:right w:val="single" w:sz="4" w:space="0" w:color="000000"/>
            </w:tcBorders>
          </w:tcPr>
          <w:p w14:paraId="190F8675" w14:textId="77777777" w:rsidR="003C12C0" w:rsidRDefault="00000000">
            <w:pPr>
              <w:pStyle w:val="TableText"/>
            </w:pPr>
            <w:r>
              <w:t>PAM + MEPST</w:t>
            </w:r>
          </w:p>
        </w:tc>
        <w:tc>
          <w:tcPr>
            <w:tcW w:w="0" w:type="auto"/>
            <w:tcBorders>
              <w:top w:val="single" w:sz="4" w:space="0" w:color="000000"/>
              <w:left w:val="single" w:sz="4" w:space="0" w:color="000000"/>
              <w:bottom w:val="single" w:sz="4" w:space="0" w:color="000000"/>
              <w:right w:val="single" w:sz="4" w:space="0" w:color="000000"/>
            </w:tcBorders>
          </w:tcPr>
          <w:p w14:paraId="190F8676" w14:textId="77777777" w:rsidR="003C12C0" w:rsidRDefault="00000000">
            <w:pPr>
              <w:pStyle w:val="TableText"/>
              <w:jc w:val="center"/>
            </w:pPr>
            <w:r>
              <w:t>Phase pilote (périmètre à préciser)</w:t>
            </w:r>
          </w:p>
        </w:tc>
        <w:tc>
          <w:tcPr>
            <w:tcW w:w="0" w:type="auto"/>
            <w:tcBorders>
              <w:top w:val="single" w:sz="4" w:space="0" w:color="000000"/>
              <w:left w:val="single" w:sz="4" w:space="0" w:color="000000"/>
              <w:bottom w:val="single" w:sz="4" w:space="0" w:color="000000"/>
              <w:right w:val="single" w:sz="4" w:space="0" w:color="000000"/>
            </w:tcBorders>
          </w:tcPr>
          <w:p w14:paraId="190F8677" w14:textId="77777777" w:rsidR="003C12C0" w:rsidRDefault="00000000">
            <w:pPr>
              <w:pStyle w:val="TableText"/>
              <w:jc w:val="center"/>
            </w:pPr>
            <w:r>
              <w:t>Actif (pilote)</w:t>
            </w:r>
          </w:p>
        </w:tc>
      </w:tr>
      <w:tr w:rsidR="003C12C0" w14:paraId="190F8680"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679" w14:textId="77777777" w:rsidR="003C12C0" w:rsidRDefault="00000000">
            <w:pPr>
              <w:pStyle w:val="TableText"/>
            </w:pPr>
            <w:r>
              <w:t>UNICEF — Cash + Nutrition</w:t>
            </w:r>
            <w:r>
              <w:rPr>
                <w:rStyle w:val="FootnoteReference"/>
              </w:rPr>
              <w:footnoteReference w:id="69"/>
            </w:r>
            <w:r>
              <w:br/>
            </w:r>
            <w:r>
              <w:rPr>
                <w:i/>
                <w:iCs/>
              </w:rPr>
              <w:t>Début : 2021 (données disponibles) — Actif (intermittent) au 31.12.2025</w:t>
            </w:r>
            <w:r>
              <w:t xml:space="preserve"> [2]</w:t>
            </w:r>
            <w:r>
              <w:rPr>
                <w:rStyle w:val="FootnoteReference"/>
              </w:rPr>
              <w:footnoteReference w:id="70"/>
            </w:r>
          </w:p>
        </w:tc>
        <w:tc>
          <w:tcPr>
            <w:tcW w:w="0" w:type="auto"/>
            <w:tcBorders>
              <w:top w:val="single" w:sz="4" w:space="0" w:color="000000"/>
              <w:left w:val="single" w:sz="4" w:space="0" w:color="000000"/>
              <w:bottom w:val="single" w:sz="4" w:space="0" w:color="000000"/>
              <w:right w:val="single" w:sz="4" w:space="0" w:color="000000"/>
            </w:tcBorders>
          </w:tcPr>
          <w:p w14:paraId="190F867A" w14:textId="77777777" w:rsidR="003C12C0" w:rsidRDefault="00000000">
            <w:pPr>
              <w:pStyle w:val="TableText"/>
            </w:pPr>
            <w:r>
              <w:t>Transferts monétaires + soutien nutritionnel</w:t>
            </w:r>
          </w:p>
        </w:tc>
        <w:tc>
          <w:tcPr>
            <w:tcW w:w="0" w:type="auto"/>
            <w:tcBorders>
              <w:top w:val="single" w:sz="4" w:space="0" w:color="000000"/>
              <w:left w:val="single" w:sz="4" w:space="0" w:color="000000"/>
              <w:bottom w:val="single" w:sz="4" w:space="0" w:color="000000"/>
              <w:right w:val="single" w:sz="4" w:space="0" w:color="000000"/>
            </w:tcBorders>
          </w:tcPr>
          <w:p w14:paraId="190F867B" w14:textId="77777777" w:rsidR="003C12C0" w:rsidRDefault="00000000">
            <w:pPr>
              <w:pStyle w:val="TableText"/>
            </w:pPr>
            <w:r>
              <w:t>Enfants malnutris ; ménages vulnérables (urgence humanitaire)</w:t>
            </w:r>
          </w:p>
        </w:tc>
        <w:tc>
          <w:tcPr>
            <w:tcW w:w="0" w:type="auto"/>
            <w:tcBorders>
              <w:top w:val="single" w:sz="4" w:space="0" w:color="000000"/>
              <w:left w:val="single" w:sz="4" w:space="0" w:color="000000"/>
              <w:bottom w:val="single" w:sz="4" w:space="0" w:color="000000"/>
              <w:right w:val="single" w:sz="4" w:space="0" w:color="000000"/>
            </w:tcBorders>
          </w:tcPr>
          <w:p w14:paraId="190F867C" w14:textId="77777777" w:rsidR="003C12C0" w:rsidRDefault="00000000">
            <w:pPr>
              <w:pStyle w:val="TableText"/>
            </w:pPr>
            <w:r>
              <w:t>UNICEF + donateurs institutionnels</w:t>
            </w:r>
          </w:p>
        </w:tc>
        <w:tc>
          <w:tcPr>
            <w:tcW w:w="0" w:type="auto"/>
            <w:tcBorders>
              <w:top w:val="single" w:sz="4" w:space="0" w:color="000000"/>
              <w:left w:val="single" w:sz="4" w:space="0" w:color="000000"/>
              <w:bottom w:val="single" w:sz="4" w:space="0" w:color="000000"/>
              <w:right w:val="single" w:sz="4" w:space="0" w:color="000000"/>
            </w:tcBorders>
          </w:tcPr>
          <w:p w14:paraId="190F867D" w14:textId="77777777" w:rsidR="003C12C0" w:rsidRDefault="00000000">
            <w:pPr>
              <w:pStyle w:val="TableText"/>
            </w:pPr>
            <w:r>
              <w:t>UNICEF + partenaires</w:t>
            </w:r>
          </w:p>
        </w:tc>
        <w:tc>
          <w:tcPr>
            <w:tcW w:w="0" w:type="auto"/>
            <w:tcBorders>
              <w:top w:val="single" w:sz="4" w:space="0" w:color="000000"/>
              <w:left w:val="single" w:sz="4" w:space="0" w:color="000000"/>
              <w:bottom w:val="single" w:sz="4" w:space="0" w:color="000000"/>
              <w:right w:val="single" w:sz="4" w:space="0" w:color="000000"/>
            </w:tcBorders>
          </w:tcPr>
          <w:p w14:paraId="190F867E" w14:textId="77777777" w:rsidR="003C12C0" w:rsidRDefault="00000000">
            <w:pPr>
              <w:pStyle w:val="TableText"/>
              <w:jc w:val="center"/>
            </w:pPr>
            <w:r>
              <w:t>Tanganyika (et autres provinces)</w:t>
            </w:r>
          </w:p>
        </w:tc>
        <w:tc>
          <w:tcPr>
            <w:tcW w:w="0" w:type="auto"/>
            <w:tcBorders>
              <w:top w:val="single" w:sz="4" w:space="0" w:color="000000"/>
              <w:left w:val="single" w:sz="4" w:space="0" w:color="000000"/>
              <w:bottom w:val="single" w:sz="4" w:space="0" w:color="000000"/>
              <w:right w:val="single" w:sz="4" w:space="0" w:color="000000"/>
            </w:tcBorders>
          </w:tcPr>
          <w:p w14:paraId="190F867F" w14:textId="77777777" w:rsidR="003C12C0" w:rsidRDefault="00000000">
            <w:pPr>
              <w:pStyle w:val="TableText"/>
              <w:jc w:val="center"/>
            </w:pPr>
            <w:r>
              <w:t>Actif (intermittent)</w:t>
            </w:r>
          </w:p>
        </w:tc>
      </w:tr>
    </w:tbl>
    <w:p w14:paraId="190F8681" w14:textId="77777777" w:rsidR="003C12C0" w:rsidRDefault="00000000">
      <w:pPr>
        <w:pStyle w:val="TableNoteSource"/>
      </w:pPr>
      <w:r>
        <w:rPr>
          <w:i/>
          <w:iCs/>
        </w:rPr>
        <w:t>Légende : tableau limité aux programmes actifs à un moment de l'année 2025 (période de référence : 1er janvier au 31 décembre 2025). Les programmes clôturés avant 2025 (STEP, clôture févr. 2024 ; UNICEF+FAO, ponctuel 2022) ne sont pas repris. Les programmes « actifs intermittents » dépendent des financements des bailleurs et peuvent être interrompus entre deux cycles.</w:t>
      </w:r>
    </w:p>
    <w:p w14:paraId="190F8682" w14:textId="77777777" w:rsidR="003C12C0" w:rsidRDefault="00000000">
      <w:pPr>
        <w:pStyle w:val="TableNoteSource"/>
      </w:pPr>
      <w:r>
        <w:t>Sources : Premier bulletin RDC (2023), ch. 2.3</w:t>
      </w:r>
      <w:r>
        <w:rPr>
          <w:rStyle w:val="FootnoteReference"/>
        </w:rPr>
        <w:footnoteReference w:id="71"/>
      </w:r>
      <w:r>
        <w:t xml:space="preserve"> · PAM (wfp.org, 2026)</w:t>
      </w:r>
      <w:r>
        <w:rPr>
          <w:rStyle w:val="FootnoteReference"/>
        </w:rPr>
        <w:footnoteReference w:id="72"/>
      </w:r>
      <w:r>
        <w:t xml:space="preserve"> · UNICEF RDC (2021–2025)</w:t>
      </w:r>
      <w:r>
        <w:rPr>
          <w:rStyle w:val="FootnoteReference"/>
        </w:rPr>
        <w:footnoteReference w:id="73"/>
      </w:r>
      <w:r>
        <w:t xml:space="preserve"> · R202 (OIT, 2012)</w:t>
      </w:r>
      <w:r>
        <w:rPr>
          <w:rStyle w:val="FootnoteReference"/>
        </w:rPr>
        <w:footnoteReference w:id="74"/>
      </w:r>
      <w:r>
        <w:br/>
      </w:r>
      <w:r>
        <w:rPr>
          <w:i/>
          <w:iCs/>
        </w:rPr>
        <w:t>La liste est indicative et non exhaustive. Une cartographie complète des initiatives actives en 2025 dépasse le périmètre du présent chapitre.</w:t>
      </w:r>
    </w:p>
    <w:p w14:paraId="190F8683" w14:textId="77777777" w:rsidR="003C12C0" w:rsidRDefault="00000000">
      <w:pPr>
        <w:pStyle w:val="Heading3"/>
      </w:pPr>
      <w:bookmarkStart w:id="50" w:name="X54050956f8d7348d1ef7368b9706f9b1ebc5d30"/>
      <w:bookmarkEnd w:id="48"/>
      <w:r>
        <w:lastRenderedPageBreak/>
        <w:t>Politiques sectorielles à dimension protectrice</w:t>
      </w:r>
    </w:p>
    <w:p w14:paraId="190F8684" w14:textId="77777777" w:rsidR="003C12C0" w:rsidRDefault="00000000">
      <w:r>
        <w:t xml:space="preserve">Au-delà des régimes contributifs et des programmes d'assistance sociale décrits dans les tableaux précédents, le paysage de la protection sociale en RDC comprend un ensemble de dispositifs dont la finalité protectrice est établie, mais qui ne relèvent pas à proprement parler de l'assistance sociale — c'est-à-dire qu'ils n'opèrent pas par transferts individuels ciblés vers des bénéficiaires identifiés. Il s'agit de </w:t>
      </w:r>
      <w:r>
        <w:rPr>
          <w:b/>
          <w:bCs/>
        </w:rPr>
        <w:t>politiques sectorielles à dimension protectrice</w:t>
      </w:r>
      <w:r>
        <w:t xml:space="preserve"> : politiques de gratuité d'accès à un service public, soins préventifs à portée universelle, et programmes d'activation par l'emploi.</w:t>
      </w:r>
    </w:p>
    <w:p w14:paraId="190F8685" w14:textId="77777777" w:rsidR="003C12C0" w:rsidRDefault="00000000">
      <w:r>
        <w:t>Conformément au cadre méthodologique du présent bulletin (Annexe A.1, Niveau 3), ces dispositifs sont mentionnés à titre contextuel. Leur finalité protectrice est reconnue : ils réduisent une vulnérabilité — éducative, sanitaire ou économique — en supprimant un obstacle financier d'accès ou en créant un revenu transitoire. Ils ne sont cependant pas agrégés dans les indicateurs de couverture car ils ne donnent pas lieu, dans l'état actuel des données disponibles, à des mesures individualisables de personnes protégées.</w:t>
      </w:r>
    </w:p>
    <w:p w14:paraId="190F8686" w14:textId="77777777" w:rsidR="003C12C0" w:rsidRDefault="00000000">
      <w:pPr>
        <w:pStyle w:val="TableTitle"/>
      </w:pPr>
      <w:bookmarkStart w:id="51" w:name="_Toc234324542"/>
      <w:r>
        <w:t>Tableau 2.5 — Politiques sectorielles à dimension protectrice — mention contextuelle (Niveau 3)</w:t>
      </w:r>
      <w:bookmarkEnd w:id="51"/>
    </w:p>
    <w:tbl>
      <w:tblPr>
        <w:tblStyle w:val="ILOTable"/>
        <w:tblW w:w="5000" w:type="pct"/>
        <w:tblLook w:val="0020" w:firstRow="1" w:lastRow="0" w:firstColumn="0" w:lastColumn="0" w:noHBand="0" w:noVBand="0"/>
      </w:tblPr>
      <w:tblGrid>
        <w:gridCol w:w="1665"/>
        <w:gridCol w:w="2100"/>
        <w:gridCol w:w="1577"/>
        <w:gridCol w:w="1322"/>
        <w:gridCol w:w="1043"/>
        <w:gridCol w:w="1353"/>
      </w:tblGrid>
      <w:tr w:rsidR="003C12C0" w14:paraId="190F868D"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687" w14:textId="77777777" w:rsidR="003C12C0" w:rsidRDefault="00000000">
            <w:pPr>
              <w:pStyle w:val="TableHeader"/>
            </w:pPr>
            <w:r>
              <w:t>Dispositif</w:t>
            </w:r>
          </w:p>
        </w:tc>
        <w:tc>
          <w:tcPr>
            <w:tcW w:w="0" w:type="auto"/>
            <w:tcBorders>
              <w:top w:val="single" w:sz="4" w:space="0" w:color="000000"/>
              <w:left w:val="single" w:sz="4" w:space="0" w:color="000000"/>
              <w:bottom w:val="single" w:sz="4" w:space="0" w:color="000000"/>
              <w:right w:val="single" w:sz="4" w:space="0" w:color="000000"/>
            </w:tcBorders>
          </w:tcPr>
          <w:p w14:paraId="190F8688" w14:textId="77777777" w:rsidR="003C12C0" w:rsidRDefault="00000000">
            <w:pPr>
              <w:pStyle w:val="TableHeader"/>
            </w:pPr>
            <w:r>
              <w:t>Nature de l'effet protecteur</w:t>
            </w:r>
          </w:p>
        </w:tc>
        <w:tc>
          <w:tcPr>
            <w:tcW w:w="0" w:type="auto"/>
            <w:tcBorders>
              <w:top w:val="single" w:sz="4" w:space="0" w:color="000000"/>
              <w:left w:val="single" w:sz="4" w:space="0" w:color="000000"/>
              <w:bottom w:val="single" w:sz="4" w:space="0" w:color="000000"/>
              <w:right w:val="single" w:sz="4" w:space="0" w:color="000000"/>
            </w:tcBorders>
          </w:tcPr>
          <w:p w14:paraId="190F8689" w14:textId="77777777" w:rsidR="003C12C0" w:rsidRDefault="00000000">
            <w:pPr>
              <w:pStyle w:val="TableHeader"/>
            </w:pPr>
            <w:r>
              <w:t>Population visée</w:t>
            </w:r>
          </w:p>
        </w:tc>
        <w:tc>
          <w:tcPr>
            <w:tcW w:w="0" w:type="auto"/>
            <w:tcBorders>
              <w:top w:val="single" w:sz="4" w:space="0" w:color="000000"/>
              <w:left w:val="single" w:sz="4" w:space="0" w:color="000000"/>
              <w:bottom w:val="single" w:sz="4" w:space="0" w:color="000000"/>
              <w:right w:val="single" w:sz="4" w:space="0" w:color="000000"/>
            </w:tcBorders>
          </w:tcPr>
          <w:p w14:paraId="190F868A" w14:textId="77777777" w:rsidR="003C12C0" w:rsidRDefault="00000000">
            <w:pPr>
              <w:pStyle w:val="TableHeader"/>
            </w:pPr>
            <w:r>
              <w:t>Responsable</w:t>
            </w:r>
          </w:p>
        </w:tc>
        <w:tc>
          <w:tcPr>
            <w:tcW w:w="0" w:type="auto"/>
            <w:tcBorders>
              <w:top w:val="single" w:sz="4" w:space="0" w:color="000000"/>
              <w:left w:val="single" w:sz="4" w:space="0" w:color="000000"/>
              <w:bottom w:val="single" w:sz="4" w:space="0" w:color="000000"/>
              <w:right w:val="single" w:sz="4" w:space="0" w:color="000000"/>
            </w:tcBorders>
          </w:tcPr>
          <w:p w14:paraId="190F868B" w14:textId="77777777" w:rsidR="003C12C0" w:rsidRDefault="00000000">
            <w:pPr>
              <w:pStyle w:val="TableHeader"/>
              <w:jc w:val="center"/>
            </w:pPr>
            <w:r>
              <w:t>Périmètre</w:t>
            </w:r>
          </w:p>
        </w:tc>
        <w:tc>
          <w:tcPr>
            <w:tcW w:w="0" w:type="auto"/>
            <w:tcBorders>
              <w:top w:val="single" w:sz="4" w:space="0" w:color="000000"/>
              <w:left w:val="single" w:sz="4" w:space="0" w:color="000000"/>
              <w:bottom w:val="single" w:sz="4" w:space="0" w:color="000000"/>
              <w:right w:val="single" w:sz="4" w:space="0" w:color="000000"/>
            </w:tcBorders>
          </w:tcPr>
          <w:p w14:paraId="190F868C" w14:textId="77777777" w:rsidR="003C12C0" w:rsidRDefault="00000000">
            <w:pPr>
              <w:pStyle w:val="TableHeader"/>
              <w:jc w:val="center"/>
            </w:pPr>
            <w:r>
              <w:t>Statut au 31.12.2025</w:t>
            </w:r>
          </w:p>
        </w:tc>
      </w:tr>
      <w:tr w:rsidR="003C12C0" w14:paraId="190F8694"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68E" w14:textId="77777777" w:rsidR="003C12C0" w:rsidRDefault="00000000">
            <w:pPr>
              <w:pStyle w:val="TableText"/>
            </w:pPr>
            <w:r>
              <w:t>Gratuité de l'enseignement primaire public</w:t>
            </w:r>
            <w:r>
              <w:rPr>
                <w:rStyle w:val="FootnoteReference"/>
              </w:rPr>
              <w:footnoteReference w:id="75"/>
            </w:r>
            <w:r>
              <w:br/>
            </w:r>
            <w:r>
              <w:rPr>
                <w:i/>
                <w:iCs/>
              </w:rPr>
              <w:t>Depuis rentrée sept. 2019</w:t>
            </w:r>
          </w:p>
        </w:tc>
        <w:tc>
          <w:tcPr>
            <w:tcW w:w="0" w:type="auto"/>
            <w:tcBorders>
              <w:top w:val="single" w:sz="4" w:space="0" w:color="000000"/>
              <w:left w:val="single" w:sz="4" w:space="0" w:color="000000"/>
              <w:bottom w:val="single" w:sz="4" w:space="0" w:color="000000"/>
              <w:right w:val="single" w:sz="4" w:space="0" w:color="000000"/>
            </w:tcBorders>
          </w:tcPr>
          <w:p w14:paraId="190F868F" w14:textId="77777777" w:rsidR="003C12C0" w:rsidRDefault="00000000">
            <w:pPr>
              <w:pStyle w:val="TableText"/>
            </w:pPr>
            <w:r>
              <w:t>Suppression des frais de scolarité — réduction de la vulnérabilité éducative des ménages pauvres</w:t>
            </w:r>
          </w:p>
        </w:tc>
        <w:tc>
          <w:tcPr>
            <w:tcW w:w="0" w:type="auto"/>
            <w:tcBorders>
              <w:top w:val="single" w:sz="4" w:space="0" w:color="000000"/>
              <w:left w:val="single" w:sz="4" w:space="0" w:color="000000"/>
              <w:bottom w:val="single" w:sz="4" w:space="0" w:color="000000"/>
              <w:right w:val="single" w:sz="4" w:space="0" w:color="000000"/>
            </w:tcBorders>
          </w:tcPr>
          <w:p w14:paraId="190F8690" w14:textId="77777777" w:rsidR="003C12C0" w:rsidRDefault="00000000">
            <w:pPr>
              <w:pStyle w:val="TableText"/>
            </w:pPr>
            <w:r>
              <w:t>Enfants en âge scolaire (écoles primaires publiques)</w:t>
            </w:r>
          </w:p>
        </w:tc>
        <w:tc>
          <w:tcPr>
            <w:tcW w:w="0" w:type="auto"/>
            <w:tcBorders>
              <w:top w:val="single" w:sz="4" w:space="0" w:color="000000"/>
              <w:left w:val="single" w:sz="4" w:space="0" w:color="000000"/>
              <w:bottom w:val="single" w:sz="4" w:space="0" w:color="000000"/>
              <w:right w:val="single" w:sz="4" w:space="0" w:color="000000"/>
            </w:tcBorders>
          </w:tcPr>
          <w:p w14:paraId="190F8691" w14:textId="77777777" w:rsidR="003C12C0" w:rsidRDefault="00000000">
            <w:pPr>
              <w:pStyle w:val="TableText"/>
            </w:pPr>
            <w:r>
              <w:t>MEPST</w:t>
            </w:r>
          </w:p>
        </w:tc>
        <w:tc>
          <w:tcPr>
            <w:tcW w:w="0" w:type="auto"/>
            <w:tcBorders>
              <w:top w:val="single" w:sz="4" w:space="0" w:color="000000"/>
              <w:left w:val="single" w:sz="4" w:space="0" w:color="000000"/>
              <w:bottom w:val="single" w:sz="4" w:space="0" w:color="000000"/>
              <w:right w:val="single" w:sz="4" w:space="0" w:color="000000"/>
            </w:tcBorders>
          </w:tcPr>
          <w:p w14:paraId="190F8692" w14:textId="77777777" w:rsidR="003C12C0" w:rsidRDefault="00000000">
            <w:pPr>
              <w:pStyle w:val="TableText"/>
              <w:jc w:val="center"/>
            </w:pPr>
            <w:r>
              <w:t>National</w:t>
            </w:r>
          </w:p>
        </w:tc>
        <w:tc>
          <w:tcPr>
            <w:tcW w:w="0" w:type="auto"/>
            <w:tcBorders>
              <w:top w:val="single" w:sz="4" w:space="0" w:color="000000"/>
              <w:left w:val="single" w:sz="4" w:space="0" w:color="000000"/>
              <w:bottom w:val="single" w:sz="4" w:space="0" w:color="000000"/>
              <w:right w:val="single" w:sz="4" w:space="0" w:color="000000"/>
            </w:tcBorders>
          </w:tcPr>
          <w:p w14:paraId="190F8693" w14:textId="77777777" w:rsidR="003C12C0" w:rsidRDefault="00000000">
            <w:pPr>
              <w:pStyle w:val="TableText"/>
              <w:jc w:val="center"/>
            </w:pPr>
            <w:r>
              <w:t>Actif</w:t>
            </w:r>
          </w:p>
        </w:tc>
      </w:tr>
      <w:tr w:rsidR="003C12C0" w14:paraId="190F869B"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695" w14:textId="77777777" w:rsidR="003C12C0" w:rsidRDefault="00000000">
            <w:pPr>
              <w:pStyle w:val="TableText"/>
            </w:pPr>
            <w:r>
              <w:t>Gratuité de l'accouchement en formations sanitaires publiques</w:t>
            </w:r>
            <w:r>
              <w:rPr>
                <w:rStyle w:val="FootnoteReference"/>
              </w:rPr>
              <w:footnoteReference w:id="76"/>
            </w:r>
            <w:r>
              <w:br/>
            </w:r>
            <w:r>
              <w:rPr>
                <w:i/>
                <w:iCs/>
              </w:rPr>
              <w:t>Cadre légal antérieur à 2019 — dispositif distinct du FSS Kobota Ofele</w:t>
            </w:r>
          </w:p>
        </w:tc>
        <w:tc>
          <w:tcPr>
            <w:tcW w:w="0" w:type="auto"/>
            <w:tcBorders>
              <w:top w:val="single" w:sz="4" w:space="0" w:color="000000"/>
              <w:left w:val="single" w:sz="4" w:space="0" w:color="000000"/>
              <w:bottom w:val="single" w:sz="4" w:space="0" w:color="000000"/>
              <w:right w:val="single" w:sz="4" w:space="0" w:color="000000"/>
            </w:tcBorders>
          </w:tcPr>
          <w:p w14:paraId="190F8696" w14:textId="77777777" w:rsidR="003C12C0" w:rsidRDefault="00000000">
            <w:pPr>
              <w:pStyle w:val="TableText"/>
            </w:pPr>
            <w:r>
              <w:t>Suppression des frais d'accouchement — réduction de la mortalité maternelle et du risque financier lié à la maternité</w:t>
            </w:r>
          </w:p>
        </w:tc>
        <w:tc>
          <w:tcPr>
            <w:tcW w:w="0" w:type="auto"/>
            <w:tcBorders>
              <w:top w:val="single" w:sz="4" w:space="0" w:color="000000"/>
              <w:left w:val="single" w:sz="4" w:space="0" w:color="000000"/>
              <w:bottom w:val="single" w:sz="4" w:space="0" w:color="000000"/>
              <w:right w:val="single" w:sz="4" w:space="0" w:color="000000"/>
            </w:tcBorders>
          </w:tcPr>
          <w:p w14:paraId="190F8697" w14:textId="77777777" w:rsidR="003C12C0" w:rsidRDefault="00000000">
            <w:pPr>
              <w:pStyle w:val="TableText"/>
            </w:pPr>
            <w:r>
              <w:t>Femmes enceintes (formations sanitaires publiques)</w:t>
            </w:r>
          </w:p>
        </w:tc>
        <w:tc>
          <w:tcPr>
            <w:tcW w:w="0" w:type="auto"/>
            <w:tcBorders>
              <w:top w:val="single" w:sz="4" w:space="0" w:color="000000"/>
              <w:left w:val="single" w:sz="4" w:space="0" w:color="000000"/>
              <w:bottom w:val="single" w:sz="4" w:space="0" w:color="000000"/>
              <w:right w:val="single" w:sz="4" w:space="0" w:color="000000"/>
            </w:tcBorders>
          </w:tcPr>
          <w:p w14:paraId="190F8698" w14:textId="77777777" w:rsidR="003C12C0" w:rsidRDefault="00000000">
            <w:pPr>
              <w:pStyle w:val="TableText"/>
            </w:pPr>
            <w:r>
              <w:t>MSPHPS</w:t>
            </w:r>
          </w:p>
        </w:tc>
        <w:tc>
          <w:tcPr>
            <w:tcW w:w="0" w:type="auto"/>
            <w:tcBorders>
              <w:top w:val="single" w:sz="4" w:space="0" w:color="000000"/>
              <w:left w:val="single" w:sz="4" w:space="0" w:color="000000"/>
              <w:bottom w:val="single" w:sz="4" w:space="0" w:color="000000"/>
              <w:right w:val="single" w:sz="4" w:space="0" w:color="000000"/>
            </w:tcBorders>
          </w:tcPr>
          <w:p w14:paraId="190F8699" w14:textId="77777777" w:rsidR="003C12C0" w:rsidRDefault="00000000">
            <w:pPr>
              <w:pStyle w:val="TableText"/>
              <w:jc w:val="center"/>
            </w:pPr>
            <w:r>
              <w:t>National (application variable)</w:t>
            </w:r>
          </w:p>
        </w:tc>
        <w:tc>
          <w:tcPr>
            <w:tcW w:w="0" w:type="auto"/>
            <w:tcBorders>
              <w:top w:val="single" w:sz="4" w:space="0" w:color="000000"/>
              <w:left w:val="single" w:sz="4" w:space="0" w:color="000000"/>
              <w:bottom w:val="single" w:sz="4" w:space="0" w:color="000000"/>
              <w:right w:val="single" w:sz="4" w:space="0" w:color="000000"/>
            </w:tcBorders>
          </w:tcPr>
          <w:p w14:paraId="190F869A" w14:textId="77777777" w:rsidR="003C12C0" w:rsidRDefault="00000000">
            <w:pPr>
              <w:pStyle w:val="TableText"/>
              <w:jc w:val="center"/>
            </w:pPr>
            <w:r>
              <w:t>Partiellement opérationnel</w:t>
            </w:r>
          </w:p>
        </w:tc>
      </w:tr>
      <w:tr w:rsidR="003C12C0" w14:paraId="190F86A2"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69C" w14:textId="77777777" w:rsidR="003C12C0" w:rsidRDefault="00000000">
            <w:pPr>
              <w:pStyle w:val="TableText"/>
            </w:pPr>
            <w:r>
              <w:t>Soins préventifs et vaccination (programmes MSPHPS)</w:t>
            </w:r>
            <w:r>
              <w:rPr>
                <w:rStyle w:val="FootnoteReference"/>
              </w:rPr>
              <w:footnoteReference w:id="77"/>
            </w:r>
            <w:r>
              <w:br/>
            </w:r>
            <w:r>
              <w:rPr>
                <w:i/>
                <w:iCs/>
              </w:rPr>
              <w:t>Vaccinations, moustiquaires, kits médicaux, dépistage VIH/TB — continu</w:t>
            </w:r>
          </w:p>
        </w:tc>
        <w:tc>
          <w:tcPr>
            <w:tcW w:w="0" w:type="auto"/>
            <w:tcBorders>
              <w:top w:val="single" w:sz="4" w:space="0" w:color="000000"/>
              <w:left w:val="single" w:sz="4" w:space="0" w:color="000000"/>
              <w:bottom w:val="single" w:sz="4" w:space="0" w:color="000000"/>
              <w:right w:val="single" w:sz="4" w:space="0" w:color="000000"/>
            </w:tcBorders>
          </w:tcPr>
          <w:p w14:paraId="190F869D" w14:textId="77777777" w:rsidR="003C12C0" w:rsidRDefault="00000000">
            <w:pPr>
              <w:pStyle w:val="TableText"/>
            </w:pPr>
            <w:r>
              <w:t>Prévention des risques sanitaires — réduction de la vulnérabilité morbide des populations non couvertes par une assurance</w:t>
            </w:r>
          </w:p>
        </w:tc>
        <w:tc>
          <w:tcPr>
            <w:tcW w:w="0" w:type="auto"/>
            <w:tcBorders>
              <w:top w:val="single" w:sz="4" w:space="0" w:color="000000"/>
              <w:left w:val="single" w:sz="4" w:space="0" w:color="000000"/>
              <w:bottom w:val="single" w:sz="4" w:space="0" w:color="000000"/>
              <w:right w:val="single" w:sz="4" w:space="0" w:color="000000"/>
            </w:tcBorders>
          </w:tcPr>
          <w:p w14:paraId="190F869E" w14:textId="77777777" w:rsidR="003C12C0" w:rsidRDefault="00000000">
            <w:pPr>
              <w:pStyle w:val="TableText"/>
            </w:pPr>
            <w:r>
              <w:t>Enfants de moins de 5 ans, PVVIH, personnes vulnérables</w:t>
            </w:r>
          </w:p>
        </w:tc>
        <w:tc>
          <w:tcPr>
            <w:tcW w:w="0" w:type="auto"/>
            <w:tcBorders>
              <w:top w:val="single" w:sz="4" w:space="0" w:color="000000"/>
              <w:left w:val="single" w:sz="4" w:space="0" w:color="000000"/>
              <w:bottom w:val="single" w:sz="4" w:space="0" w:color="000000"/>
              <w:right w:val="single" w:sz="4" w:space="0" w:color="000000"/>
            </w:tcBorders>
          </w:tcPr>
          <w:p w14:paraId="190F869F" w14:textId="77777777" w:rsidR="003C12C0" w:rsidRDefault="00000000">
            <w:pPr>
              <w:pStyle w:val="TableText"/>
            </w:pPr>
            <w:r>
              <w:t>MSPHPS + partenaires (OMS, UNICEF, GAVI)</w:t>
            </w:r>
          </w:p>
        </w:tc>
        <w:tc>
          <w:tcPr>
            <w:tcW w:w="0" w:type="auto"/>
            <w:tcBorders>
              <w:top w:val="single" w:sz="4" w:space="0" w:color="000000"/>
              <w:left w:val="single" w:sz="4" w:space="0" w:color="000000"/>
              <w:bottom w:val="single" w:sz="4" w:space="0" w:color="000000"/>
              <w:right w:val="single" w:sz="4" w:space="0" w:color="000000"/>
            </w:tcBorders>
          </w:tcPr>
          <w:p w14:paraId="190F86A0" w14:textId="77777777" w:rsidR="003C12C0" w:rsidRDefault="00000000">
            <w:pPr>
              <w:pStyle w:val="TableText"/>
              <w:jc w:val="center"/>
            </w:pPr>
            <w:r>
              <w:t>National</w:t>
            </w:r>
          </w:p>
        </w:tc>
        <w:tc>
          <w:tcPr>
            <w:tcW w:w="0" w:type="auto"/>
            <w:tcBorders>
              <w:top w:val="single" w:sz="4" w:space="0" w:color="000000"/>
              <w:left w:val="single" w:sz="4" w:space="0" w:color="000000"/>
              <w:bottom w:val="single" w:sz="4" w:space="0" w:color="000000"/>
              <w:right w:val="single" w:sz="4" w:space="0" w:color="000000"/>
            </w:tcBorders>
          </w:tcPr>
          <w:p w14:paraId="190F86A1" w14:textId="77777777" w:rsidR="003C12C0" w:rsidRDefault="00000000">
            <w:pPr>
              <w:pStyle w:val="TableText"/>
              <w:jc w:val="center"/>
            </w:pPr>
            <w:r>
              <w:t>Actif (données non consolidées)</w:t>
            </w:r>
          </w:p>
        </w:tc>
      </w:tr>
      <w:tr w:rsidR="003C12C0" w14:paraId="190F86A9"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6A3" w14:textId="77777777" w:rsidR="003C12C0" w:rsidRDefault="00000000">
            <w:pPr>
              <w:pStyle w:val="TableText"/>
            </w:pPr>
            <w:r>
              <w:lastRenderedPageBreak/>
              <w:t>Programmes de travaux à Haute Intensité de Main d'Œuvre (HIMO / THIMO)</w:t>
            </w:r>
            <w:r>
              <w:rPr>
                <w:rStyle w:val="FootnoteReference"/>
              </w:rPr>
              <w:footnoteReference w:id="78"/>
            </w:r>
            <w:r>
              <w:br/>
            </w:r>
            <w:r>
              <w:rPr>
                <w:i/>
                <w:iCs/>
              </w:rPr>
              <w:t>Référence principale : composante THIMO du projet STEP — clôturé fév. 2024</w:t>
            </w:r>
          </w:p>
        </w:tc>
        <w:tc>
          <w:tcPr>
            <w:tcW w:w="0" w:type="auto"/>
            <w:tcBorders>
              <w:top w:val="single" w:sz="4" w:space="0" w:color="000000"/>
              <w:left w:val="single" w:sz="4" w:space="0" w:color="000000"/>
              <w:bottom w:val="single" w:sz="4" w:space="0" w:color="000000"/>
              <w:right w:val="single" w:sz="4" w:space="0" w:color="000000"/>
            </w:tcBorders>
          </w:tcPr>
          <w:p w14:paraId="190F86A4" w14:textId="77777777" w:rsidR="003C12C0" w:rsidRDefault="00000000">
            <w:pPr>
              <w:pStyle w:val="TableText"/>
            </w:pPr>
            <w:r>
              <w:t>Création temporaire d'emplois et de revenus — activation économique des ménages vulnérables en zone de conflit ou post-conflit</w:t>
            </w:r>
          </w:p>
        </w:tc>
        <w:tc>
          <w:tcPr>
            <w:tcW w:w="0" w:type="auto"/>
            <w:tcBorders>
              <w:top w:val="single" w:sz="4" w:space="0" w:color="000000"/>
              <w:left w:val="single" w:sz="4" w:space="0" w:color="000000"/>
              <w:bottom w:val="single" w:sz="4" w:space="0" w:color="000000"/>
              <w:right w:val="single" w:sz="4" w:space="0" w:color="000000"/>
            </w:tcBorders>
          </w:tcPr>
          <w:p w14:paraId="190F86A5" w14:textId="77777777" w:rsidR="003C12C0" w:rsidRDefault="00000000">
            <w:pPr>
              <w:pStyle w:val="TableText"/>
            </w:pPr>
            <w:r>
              <w:t>Communautés vulnérables accueillant des personnes déplacées</w:t>
            </w:r>
          </w:p>
        </w:tc>
        <w:tc>
          <w:tcPr>
            <w:tcW w:w="0" w:type="auto"/>
            <w:tcBorders>
              <w:top w:val="single" w:sz="4" w:space="0" w:color="000000"/>
              <w:left w:val="single" w:sz="4" w:space="0" w:color="000000"/>
              <w:bottom w:val="single" w:sz="4" w:space="0" w:color="000000"/>
              <w:right w:val="single" w:sz="4" w:space="0" w:color="000000"/>
            </w:tcBorders>
          </w:tcPr>
          <w:p w14:paraId="190F86A6" w14:textId="77777777" w:rsidR="003C12C0" w:rsidRDefault="00000000">
            <w:pPr>
              <w:pStyle w:val="TableText"/>
            </w:pPr>
            <w:r>
              <w:t>Fonds Social de la RDC + bailleurs (BM / IDA)</w:t>
            </w:r>
          </w:p>
        </w:tc>
        <w:tc>
          <w:tcPr>
            <w:tcW w:w="0" w:type="auto"/>
            <w:tcBorders>
              <w:top w:val="single" w:sz="4" w:space="0" w:color="000000"/>
              <w:left w:val="single" w:sz="4" w:space="0" w:color="000000"/>
              <w:bottom w:val="single" w:sz="4" w:space="0" w:color="000000"/>
              <w:right w:val="single" w:sz="4" w:space="0" w:color="000000"/>
            </w:tcBorders>
          </w:tcPr>
          <w:p w14:paraId="190F86A7" w14:textId="77777777" w:rsidR="003C12C0" w:rsidRDefault="00000000">
            <w:pPr>
              <w:pStyle w:val="TableText"/>
              <w:jc w:val="center"/>
            </w:pPr>
            <w:r>
              <w:t>Est DRC (provinces de l'Est)</w:t>
            </w:r>
          </w:p>
        </w:tc>
        <w:tc>
          <w:tcPr>
            <w:tcW w:w="0" w:type="auto"/>
            <w:tcBorders>
              <w:top w:val="single" w:sz="4" w:space="0" w:color="000000"/>
              <w:left w:val="single" w:sz="4" w:space="0" w:color="000000"/>
              <w:bottom w:val="single" w:sz="4" w:space="0" w:color="000000"/>
              <w:right w:val="single" w:sz="4" w:space="0" w:color="000000"/>
            </w:tcBorders>
          </w:tcPr>
          <w:p w14:paraId="190F86A8" w14:textId="77777777" w:rsidR="003C12C0" w:rsidRDefault="00000000">
            <w:pPr>
              <w:pStyle w:val="TableText"/>
              <w:jc w:val="center"/>
            </w:pPr>
            <w:r>
              <w:t>Clôturé (STEP fév. 2024) — successeurs non documentés</w:t>
            </w:r>
          </w:p>
        </w:tc>
      </w:tr>
      <w:tr w:rsidR="003C12C0" w14:paraId="190F86B0"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6AA" w14:textId="77777777" w:rsidR="003C12C0" w:rsidRDefault="00000000">
            <w:pPr>
              <w:pStyle w:val="TableText"/>
            </w:pPr>
            <w:r>
              <w:t>Centres de promotion sociale et d'apprentissage professionnel (MINAS)</w:t>
            </w:r>
            <w:r>
              <w:rPr>
                <w:rStyle w:val="FootnoteReference"/>
              </w:rPr>
              <w:footnoteReference w:id="79"/>
            </w:r>
            <w:r>
              <w:br/>
            </w:r>
            <w:r>
              <w:rPr>
                <w:i/>
                <w:iCs/>
              </w:rPr>
              <w:t>Continu — cadre légal : Décret n°05/176 du 24 nov. 2005 (PNPS)</w:t>
            </w:r>
          </w:p>
        </w:tc>
        <w:tc>
          <w:tcPr>
            <w:tcW w:w="0" w:type="auto"/>
            <w:tcBorders>
              <w:top w:val="single" w:sz="4" w:space="0" w:color="000000"/>
              <w:left w:val="single" w:sz="4" w:space="0" w:color="000000"/>
              <w:bottom w:val="single" w:sz="4" w:space="0" w:color="000000"/>
              <w:right w:val="single" w:sz="4" w:space="0" w:color="000000"/>
            </w:tcBorders>
          </w:tcPr>
          <w:p w14:paraId="190F86AB" w14:textId="77777777" w:rsidR="003C12C0" w:rsidRDefault="00000000">
            <w:pPr>
              <w:pStyle w:val="TableText"/>
            </w:pPr>
            <w:r>
              <w:t>Insertion sociale et professionnelle — réduction de la vulnérabilité des jeunes, personnes handicapées et groupes en situation précaire</w:t>
            </w:r>
          </w:p>
        </w:tc>
        <w:tc>
          <w:tcPr>
            <w:tcW w:w="0" w:type="auto"/>
            <w:tcBorders>
              <w:top w:val="single" w:sz="4" w:space="0" w:color="000000"/>
              <w:left w:val="single" w:sz="4" w:space="0" w:color="000000"/>
              <w:bottom w:val="single" w:sz="4" w:space="0" w:color="000000"/>
              <w:right w:val="single" w:sz="4" w:space="0" w:color="000000"/>
            </w:tcBorders>
          </w:tcPr>
          <w:p w14:paraId="190F86AC" w14:textId="77777777" w:rsidR="003C12C0" w:rsidRDefault="00000000">
            <w:pPr>
              <w:pStyle w:val="TableText"/>
            </w:pPr>
            <w:r>
              <w:t>Jeunes 9–24 ans ; personnes vivant avec un handicap ; groupes vulnérables</w:t>
            </w:r>
          </w:p>
        </w:tc>
        <w:tc>
          <w:tcPr>
            <w:tcW w:w="0" w:type="auto"/>
            <w:tcBorders>
              <w:top w:val="single" w:sz="4" w:space="0" w:color="000000"/>
              <w:left w:val="single" w:sz="4" w:space="0" w:color="000000"/>
              <w:bottom w:val="single" w:sz="4" w:space="0" w:color="000000"/>
              <w:right w:val="single" w:sz="4" w:space="0" w:color="000000"/>
            </w:tcBorders>
          </w:tcPr>
          <w:p w14:paraId="190F86AD" w14:textId="77777777" w:rsidR="003C12C0" w:rsidRDefault="00000000">
            <w:pPr>
              <w:pStyle w:val="TableText"/>
            </w:pPr>
            <w:r>
              <w:t>MINAS</w:t>
            </w:r>
          </w:p>
        </w:tc>
        <w:tc>
          <w:tcPr>
            <w:tcW w:w="0" w:type="auto"/>
            <w:tcBorders>
              <w:top w:val="single" w:sz="4" w:space="0" w:color="000000"/>
              <w:left w:val="single" w:sz="4" w:space="0" w:color="000000"/>
              <w:bottom w:val="single" w:sz="4" w:space="0" w:color="000000"/>
              <w:right w:val="single" w:sz="4" w:space="0" w:color="000000"/>
            </w:tcBorders>
          </w:tcPr>
          <w:p w14:paraId="190F86AE" w14:textId="77777777" w:rsidR="003C12C0" w:rsidRDefault="00000000">
            <w:pPr>
              <w:pStyle w:val="TableText"/>
              <w:jc w:val="center"/>
            </w:pPr>
            <w:r>
              <w:t>National</w:t>
            </w:r>
          </w:p>
        </w:tc>
        <w:tc>
          <w:tcPr>
            <w:tcW w:w="0" w:type="auto"/>
            <w:tcBorders>
              <w:top w:val="single" w:sz="4" w:space="0" w:color="000000"/>
              <w:left w:val="single" w:sz="4" w:space="0" w:color="000000"/>
              <w:bottom w:val="single" w:sz="4" w:space="0" w:color="000000"/>
              <w:right w:val="single" w:sz="4" w:space="0" w:color="000000"/>
            </w:tcBorders>
          </w:tcPr>
          <w:p w14:paraId="190F86AF" w14:textId="77777777" w:rsidR="003C12C0" w:rsidRDefault="00000000">
            <w:pPr>
              <w:pStyle w:val="TableText"/>
              <w:jc w:val="center"/>
            </w:pPr>
            <w:r>
              <w:t>Actif</w:t>
            </w:r>
          </w:p>
        </w:tc>
      </w:tr>
    </w:tbl>
    <w:p w14:paraId="190F86B1" w14:textId="77777777" w:rsidR="003C12C0" w:rsidRDefault="00000000">
      <w:pPr>
        <w:pStyle w:val="TableNoteSource"/>
      </w:pPr>
      <w:r>
        <w:rPr>
          <w:i/>
          <w:iCs/>
        </w:rPr>
        <w:t>Légende : les dispositifs de ce tableau ne sont pas intégrés dans les indicateurs de couverture ODD 1.3.1 du présent bulletin. Leur inscription ici répond à un souci de complétude institutionnelle. Les données chiffrées mentionnées en note sont indicatives ; elles ne constituent pas des indicateurs de couverture effective comparables à ceux du Chapitre 4.</w:t>
      </w:r>
    </w:p>
    <w:p w14:paraId="190F86B2" w14:textId="77777777" w:rsidR="003C12C0" w:rsidRDefault="00000000">
      <w:pPr>
        <w:pStyle w:val="TableNoteSource"/>
      </w:pPr>
      <w:r>
        <w:t>Sources : Premier bulletin RDC (2023), tableaux 10–12</w:t>
      </w:r>
      <w:r>
        <w:rPr>
          <w:rStyle w:val="FootnoteReference"/>
        </w:rPr>
        <w:footnoteReference w:id="80"/>
      </w:r>
      <w:r>
        <w:t xml:space="preserve"> · Programmes gouvernementaux RDC (compilation, juin 2026)</w:t>
      </w:r>
      <w:r>
        <w:rPr>
          <w:rStyle w:val="FootnoteReference"/>
        </w:rPr>
        <w:footnoteReference w:id="81"/>
      </w:r>
      <w:r>
        <w:t xml:space="preserve"> · SNPS (Gouvernement RDC, 2016)</w:t>
      </w:r>
      <w:r>
        <w:rPr>
          <w:rStyle w:val="FootnoteReference"/>
        </w:rPr>
        <w:footnoteReference w:id="82"/>
      </w:r>
      <w:r>
        <w:t xml:space="preserve"> · Annexe A.1 du présent bulletin (cadre méthodologique, Niveau 3)</w:t>
      </w:r>
      <w:r>
        <w:rPr>
          <w:rStyle w:val="FootnoteReference"/>
        </w:rPr>
        <w:footnoteReference w:id="83"/>
      </w:r>
    </w:p>
    <w:p w14:paraId="190F86B3" w14:textId="77777777" w:rsidR="003C12C0" w:rsidRDefault="00000000">
      <w:pPr>
        <w:pStyle w:val="Heading1"/>
      </w:pPr>
      <w:bookmarkStart w:id="52" w:name="X994a9a602a833b2977f51bdcbbad21ea488e206"/>
      <w:bookmarkEnd w:id="39"/>
      <w:bookmarkEnd w:id="40"/>
      <w:bookmarkEnd w:id="50"/>
      <w:r>
        <w:lastRenderedPageBreak/>
        <w:t>Chapitre 4 — Couverture effective et prestations</w:t>
      </w:r>
    </w:p>
    <w:p w14:paraId="190F86B4" w14:textId="77777777" w:rsidR="003C12C0" w:rsidRDefault="00000000">
      <w:pPr>
        <w:pStyle w:val="Heading2"/>
      </w:pPr>
      <w:bookmarkStart w:id="53" w:name="Xab89a7b5115dfcc445fe4e333560ece931f48a3"/>
      <w:r>
        <w:t>4.2 — Protection dans la vieillesse</w:t>
      </w:r>
    </w:p>
    <w:p w14:paraId="190F86B5" w14:textId="77777777" w:rsidR="003C12C0" w:rsidRDefault="00000000">
      <w:pPr>
        <w:pStyle w:val="Heading3"/>
      </w:pPr>
      <w:bookmarkStart w:id="54" w:name="X5142d79ada3de8217c6c24f2e0277835d03e657"/>
      <w:r>
        <w:t>Bénéficiaires de pensions de vieillesse</w:t>
      </w:r>
    </w:p>
    <w:p w14:paraId="190F86B6" w14:textId="77777777" w:rsidR="003C12C0" w:rsidRDefault="00000000">
      <w:r>
        <w:t>La branche vieillesse constitue la principale branche de long terme des régimes contributifs en RDC. Elle couvre les travailleurs du secteur privé via la CNSS et les agents publics via la CNSSAP. Le tableau suivant retrace l'évolution du nombre de pensionnés de vieillesse sur la période 2019–2025.</w:t>
      </w:r>
    </w:p>
    <w:p w14:paraId="190F86B7" w14:textId="77777777" w:rsidR="003C12C0" w:rsidRDefault="00000000">
      <w:pPr>
        <w:pStyle w:val="TableTitle"/>
      </w:pPr>
      <w:bookmarkStart w:id="55" w:name="_Toc234324543"/>
      <w:r>
        <w:t>Tableau 4.1 — Bénéficiaires de pensions de vieillesse, CNSS et CNSSAP (2019–2025) [src]</w:t>
      </w:r>
      <w:r>
        <w:rPr>
          <w:rStyle w:val="FootnoteReference"/>
        </w:rPr>
        <w:footnoteReference w:id="84"/>
      </w:r>
      <w:bookmarkEnd w:id="55"/>
    </w:p>
    <w:tbl>
      <w:tblPr>
        <w:tblStyle w:val="ILOTable"/>
        <w:tblW w:w="5000" w:type="pct"/>
        <w:tblLook w:val="0020" w:firstRow="1" w:lastRow="0" w:firstColumn="0" w:lastColumn="0" w:noHBand="0" w:noVBand="0"/>
      </w:tblPr>
      <w:tblGrid>
        <w:gridCol w:w="1605"/>
        <w:gridCol w:w="3090"/>
        <w:gridCol w:w="684"/>
        <w:gridCol w:w="684"/>
        <w:gridCol w:w="684"/>
        <w:gridCol w:w="684"/>
        <w:gridCol w:w="543"/>
        <w:gridCol w:w="543"/>
        <w:gridCol w:w="543"/>
      </w:tblGrid>
      <w:tr w:rsidR="003C12C0" w14:paraId="190F86C1"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6B8" w14:textId="77777777" w:rsidR="003C12C0" w:rsidRDefault="00000000">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190F86B9" w14:textId="77777777" w:rsidR="003C12C0" w:rsidRDefault="00000000">
            <w:pPr>
              <w:pStyle w:val="TableHeader"/>
            </w:pPr>
            <w:r>
              <w:t>Prestation</w:t>
            </w:r>
          </w:p>
        </w:tc>
        <w:tc>
          <w:tcPr>
            <w:tcW w:w="0" w:type="auto"/>
            <w:tcBorders>
              <w:top w:val="single" w:sz="4" w:space="0" w:color="000000"/>
              <w:left w:val="single" w:sz="4" w:space="0" w:color="000000"/>
              <w:bottom w:val="single" w:sz="4" w:space="0" w:color="000000"/>
              <w:right w:val="single" w:sz="4" w:space="0" w:color="000000"/>
            </w:tcBorders>
          </w:tcPr>
          <w:p w14:paraId="190F86BA" w14:textId="77777777" w:rsidR="003C12C0"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90F86BB" w14:textId="77777777" w:rsidR="003C12C0"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90F86BC" w14:textId="77777777" w:rsidR="003C12C0"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90F86BD" w14:textId="77777777" w:rsidR="003C12C0"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90F86BE" w14:textId="77777777" w:rsidR="003C12C0"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90F86BF" w14:textId="77777777" w:rsidR="003C12C0"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90F86C0" w14:textId="77777777" w:rsidR="003C12C0" w:rsidRDefault="00000000">
            <w:pPr>
              <w:pStyle w:val="TableHeader"/>
            </w:pPr>
            <w:r>
              <w:t>2025</w:t>
            </w:r>
          </w:p>
        </w:tc>
      </w:tr>
      <w:tr w:rsidR="003C12C0" w14:paraId="190F86CB"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6C2" w14:textId="77777777" w:rsidR="003C12C0" w:rsidRDefault="00000000">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190F86C3" w14:textId="77777777" w:rsidR="003C12C0" w:rsidRDefault="00000000">
            <w:pPr>
              <w:pStyle w:val="TableText"/>
            </w:pPr>
            <w:r>
              <w:t>Pension de retraite (bénéf.)</w:t>
            </w:r>
          </w:p>
        </w:tc>
        <w:tc>
          <w:tcPr>
            <w:tcW w:w="0" w:type="auto"/>
            <w:tcBorders>
              <w:top w:val="single" w:sz="4" w:space="0" w:color="000000"/>
              <w:left w:val="single" w:sz="4" w:space="0" w:color="000000"/>
              <w:bottom w:val="single" w:sz="4" w:space="0" w:color="000000"/>
              <w:right w:val="single" w:sz="4" w:space="0" w:color="000000"/>
            </w:tcBorders>
          </w:tcPr>
          <w:p w14:paraId="190F86C4" w14:textId="77777777" w:rsidR="003C12C0" w:rsidRDefault="00000000">
            <w:pPr>
              <w:pStyle w:val="TableText"/>
            </w:pPr>
            <w:r>
              <w:t>38 641</w:t>
            </w:r>
          </w:p>
        </w:tc>
        <w:tc>
          <w:tcPr>
            <w:tcW w:w="0" w:type="auto"/>
            <w:tcBorders>
              <w:top w:val="single" w:sz="4" w:space="0" w:color="000000"/>
              <w:left w:val="single" w:sz="4" w:space="0" w:color="000000"/>
              <w:bottom w:val="single" w:sz="4" w:space="0" w:color="000000"/>
              <w:right w:val="single" w:sz="4" w:space="0" w:color="000000"/>
            </w:tcBorders>
          </w:tcPr>
          <w:p w14:paraId="190F86C5" w14:textId="77777777" w:rsidR="003C12C0" w:rsidRDefault="00000000">
            <w:pPr>
              <w:pStyle w:val="TableText"/>
            </w:pPr>
            <w:r>
              <w:t>39 465</w:t>
            </w:r>
          </w:p>
        </w:tc>
        <w:tc>
          <w:tcPr>
            <w:tcW w:w="0" w:type="auto"/>
            <w:tcBorders>
              <w:top w:val="single" w:sz="4" w:space="0" w:color="000000"/>
              <w:left w:val="single" w:sz="4" w:space="0" w:color="000000"/>
              <w:bottom w:val="single" w:sz="4" w:space="0" w:color="000000"/>
              <w:right w:val="single" w:sz="4" w:space="0" w:color="000000"/>
            </w:tcBorders>
          </w:tcPr>
          <w:p w14:paraId="190F86C6" w14:textId="77777777" w:rsidR="003C12C0" w:rsidRDefault="00000000">
            <w:pPr>
              <w:pStyle w:val="TableText"/>
            </w:pPr>
            <w:r>
              <w:t>42 407</w:t>
            </w:r>
          </w:p>
        </w:tc>
        <w:tc>
          <w:tcPr>
            <w:tcW w:w="0" w:type="auto"/>
            <w:tcBorders>
              <w:top w:val="single" w:sz="4" w:space="0" w:color="000000"/>
              <w:left w:val="single" w:sz="4" w:space="0" w:color="000000"/>
              <w:bottom w:val="single" w:sz="4" w:space="0" w:color="000000"/>
              <w:right w:val="single" w:sz="4" w:space="0" w:color="000000"/>
            </w:tcBorders>
          </w:tcPr>
          <w:p w14:paraId="190F86C7" w14:textId="77777777" w:rsidR="003C12C0" w:rsidRDefault="00000000">
            <w:pPr>
              <w:pStyle w:val="TableText"/>
            </w:pPr>
            <w:r>
              <w:t>44 094</w:t>
            </w:r>
          </w:p>
        </w:tc>
        <w:tc>
          <w:tcPr>
            <w:tcW w:w="0" w:type="auto"/>
            <w:tcBorders>
              <w:top w:val="single" w:sz="4" w:space="0" w:color="000000"/>
              <w:left w:val="single" w:sz="4" w:space="0" w:color="000000"/>
              <w:bottom w:val="single" w:sz="4" w:space="0" w:color="000000"/>
              <w:right w:val="single" w:sz="4" w:space="0" w:color="000000"/>
            </w:tcBorders>
          </w:tcPr>
          <w:p w14:paraId="190F86C8"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6C9"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6CA" w14:textId="77777777" w:rsidR="003C12C0" w:rsidRDefault="00000000">
            <w:pPr>
              <w:pStyle w:val="TableText"/>
            </w:pPr>
            <w:r>
              <w:t>[N/D]</w:t>
            </w:r>
          </w:p>
        </w:tc>
      </w:tr>
      <w:tr w:rsidR="003C12C0" w14:paraId="190F86D5"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6CC" w14:textId="77777777" w:rsidR="003C12C0" w:rsidRDefault="00000000">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190F86CD" w14:textId="77777777" w:rsidR="003C12C0" w:rsidRDefault="00000000">
            <w:pPr>
              <w:pStyle w:val="TableText"/>
            </w:pPr>
            <w:r>
              <w:t>Pension de retraite anticipée (bénéf.)</w:t>
            </w:r>
          </w:p>
        </w:tc>
        <w:tc>
          <w:tcPr>
            <w:tcW w:w="0" w:type="auto"/>
            <w:tcBorders>
              <w:top w:val="single" w:sz="4" w:space="0" w:color="000000"/>
              <w:left w:val="single" w:sz="4" w:space="0" w:color="000000"/>
              <w:bottom w:val="single" w:sz="4" w:space="0" w:color="000000"/>
              <w:right w:val="single" w:sz="4" w:space="0" w:color="000000"/>
            </w:tcBorders>
          </w:tcPr>
          <w:p w14:paraId="190F86CE" w14:textId="77777777" w:rsidR="003C12C0" w:rsidRDefault="00000000">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90F86CF" w14:textId="77777777" w:rsidR="003C12C0" w:rsidRDefault="00000000">
            <w:pPr>
              <w:pStyle w:val="TableText"/>
            </w:pPr>
            <w:r>
              <w:t>78</w:t>
            </w:r>
          </w:p>
        </w:tc>
        <w:tc>
          <w:tcPr>
            <w:tcW w:w="0" w:type="auto"/>
            <w:tcBorders>
              <w:top w:val="single" w:sz="4" w:space="0" w:color="000000"/>
              <w:left w:val="single" w:sz="4" w:space="0" w:color="000000"/>
              <w:bottom w:val="single" w:sz="4" w:space="0" w:color="000000"/>
              <w:right w:val="single" w:sz="4" w:space="0" w:color="000000"/>
            </w:tcBorders>
          </w:tcPr>
          <w:p w14:paraId="190F86D0" w14:textId="77777777" w:rsidR="003C12C0" w:rsidRDefault="00000000">
            <w:pPr>
              <w:pStyle w:val="TableText"/>
            </w:pPr>
            <w:r>
              <w:t>272</w:t>
            </w:r>
          </w:p>
        </w:tc>
        <w:tc>
          <w:tcPr>
            <w:tcW w:w="0" w:type="auto"/>
            <w:tcBorders>
              <w:top w:val="single" w:sz="4" w:space="0" w:color="000000"/>
              <w:left w:val="single" w:sz="4" w:space="0" w:color="000000"/>
              <w:bottom w:val="single" w:sz="4" w:space="0" w:color="000000"/>
              <w:right w:val="single" w:sz="4" w:space="0" w:color="000000"/>
            </w:tcBorders>
          </w:tcPr>
          <w:p w14:paraId="190F86D1" w14:textId="77777777" w:rsidR="003C12C0" w:rsidRDefault="00000000">
            <w:pPr>
              <w:pStyle w:val="TableText"/>
            </w:pPr>
            <w:r>
              <w:t>1 235</w:t>
            </w:r>
          </w:p>
        </w:tc>
        <w:tc>
          <w:tcPr>
            <w:tcW w:w="0" w:type="auto"/>
            <w:tcBorders>
              <w:top w:val="single" w:sz="4" w:space="0" w:color="000000"/>
              <w:left w:val="single" w:sz="4" w:space="0" w:color="000000"/>
              <w:bottom w:val="single" w:sz="4" w:space="0" w:color="000000"/>
              <w:right w:val="single" w:sz="4" w:space="0" w:color="000000"/>
            </w:tcBorders>
          </w:tcPr>
          <w:p w14:paraId="190F86D2"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6D3"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6D4" w14:textId="77777777" w:rsidR="003C12C0" w:rsidRDefault="00000000">
            <w:pPr>
              <w:pStyle w:val="TableText"/>
            </w:pPr>
            <w:r>
              <w:t>[N/D]</w:t>
            </w:r>
          </w:p>
        </w:tc>
      </w:tr>
      <w:tr w:rsidR="003C12C0" w14:paraId="190F86DF"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6D6" w14:textId="77777777" w:rsidR="003C12C0" w:rsidRDefault="00000000">
            <w:pPr>
              <w:pStyle w:val="TableText"/>
            </w:pPr>
            <w:r>
              <w:t>CNSSAP</w:t>
            </w:r>
          </w:p>
        </w:tc>
        <w:tc>
          <w:tcPr>
            <w:tcW w:w="0" w:type="auto"/>
            <w:tcBorders>
              <w:top w:val="single" w:sz="4" w:space="0" w:color="000000"/>
              <w:left w:val="single" w:sz="4" w:space="0" w:color="000000"/>
              <w:bottom w:val="single" w:sz="4" w:space="0" w:color="000000"/>
              <w:right w:val="single" w:sz="4" w:space="0" w:color="000000"/>
            </w:tcBorders>
          </w:tcPr>
          <w:p w14:paraId="190F86D7" w14:textId="77777777" w:rsidR="003C12C0" w:rsidRDefault="00000000">
            <w:pPr>
              <w:pStyle w:val="TableText"/>
            </w:pPr>
            <w:r>
              <w:t>Pension de vieillesse (bénéf.)</w:t>
            </w:r>
          </w:p>
        </w:tc>
        <w:tc>
          <w:tcPr>
            <w:tcW w:w="0" w:type="auto"/>
            <w:tcBorders>
              <w:top w:val="single" w:sz="4" w:space="0" w:color="000000"/>
              <w:left w:val="single" w:sz="4" w:space="0" w:color="000000"/>
              <w:bottom w:val="single" w:sz="4" w:space="0" w:color="000000"/>
              <w:right w:val="single" w:sz="4" w:space="0" w:color="000000"/>
            </w:tcBorders>
          </w:tcPr>
          <w:p w14:paraId="190F86D8" w14:textId="77777777" w:rsidR="003C12C0" w:rsidRDefault="00000000">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90F86D9" w14:textId="77777777" w:rsidR="003C12C0" w:rsidRDefault="00000000">
            <w:pPr>
              <w:pStyle w:val="TableText"/>
            </w:pPr>
            <w:r>
              <w:t>814</w:t>
            </w:r>
          </w:p>
        </w:tc>
        <w:tc>
          <w:tcPr>
            <w:tcW w:w="0" w:type="auto"/>
            <w:tcBorders>
              <w:top w:val="single" w:sz="4" w:space="0" w:color="000000"/>
              <w:left w:val="single" w:sz="4" w:space="0" w:color="000000"/>
              <w:bottom w:val="single" w:sz="4" w:space="0" w:color="000000"/>
              <w:right w:val="single" w:sz="4" w:space="0" w:color="000000"/>
            </w:tcBorders>
          </w:tcPr>
          <w:p w14:paraId="190F86DA" w14:textId="77777777" w:rsidR="003C12C0" w:rsidRDefault="00000000">
            <w:pPr>
              <w:pStyle w:val="TableText"/>
            </w:pPr>
            <w:r>
              <w:t>780</w:t>
            </w:r>
          </w:p>
        </w:tc>
        <w:tc>
          <w:tcPr>
            <w:tcW w:w="0" w:type="auto"/>
            <w:tcBorders>
              <w:top w:val="single" w:sz="4" w:space="0" w:color="000000"/>
              <w:left w:val="single" w:sz="4" w:space="0" w:color="000000"/>
              <w:bottom w:val="single" w:sz="4" w:space="0" w:color="000000"/>
              <w:right w:val="single" w:sz="4" w:space="0" w:color="000000"/>
            </w:tcBorders>
          </w:tcPr>
          <w:p w14:paraId="190F86DB" w14:textId="77777777" w:rsidR="003C12C0" w:rsidRDefault="00000000">
            <w:pPr>
              <w:pStyle w:val="TableText"/>
            </w:pPr>
            <w:r>
              <w:t>4 982</w:t>
            </w:r>
          </w:p>
        </w:tc>
        <w:tc>
          <w:tcPr>
            <w:tcW w:w="0" w:type="auto"/>
            <w:tcBorders>
              <w:top w:val="single" w:sz="4" w:space="0" w:color="000000"/>
              <w:left w:val="single" w:sz="4" w:space="0" w:color="000000"/>
              <w:bottom w:val="single" w:sz="4" w:space="0" w:color="000000"/>
              <w:right w:val="single" w:sz="4" w:space="0" w:color="000000"/>
            </w:tcBorders>
          </w:tcPr>
          <w:p w14:paraId="190F86DC"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6DD"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6DE" w14:textId="77777777" w:rsidR="003C12C0" w:rsidRDefault="00000000">
            <w:pPr>
              <w:pStyle w:val="TableText"/>
            </w:pPr>
            <w:r>
              <w:t>[N/D]</w:t>
            </w:r>
          </w:p>
        </w:tc>
      </w:tr>
      <w:tr w:rsidR="003C12C0" w14:paraId="190F86E9"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6E0" w14:textId="77777777" w:rsidR="003C12C0" w:rsidRDefault="00000000">
            <w:pPr>
              <w:pStyle w:val="TableText"/>
            </w:pPr>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190F86E1" w14:textId="77777777" w:rsidR="003C12C0" w:rsidRDefault="00000000">
            <w:pPr>
              <w:pStyle w:val="TableText"/>
            </w:pPr>
            <w:r>
              <w:t>Pension de vieillesse (bénéf.)</w:t>
            </w:r>
          </w:p>
        </w:tc>
        <w:tc>
          <w:tcPr>
            <w:tcW w:w="0" w:type="auto"/>
            <w:tcBorders>
              <w:top w:val="single" w:sz="4" w:space="0" w:color="000000"/>
              <w:left w:val="single" w:sz="4" w:space="0" w:color="000000"/>
              <w:bottom w:val="single" w:sz="4" w:space="0" w:color="000000"/>
              <w:right w:val="single" w:sz="4" w:space="0" w:color="000000"/>
            </w:tcBorders>
          </w:tcPr>
          <w:p w14:paraId="190F86E2"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6E3"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6E4"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6E5"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6E6"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6E7"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6E8" w14:textId="77777777" w:rsidR="003C12C0" w:rsidRDefault="00000000">
            <w:pPr>
              <w:pStyle w:val="TableText"/>
            </w:pPr>
            <w:r>
              <w:t>[N/D]</w:t>
            </w:r>
          </w:p>
        </w:tc>
      </w:tr>
    </w:tbl>
    <w:p w14:paraId="190F86EA" w14:textId="77777777" w:rsidR="003C12C0" w:rsidRPr="00DF4DEA" w:rsidRDefault="00000000">
      <w:pPr>
        <w:pStyle w:val="Source-GraphicPicture"/>
        <w:rPr>
          <w:lang w:val="fr-CH"/>
        </w:rPr>
      </w:pPr>
      <w:r w:rsidRPr="00DF4DEA">
        <w:rPr>
          <w:i/>
          <w:iCs/>
          <w:lang w:val="fr-CH"/>
        </w:rPr>
        <w:t>Source : ESS OIT — CNSS (2019–2022) et CNSSAP (2020–2022). Régimes spéciaux (FARDC, magistrats, parlementaires) : données non disponibles — à instruire. Note : Les valeurs CNSSAP pour 2019 sont indisponibles car l'institution n'avait pas encore transmis d'ESS pour cet exercice. La forte progression entre 2020 (814 pensionnés) et 2022 (4 982) reflète les premières vagues de liquidation de droits à pension depuis la création de la CNSSAP en 2015.</w:t>
      </w:r>
    </w:p>
    <w:p w14:paraId="190F86EB" w14:textId="77777777" w:rsidR="003C12C0" w:rsidRDefault="00000000">
      <w:pPr>
        <w:pStyle w:val="Heading3"/>
      </w:pPr>
      <w:bookmarkStart w:id="56" w:name="X139bfc60e109c2dc1f5fecb983cfb68823512ed"/>
      <w:bookmarkEnd w:id="54"/>
      <w:r>
        <w:t>Adéquation des pensions de vieillesse</w:t>
      </w:r>
    </w:p>
    <w:p w14:paraId="190F86EC" w14:textId="77777777" w:rsidR="003C12C0" w:rsidRDefault="00000000">
      <w:r>
        <w:t>L'adéquation des pensions est appréciée par leur rapport au seuil de pauvreté national. Le tableau présente les montants unitaires de pension et le seuil de pauvreté de référence pour la même période.</w:t>
      </w:r>
    </w:p>
    <w:p w14:paraId="190F86ED" w14:textId="77777777" w:rsidR="003C12C0" w:rsidRDefault="00000000">
      <w:pPr>
        <w:pStyle w:val="TableTitle"/>
      </w:pPr>
      <w:bookmarkStart w:id="57" w:name="_Toc234324544"/>
      <w:r>
        <w:t>Tableau 4.2 — Adéquation des pensions de vieillesse, CNSS (2019–2025) [src]</w:t>
      </w:r>
      <w:r>
        <w:rPr>
          <w:rStyle w:val="FootnoteReference"/>
        </w:rPr>
        <w:footnoteReference w:id="85"/>
      </w:r>
      <w:bookmarkEnd w:id="57"/>
    </w:p>
    <w:tbl>
      <w:tblPr>
        <w:tblStyle w:val="ILOTable"/>
        <w:tblW w:w="5000" w:type="pct"/>
        <w:tblLook w:val="0020" w:firstRow="1" w:lastRow="0" w:firstColumn="0" w:lastColumn="0" w:noHBand="0" w:noVBand="0"/>
      </w:tblPr>
      <w:tblGrid>
        <w:gridCol w:w="2413"/>
        <w:gridCol w:w="1310"/>
        <w:gridCol w:w="1310"/>
        <w:gridCol w:w="1310"/>
        <w:gridCol w:w="1310"/>
        <w:gridCol w:w="469"/>
        <w:gridCol w:w="469"/>
        <w:gridCol w:w="469"/>
      </w:tblGrid>
      <w:tr w:rsidR="003C12C0" w14:paraId="190F86F6"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6EE" w14:textId="77777777" w:rsidR="003C12C0"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90F86EF" w14:textId="77777777" w:rsidR="003C12C0"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90F86F0" w14:textId="77777777" w:rsidR="003C12C0"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90F86F1" w14:textId="77777777" w:rsidR="003C12C0"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90F86F2" w14:textId="77777777" w:rsidR="003C12C0"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90F86F3" w14:textId="77777777" w:rsidR="003C12C0"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90F86F4" w14:textId="77777777" w:rsidR="003C12C0"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90F86F5" w14:textId="77777777" w:rsidR="003C12C0" w:rsidRDefault="00000000">
            <w:pPr>
              <w:pStyle w:val="TableHeader"/>
            </w:pPr>
            <w:r>
              <w:t>2025</w:t>
            </w:r>
          </w:p>
        </w:tc>
      </w:tr>
      <w:tr w:rsidR="003C12C0" w14:paraId="190F86FF"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6F7" w14:textId="77777777" w:rsidR="003C12C0" w:rsidRDefault="00000000">
            <w:pPr>
              <w:pStyle w:val="TableText"/>
            </w:pPr>
            <w:r>
              <w:t>Pension CNSS — montant unitaire (CDF/mois)</w:t>
            </w:r>
          </w:p>
        </w:tc>
        <w:tc>
          <w:tcPr>
            <w:tcW w:w="0" w:type="auto"/>
            <w:tcBorders>
              <w:top w:val="single" w:sz="4" w:space="0" w:color="000000"/>
              <w:left w:val="single" w:sz="4" w:space="0" w:color="000000"/>
              <w:bottom w:val="single" w:sz="4" w:space="0" w:color="000000"/>
              <w:right w:val="single" w:sz="4" w:space="0" w:color="000000"/>
            </w:tcBorders>
          </w:tcPr>
          <w:p w14:paraId="190F86F8" w14:textId="77777777" w:rsidR="003C12C0" w:rsidRDefault="00000000">
            <w:pPr>
              <w:pStyle w:val="TableText"/>
            </w:pPr>
            <w:r>
              <w:t>180 000</w:t>
            </w:r>
          </w:p>
        </w:tc>
        <w:tc>
          <w:tcPr>
            <w:tcW w:w="0" w:type="auto"/>
            <w:tcBorders>
              <w:top w:val="single" w:sz="4" w:space="0" w:color="000000"/>
              <w:left w:val="single" w:sz="4" w:space="0" w:color="000000"/>
              <w:bottom w:val="single" w:sz="4" w:space="0" w:color="000000"/>
              <w:right w:val="single" w:sz="4" w:space="0" w:color="000000"/>
            </w:tcBorders>
          </w:tcPr>
          <w:p w14:paraId="190F86F9" w14:textId="77777777" w:rsidR="003C12C0" w:rsidRDefault="00000000">
            <w:pPr>
              <w:pStyle w:val="TableText"/>
            </w:pPr>
            <w:r>
              <w:t>220 000</w:t>
            </w:r>
          </w:p>
        </w:tc>
        <w:tc>
          <w:tcPr>
            <w:tcW w:w="0" w:type="auto"/>
            <w:tcBorders>
              <w:top w:val="single" w:sz="4" w:space="0" w:color="000000"/>
              <w:left w:val="single" w:sz="4" w:space="0" w:color="000000"/>
              <w:bottom w:val="single" w:sz="4" w:space="0" w:color="000000"/>
              <w:right w:val="single" w:sz="4" w:space="0" w:color="000000"/>
            </w:tcBorders>
          </w:tcPr>
          <w:p w14:paraId="190F86FA" w14:textId="77777777" w:rsidR="003C12C0" w:rsidRDefault="00000000">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190F86FB" w14:textId="77777777" w:rsidR="003C12C0" w:rsidRDefault="00000000">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190F86FC"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6FD"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6FE" w14:textId="77777777" w:rsidR="003C12C0" w:rsidRDefault="00000000">
            <w:pPr>
              <w:pStyle w:val="TableText"/>
            </w:pPr>
            <w:r>
              <w:t>[N/D]</w:t>
            </w:r>
          </w:p>
        </w:tc>
      </w:tr>
      <w:tr w:rsidR="003C12C0" w14:paraId="190F8708"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700" w14:textId="77777777" w:rsidR="003C12C0" w:rsidRDefault="00000000">
            <w:pPr>
              <w:pStyle w:val="TableText"/>
            </w:pPr>
            <w:r>
              <w:t>Seuil de pauvreté (CDF/mois, estimation)</w:t>
            </w:r>
          </w:p>
        </w:tc>
        <w:tc>
          <w:tcPr>
            <w:tcW w:w="0" w:type="auto"/>
            <w:tcBorders>
              <w:top w:val="single" w:sz="4" w:space="0" w:color="000000"/>
              <w:left w:val="single" w:sz="4" w:space="0" w:color="000000"/>
              <w:bottom w:val="single" w:sz="4" w:space="0" w:color="000000"/>
              <w:right w:val="single" w:sz="4" w:space="0" w:color="000000"/>
            </w:tcBorders>
          </w:tcPr>
          <w:p w14:paraId="190F8701" w14:textId="77777777" w:rsidR="003C12C0" w:rsidRDefault="00000000">
            <w:pPr>
              <w:pStyle w:val="TableTex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90F8702" w14:textId="77777777" w:rsidR="003C12C0" w:rsidRDefault="00000000">
            <w:pPr>
              <w:pStyle w:val="TableTex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90F8703" w14:textId="77777777" w:rsidR="003C12C0" w:rsidRDefault="00000000">
            <w:pPr>
              <w:pStyle w:val="TableTex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90F8704" w14:textId="77777777" w:rsidR="003C12C0" w:rsidRDefault="00000000">
            <w:pPr>
              <w:pStyle w:val="TableTex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90F8705"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06"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07" w14:textId="77777777" w:rsidR="003C12C0" w:rsidRDefault="00000000">
            <w:pPr>
              <w:pStyle w:val="TableText"/>
            </w:pPr>
            <w:r>
              <w:t>[N/D]</w:t>
            </w:r>
          </w:p>
        </w:tc>
      </w:tr>
    </w:tbl>
    <w:p w14:paraId="190F8709" w14:textId="77777777" w:rsidR="003C12C0" w:rsidRPr="00DF4DEA" w:rsidRDefault="00000000">
      <w:pPr>
        <w:pStyle w:val="Source-GraphicPicture"/>
        <w:rPr>
          <w:lang w:val="fr-CH"/>
        </w:rPr>
      </w:pPr>
      <w:r w:rsidRPr="00DF4DEA">
        <w:rPr>
          <w:i/>
          <w:iCs/>
          <w:lang w:val="fr-CH"/>
        </w:rPr>
        <w:t>Source : ESS OIT — CNSS ; seuil de pauvreté : estimation à construire à partir des données INS.</w:t>
      </w:r>
    </w:p>
    <w:p w14:paraId="190F870A" w14:textId="77777777" w:rsidR="003C12C0" w:rsidRDefault="00000000">
      <w:pPr>
        <w:pStyle w:val="Heading2"/>
      </w:pPr>
      <w:bookmarkStart w:id="58" w:name="X0ce4a42c0eb9f4e2ccf6bf2efca2ab92e836687"/>
      <w:bookmarkEnd w:id="53"/>
      <w:bookmarkEnd w:id="56"/>
      <w:r>
        <w:t>4.3 — Protection des personnes en âge actif</w:t>
      </w:r>
    </w:p>
    <w:p w14:paraId="190F870B" w14:textId="77777777" w:rsidR="003C12C0" w:rsidRDefault="00000000">
      <w:pPr>
        <w:pStyle w:val="Heading3"/>
      </w:pPr>
      <w:bookmarkStart w:id="59" w:name="X073c4f6bcfc66e60ddb8231d622cb5bff802ec5"/>
      <w:r>
        <w:t>Couverture des travailleurs — cotisants actifs</w:t>
      </w:r>
    </w:p>
    <w:p w14:paraId="190F870C" w14:textId="77777777" w:rsidR="003C12C0" w:rsidRDefault="00000000">
      <w:r>
        <w:t>Les régimes contributifs couvrent les travailleurs du secteur formel. Le tableau présente l'évolution du nombre d'employeurs enregistrés et de cotisants actifs auprès de la CNSS et de la CNSSAP sur la période 2019–2025.</w:t>
      </w:r>
    </w:p>
    <w:p w14:paraId="190F870D" w14:textId="77777777" w:rsidR="003C12C0" w:rsidRDefault="00000000">
      <w:pPr>
        <w:pStyle w:val="TableTitle"/>
      </w:pPr>
      <w:bookmarkStart w:id="60" w:name="_Toc234324545"/>
      <w:r>
        <w:lastRenderedPageBreak/>
        <w:t>Tableau 4.3 — Employeurs enregistrés et cotisants actifs, CNSS et CNSSAP (2019–2025) [src]</w:t>
      </w:r>
      <w:r>
        <w:rPr>
          <w:rStyle w:val="FootnoteReference"/>
        </w:rPr>
        <w:footnoteReference w:id="86"/>
      </w:r>
      <w:bookmarkEnd w:id="60"/>
    </w:p>
    <w:tbl>
      <w:tblPr>
        <w:tblStyle w:val="ILOTable"/>
        <w:tblW w:w="5000" w:type="pct"/>
        <w:tblLook w:val="0020" w:firstRow="1" w:lastRow="0" w:firstColumn="0" w:lastColumn="0" w:noHBand="0" w:noVBand="0"/>
      </w:tblPr>
      <w:tblGrid>
        <w:gridCol w:w="1540"/>
        <w:gridCol w:w="1945"/>
        <w:gridCol w:w="1003"/>
        <w:gridCol w:w="1003"/>
        <w:gridCol w:w="1003"/>
        <w:gridCol w:w="1003"/>
        <w:gridCol w:w="521"/>
        <w:gridCol w:w="521"/>
        <w:gridCol w:w="521"/>
      </w:tblGrid>
      <w:tr w:rsidR="003C12C0" w14:paraId="190F8717"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70E" w14:textId="77777777" w:rsidR="003C12C0" w:rsidRDefault="00000000">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190F870F" w14:textId="77777777" w:rsidR="003C12C0"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90F8710" w14:textId="77777777" w:rsidR="003C12C0"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90F8711" w14:textId="77777777" w:rsidR="003C12C0"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90F8712" w14:textId="77777777" w:rsidR="003C12C0"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90F8713" w14:textId="77777777" w:rsidR="003C12C0"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90F8714" w14:textId="77777777" w:rsidR="003C12C0"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90F8715" w14:textId="77777777" w:rsidR="003C12C0"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90F8716" w14:textId="77777777" w:rsidR="003C12C0" w:rsidRDefault="00000000">
            <w:pPr>
              <w:pStyle w:val="TableHeader"/>
            </w:pPr>
            <w:r>
              <w:t>2025</w:t>
            </w:r>
          </w:p>
        </w:tc>
      </w:tr>
      <w:tr w:rsidR="003C12C0" w14:paraId="190F8721"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718" w14:textId="77777777" w:rsidR="003C12C0" w:rsidRDefault="00000000">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190F8719" w14:textId="77777777" w:rsidR="003C12C0" w:rsidRDefault="00000000">
            <w:pPr>
              <w:pStyle w:val="TableText"/>
            </w:pPr>
            <w:r>
              <w:t>Employeurs enregistrés</w:t>
            </w:r>
          </w:p>
        </w:tc>
        <w:tc>
          <w:tcPr>
            <w:tcW w:w="0" w:type="auto"/>
            <w:tcBorders>
              <w:top w:val="single" w:sz="4" w:space="0" w:color="000000"/>
              <w:left w:val="single" w:sz="4" w:space="0" w:color="000000"/>
              <w:bottom w:val="single" w:sz="4" w:space="0" w:color="000000"/>
              <w:right w:val="single" w:sz="4" w:space="0" w:color="000000"/>
            </w:tcBorders>
          </w:tcPr>
          <w:p w14:paraId="190F871A" w14:textId="77777777" w:rsidR="003C12C0" w:rsidRDefault="00000000">
            <w:pPr>
              <w:pStyle w:val="TableText"/>
            </w:pPr>
            <w:r>
              <w:t>[ESS 2019]</w:t>
            </w:r>
          </w:p>
        </w:tc>
        <w:tc>
          <w:tcPr>
            <w:tcW w:w="0" w:type="auto"/>
            <w:tcBorders>
              <w:top w:val="single" w:sz="4" w:space="0" w:color="000000"/>
              <w:left w:val="single" w:sz="4" w:space="0" w:color="000000"/>
              <w:bottom w:val="single" w:sz="4" w:space="0" w:color="000000"/>
              <w:right w:val="single" w:sz="4" w:space="0" w:color="000000"/>
            </w:tcBorders>
          </w:tcPr>
          <w:p w14:paraId="190F871B" w14:textId="77777777" w:rsidR="003C12C0" w:rsidRDefault="00000000">
            <w:pPr>
              <w:pStyle w:val="TableText"/>
            </w:pPr>
            <w:r>
              <w:t>[ESS 2020]</w:t>
            </w:r>
          </w:p>
        </w:tc>
        <w:tc>
          <w:tcPr>
            <w:tcW w:w="0" w:type="auto"/>
            <w:tcBorders>
              <w:top w:val="single" w:sz="4" w:space="0" w:color="000000"/>
              <w:left w:val="single" w:sz="4" w:space="0" w:color="000000"/>
              <w:bottom w:val="single" w:sz="4" w:space="0" w:color="000000"/>
              <w:right w:val="single" w:sz="4" w:space="0" w:color="000000"/>
            </w:tcBorders>
          </w:tcPr>
          <w:p w14:paraId="190F871C" w14:textId="77777777" w:rsidR="003C12C0" w:rsidRDefault="00000000">
            <w:pPr>
              <w:pStyle w:val="TableText"/>
            </w:pPr>
            <w:r>
              <w:t>[ESS 2021]</w:t>
            </w:r>
          </w:p>
        </w:tc>
        <w:tc>
          <w:tcPr>
            <w:tcW w:w="0" w:type="auto"/>
            <w:tcBorders>
              <w:top w:val="single" w:sz="4" w:space="0" w:color="000000"/>
              <w:left w:val="single" w:sz="4" w:space="0" w:color="000000"/>
              <w:bottom w:val="single" w:sz="4" w:space="0" w:color="000000"/>
              <w:right w:val="single" w:sz="4" w:space="0" w:color="000000"/>
            </w:tcBorders>
          </w:tcPr>
          <w:p w14:paraId="190F871D" w14:textId="77777777" w:rsidR="003C12C0" w:rsidRDefault="00000000">
            <w:pPr>
              <w:pStyle w:val="TableText"/>
            </w:pPr>
            <w:r>
              <w:t>[ESS 2022]</w:t>
            </w:r>
          </w:p>
        </w:tc>
        <w:tc>
          <w:tcPr>
            <w:tcW w:w="0" w:type="auto"/>
            <w:tcBorders>
              <w:top w:val="single" w:sz="4" w:space="0" w:color="000000"/>
              <w:left w:val="single" w:sz="4" w:space="0" w:color="000000"/>
              <w:bottom w:val="single" w:sz="4" w:space="0" w:color="000000"/>
              <w:right w:val="single" w:sz="4" w:space="0" w:color="000000"/>
            </w:tcBorders>
          </w:tcPr>
          <w:p w14:paraId="190F871E"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1F"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20" w14:textId="77777777" w:rsidR="003C12C0" w:rsidRDefault="00000000">
            <w:pPr>
              <w:pStyle w:val="TableText"/>
            </w:pPr>
            <w:r>
              <w:t>[N/D]</w:t>
            </w:r>
          </w:p>
        </w:tc>
      </w:tr>
      <w:tr w:rsidR="003C12C0" w14:paraId="190F872B"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722" w14:textId="77777777" w:rsidR="003C12C0" w:rsidRDefault="00000000">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190F8723" w14:textId="77777777" w:rsidR="003C12C0" w:rsidRDefault="00000000">
            <w:pPr>
              <w:pStyle w:val="TableText"/>
            </w:pPr>
            <w:r>
              <w:t>Cotisants actifs (total)</w:t>
            </w:r>
          </w:p>
        </w:tc>
        <w:tc>
          <w:tcPr>
            <w:tcW w:w="0" w:type="auto"/>
            <w:tcBorders>
              <w:top w:val="single" w:sz="4" w:space="0" w:color="000000"/>
              <w:left w:val="single" w:sz="4" w:space="0" w:color="000000"/>
              <w:bottom w:val="single" w:sz="4" w:space="0" w:color="000000"/>
              <w:right w:val="single" w:sz="4" w:space="0" w:color="000000"/>
            </w:tcBorders>
          </w:tcPr>
          <w:p w14:paraId="190F8724" w14:textId="77777777" w:rsidR="003C12C0" w:rsidRDefault="00000000">
            <w:pPr>
              <w:pStyle w:val="TableText"/>
            </w:pPr>
            <w:r>
              <w:t>676 179</w:t>
            </w:r>
          </w:p>
        </w:tc>
        <w:tc>
          <w:tcPr>
            <w:tcW w:w="0" w:type="auto"/>
            <w:tcBorders>
              <w:top w:val="single" w:sz="4" w:space="0" w:color="000000"/>
              <w:left w:val="single" w:sz="4" w:space="0" w:color="000000"/>
              <w:bottom w:val="single" w:sz="4" w:space="0" w:color="000000"/>
              <w:right w:val="single" w:sz="4" w:space="0" w:color="000000"/>
            </w:tcBorders>
          </w:tcPr>
          <w:p w14:paraId="190F8725" w14:textId="77777777" w:rsidR="003C12C0" w:rsidRDefault="00000000">
            <w:pPr>
              <w:pStyle w:val="TableText"/>
            </w:pPr>
            <w:r>
              <w:t>508 708</w:t>
            </w:r>
          </w:p>
        </w:tc>
        <w:tc>
          <w:tcPr>
            <w:tcW w:w="0" w:type="auto"/>
            <w:tcBorders>
              <w:top w:val="single" w:sz="4" w:space="0" w:color="000000"/>
              <w:left w:val="single" w:sz="4" w:space="0" w:color="000000"/>
              <w:bottom w:val="single" w:sz="4" w:space="0" w:color="000000"/>
              <w:right w:val="single" w:sz="4" w:space="0" w:color="000000"/>
            </w:tcBorders>
          </w:tcPr>
          <w:p w14:paraId="190F8726" w14:textId="77777777" w:rsidR="003C12C0" w:rsidRDefault="00000000">
            <w:pPr>
              <w:pStyle w:val="TableText"/>
            </w:pPr>
            <w:r>
              <w:t>591 130</w:t>
            </w:r>
          </w:p>
        </w:tc>
        <w:tc>
          <w:tcPr>
            <w:tcW w:w="0" w:type="auto"/>
            <w:tcBorders>
              <w:top w:val="single" w:sz="4" w:space="0" w:color="000000"/>
              <w:left w:val="single" w:sz="4" w:space="0" w:color="000000"/>
              <w:bottom w:val="single" w:sz="4" w:space="0" w:color="000000"/>
              <w:right w:val="single" w:sz="4" w:space="0" w:color="000000"/>
            </w:tcBorders>
          </w:tcPr>
          <w:p w14:paraId="190F8727" w14:textId="77777777" w:rsidR="003C12C0" w:rsidRDefault="00000000">
            <w:pPr>
              <w:pStyle w:val="TableText"/>
            </w:pPr>
            <w:r>
              <w:t>613 761</w:t>
            </w:r>
          </w:p>
        </w:tc>
        <w:tc>
          <w:tcPr>
            <w:tcW w:w="0" w:type="auto"/>
            <w:tcBorders>
              <w:top w:val="single" w:sz="4" w:space="0" w:color="000000"/>
              <w:left w:val="single" w:sz="4" w:space="0" w:color="000000"/>
              <w:bottom w:val="single" w:sz="4" w:space="0" w:color="000000"/>
              <w:right w:val="single" w:sz="4" w:space="0" w:color="000000"/>
            </w:tcBorders>
          </w:tcPr>
          <w:p w14:paraId="190F8728"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29"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2A" w14:textId="77777777" w:rsidR="003C12C0" w:rsidRDefault="00000000">
            <w:pPr>
              <w:pStyle w:val="TableText"/>
            </w:pPr>
            <w:r>
              <w:t>[N/D]</w:t>
            </w:r>
          </w:p>
        </w:tc>
      </w:tr>
      <w:tr w:rsidR="003C12C0" w14:paraId="190F8735"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72C" w14:textId="77777777" w:rsidR="003C12C0" w:rsidRDefault="00000000">
            <w:pPr>
              <w:pStyle w:val="TableText"/>
            </w:pPr>
            <w:r>
              <w:t>CNSSAP</w:t>
            </w:r>
          </w:p>
        </w:tc>
        <w:tc>
          <w:tcPr>
            <w:tcW w:w="0" w:type="auto"/>
            <w:tcBorders>
              <w:top w:val="single" w:sz="4" w:space="0" w:color="000000"/>
              <w:left w:val="single" w:sz="4" w:space="0" w:color="000000"/>
              <w:bottom w:val="single" w:sz="4" w:space="0" w:color="000000"/>
              <w:right w:val="single" w:sz="4" w:space="0" w:color="000000"/>
            </w:tcBorders>
          </w:tcPr>
          <w:p w14:paraId="190F872D" w14:textId="77777777" w:rsidR="003C12C0" w:rsidRDefault="00000000">
            <w:pPr>
              <w:pStyle w:val="TableText"/>
            </w:pPr>
            <w:r>
              <w:t>Cotisants actifs (total)</w:t>
            </w:r>
          </w:p>
        </w:tc>
        <w:tc>
          <w:tcPr>
            <w:tcW w:w="0" w:type="auto"/>
            <w:tcBorders>
              <w:top w:val="single" w:sz="4" w:space="0" w:color="000000"/>
              <w:left w:val="single" w:sz="4" w:space="0" w:color="000000"/>
              <w:bottom w:val="single" w:sz="4" w:space="0" w:color="000000"/>
              <w:right w:val="single" w:sz="4" w:space="0" w:color="000000"/>
            </w:tcBorders>
          </w:tcPr>
          <w:p w14:paraId="190F872E" w14:textId="77777777" w:rsidR="003C12C0" w:rsidRDefault="00000000">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90F872F" w14:textId="77777777" w:rsidR="003C12C0" w:rsidRDefault="00000000">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90F8730" w14:textId="77777777" w:rsidR="003C12C0" w:rsidRDefault="00000000">
            <w:pPr>
              <w:pStyle w:val="TableText"/>
            </w:pPr>
            <w:r>
              <w:t>190 545</w:t>
            </w:r>
          </w:p>
        </w:tc>
        <w:tc>
          <w:tcPr>
            <w:tcW w:w="0" w:type="auto"/>
            <w:tcBorders>
              <w:top w:val="single" w:sz="4" w:space="0" w:color="000000"/>
              <w:left w:val="single" w:sz="4" w:space="0" w:color="000000"/>
              <w:bottom w:val="single" w:sz="4" w:space="0" w:color="000000"/>
              <w:right w:val="single" w:sz="4" w:space="0" w:color="000000"/>
            </w:tcBorders>
          </w:tcPr>
          <w:p w14:paraId="190F8731" w14:textId="77777777" w:rsidR="003C12C0" w:rsidRDefault="00000000">
            <w:pPr>
              <w:pStyle w:val="TableText"/>
            </w:pPr>
            <w:r>
              <w:t>198 399</w:t>
            </w:r>
          </w:p>
        </w:tc>
        <w:tc>
          <w:tcPr>
            <w:tcW w:w="0" w:type="auto"/>
            <w:tcBorders>
              <w:top w:val="single" w:sz="4" w:space="0" w:color="000000"/>
              <w:left w:val="single" w:sz="4" w:space="0" w:color="000000"/>
              <w:bottom w:val="single" w:sz="4" w:space="0" w:color="000000"/>
              <w:right w:val="single" w:sz="4" w:space="0" w:color="000000"/>
            </w:tcBorders>
          </w:tcPr>
          <w:p w14:paraId="190F8732"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33"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34" w14:textId="77777777" w:rsidR="003C12C0" w:rsidRDefault="00000000">
            <w:pPr>
              <w:pStyle w:val="TableText"/>
            </w:pPr>
            <w:r>
              <w:t>[N/D]</w:t>
            </w:r>
          </w:p>
        </w:tc>
      </w:tr>
      <w:tr w:rsidR="003C12C0" w14:paraId="190F873F"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736" w14:textId="77777777" w:rsidR="003C12C0" w:rsidRDefault="00000000">
            <w:pPr>
              <w:pStyle w:val="TableText"/>
            </w:pPr>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190F8737" w14:textId="77777777" w:rsidR="003C12C0" w:rsidRDefault="00000000">
            <w:pPr>
              <w:pStyle w:val="TableText"/>
            </w:pPr>
            <w:r>
              <w:t>Cotisants actifs (total)</w:t>
            </w:r>
          </w:p>
        </w:tc>
        <w:tc>
          <w:tcPr>
            <w:tcW w:w="0" w:type="auto"/>
            <w:tcBorders>
              <w:top w:val="single" w:sz="4" w:space="0" w:color="000000"/>
              <w:left w:val="single" w:sz="4" w:space="0" w:color="000000"/>
              <w:bottom w:val="single" w:sz="4" w:space="0" w:color="000000"/>
              <w:right w:val="single" w:sz="4" w:space="0" w:color="000000"/>
            </w:tcBorders>
          </w:tcPr>
          <w:p w14:paraId="190F8738"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39"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3A"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3B"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3C"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3D"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3E" w14:textId="77777777" w:rsidR="003C12C0" w:rsidRDefault="00000000">
            <w:pPr>
              <w:pStyle w:val="TableText"/>
            </w:pPr>
            <w:r>
              <w:t>[N/D]</w:t>
            </w:r>
          </w:p>
        </w:tc>
      </w:tr>
    </w:tbl>
    <w:p w14:paraId="190F8740" w14:textId="77777777" w:rsidR="003C12C0" w:rsidRPr="00DF4DEA" w:rsidRDefault="00000000">
      <w:pPr>
        <w:pStyle w:val="Source-GraphicPicture"/>
        <w:rPr>
          <w:lang w:val="fr-CH"/>
        </w:rPr>
      </w:pPr>
      <w:r w:rsidRPr="00DF4DEA">
        <w:rPr>
          <w:i/>
          <w:iCs/>
          <w:lang w:val="fr-CH"/>
        </w:rPr>
        <w:t>Source : ESS OIT — CNSS (2019–2022) et CNSSAP (2020–2022). Régimes spéciaux (FARDC, magistrats, parlementaires) : données non disponibles — à instruire.</w:t>
      </w:r>
    </w:p>
    <w:p w14:paraId="190F8741" w14:textId="77777777" w:rsidR="003C12C0" w:rsidRDefault="00000000">
      <w:pPr>
        <w:pStyle w:val="Heading3"/>
      </w:pPr>
      <w:bookmarkStart w:id="61" w:name="protection-maternite-non-valide"/>
      <w:bookmarkEnd w:id="59"/>
      <w:r>
        <w:t>Protection maternité</w:t>
      </w:r>
    </w:p>
    <w:p w14:paraId="190F8742" w14:textId="77777777" w:rsidR="003C12C0" w:rsidRDefault="00000000">
      <w:r>
        <w:t>La protection maternité de la CNSS comprend trois prestations distinctes : l'indemnité journalière (compensation du salaire pendant le congé), l'allocation de maternité (forfait à la naissance) et les allocations prénatales (versées avant l'accouchement).</w:t>
      </w:r>
    </w:p>
    <w:p w14:paraId="190F8743" w14:textId="77777777" w:rsidR="003C12C0" w:rsidRDefault="00000000">
      <w:pPr>
        <w:pStyle w:val="TableTitle"/>
      </w:pPr>
      <w:bookmarkStart w:id="62" w:name="_Toc234324546"/>
      <w:r>
        <w:t>Tableau 4.4 — Bénéficiaires de prestations maternité, CNSS (2019–2025) [src]</w:t>
      </w:r>
      <w:r>
        <w:rPr>
          <w:rStyle w:val="FootnoteReference"/>
        </w:rPr>
        <w:footnoteReference w:id="87"/>
      </w:r>
      <w:bookmarkEnd w:id="62"/>
    </w:p>
    <w:tbl>
      <w:tblPr>
        <w:tblStyle w:val="ILOTable"/>
        <w:tblW w:w="5000" w:type="pct"/>
        <w:tblLook w:val="0020" w:firstRow="1" w:lastRow="0" w:firstColumn="0" w:lastColumn="0" w:noHBand="0" w:noVBand="0"/>
      </w:tblPr>
      <w:tblGrid>
        <w:gridCol w:w="4559"/>
        <w:gridCol w:w="643"/>
        <w:gridCol w:w="643"/>
        <w:gridCol w:w="643"/>
        <w:gridCol w:w="643"/>
        <w:gridCol w:w="643"/>
        <w:gridCol w:w="643"/>
        <w:gridCol w:w="643"/>
      </w:tblGrid>
      <w:tr w:rsidR="003C12C0" w14:paraId="190F874C"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744" w14:textId="77777777" w:rsidR="003C12C0"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90F8745" w14:textId="77777777" w:rsidR="003C12C0"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90F8746" w14:textId="77777777" w:rsidR="003C12C0"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90F8747" w14:textId="77777777" w:rsidR="003C12C0"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90F8748" w14:textId="77777777" w:rsidR="003C12C0"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90F8749" w14:textId="77777777" w:rsidR="003C12C0"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90F874A" w14:textId="77777777" w:rsidR="003C12C0"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90F874B" w14:textId="77777777" w:rsidR="003C12C0" w:rsidRDefault="00000000">
            <w:pPr>
              <w:pStyle w:val="TableHeader"/>
            </w:pPr>
            <w:r>
              <w:t>2025</w:t>
            </w:r>
          </w:p>
        </w:tc>
      </w:tr>
      <w:tr w:rsidR="003C12C0" w14:paraId="190F8755"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74D" w14:textId="77777777" w:rsidR="003C12C0" w:rsidRDefault="00000000">
            <w:pPr>
              <w:pStyle w:val="TableText"/>
            </w:pPr>
            <w:r>
              <w:t>Bénéf. indemnité journalière maternité (CNSS)</w:t>
            </w:r>
          </w:p>
        </w:tc>
        <w:tc>
          <w:tcPr>
            <w:tcW w:w="0" w:type="auto"/>
            <w:tcBorders>
              <w:top w:val="single" w:sz="4" w:space="0" w:color="000000"/>
              <w:left w:val="single" w:sz="4" w:space="0" w:color="000000"/>
              <w:bottom w:val="single" w:sz="4" w:space="0" w:color="000000"/>
              <w:right w:val="single" w:sz="4" w:space="0" w:color="000000"/>
            </w:tcBorders>
          </w:tcPr>
          <w:p w14:paraId="190F874E" w14:textId="77777777" w:rsidR="003C12C0" w:rsidRDefault="00000000">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90F874F" w14:textId="77777777" w:rsidR="003C12C0" w:rsidRDefault="00000000">
            <w:pPr>
              <w:pStyle w:val="TableText"/>
            </w:pPr>
            <w:r>
              <w:t>2</w:t>
            </w:r>
          </w:p>
        </w:tc>
        <w:tc>
          <w:tcPr>
            <w:tcW w:w="0" w:type="auto"/>
            <w:tcBorders>
              <w:top w:val="single" w:sz="4" w:space="0" w:color="000000"/>
              <w:left w:val="single" w:sz="4" w:space="0" w:color="000000"/>
              <w:bottom w:val="single" w:sz="4" w:space="0" w:color="000000"/>
              <w:right w:val="single" w:sz="4" w:space="0" w:color="000000"/>
            </w:tcBorders>
          </w:tcPr>
          <w:p w14:paraId="190F8750" w14:textId="77777777" w:rsidR="003C12C0" w:rsidRDefault="00000000">
            <w:pPr>
              <w:pStyle w:val="TableText"/>
            </w:pPr>
            <w:r>
              <w:t>2</w:t>
            </w:r>
          </w:p>
        </w:tc>
        <w:tc>
          <w:tcPr>
            <w:tcW w:w="0" w:type="auto"/>
            <w:tcBorders>
              <w:top w:val="single" w:sz="4" w:space="0" w:color="000000"/>
              <w:left w:val="single" w:sz="4" w:space="0" w:color="000000"/>
              <w:bottom w:val="single" w:sz="4" w:space="0" w:color="000000"/>
              <w:right w:val="single" w:sz="4" w:space="0" w:color="000000"/>
            </w:tcBorders>
          </w:tcPr>
          <w:p w14:paraId="190F8751" w14:textId="77777777" w:rsidR="003C12C0" w:rsidRDefault="00000000">
            <w:pPr>
              <w:pStyle w:val="TableText"/>
            </w:pPr>
            <w:r>
              <w:t>17</w:t>
            </w:r>
          </w:p>
        </w:tc>
        <w:tc>
          <w:tcPr>
            <w:tcW w:w="0" w:type="auto"/>
            <w:tcBorders>
              <w:top w:val="single" w:sz="4" w:space="0" w:color="000000"/>
              <w:left w:val="single" w:sz="4" w:space="0" w:color="000000"/>
              <w:bottom w:val="single" w:sz="4" w:space="0" w:color="000000"/>
              <w:right w:val="single" w:sz="4" w:space="0" w:color="000000"/>
            </w:tcBorders>
          </w:tcPr>
          <w:p w14:paraId="190F8752"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53"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54" w14:textId="77777777" w:rsidR="003C12C0" w:rsidRDefault="00000000">
            <w:pPr>
              <w:pStyle w:val="TableText"/>
            </w:pPr>
            <w:r>
              <w:t>[N/D]</w:t>
            </w:r>
          </w:p>
        </w:tc>
      </w:tr>
      <w:tr w:rsidR="003C12C0" w14:paraId="190F875E"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756" w14:textId="77777777" w:rsidR="003C12C0" w:rsidRDefault="00000000">
            <w:pPr>
              <w:pStyle w:val="TableText"/>
            </w:pPr>
            <w:r>
              <w:t>Bénéf. allocation de maternité (CNSS)</w:t>
            </w:r>
          </w:p>
        </w:tc>
        <w:tc>
          <w:tcPr>
            <w:tcW w:w="0" w:type="auto"/>
            <w:tcBorders>
              <w:top w:val="single" w:sz="4" w:space="0" w:color="000000"/>
              <w:left w:val="single" w:sz="4" w:space="0" w:color="000000"/>
              <w:bottom w:val="single" w:sz="4" w:space="0" w:color="000000"/>
              <w:right w:val="single" w:sz="4" w:space="0" w:color="000000"/>
            </w:tcBorders>
          </w:tcPr>
          <w:p w14:paraId="190F8757" w14:textId="77777777" w:rsidR="003C12C0" w:rsidRDefault="00000000">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90F8758" w14:textId="77777777" w:rsidR="003C12C0" w:rsidRDefault="00000000">
            <w:pPr>
              <w:pStyle w:val="TableText"/>
            </w:pPr>
            <w:r>
              <w:t>108</w:t>
            </w:r>
          </w:p>
        </w:tc>
        <w:tc>
          <w:tcPr>
            <w:tcW w:w="0" w:type="auto"/>
            <w:tcBorders>
              <w:top w:val="single" w:sz="4" w:space="0" w:color="000000"/>
              <w:left w:val="single" w:sz="4" w:space="0" w:color="000000"/>
              <w:bottom w:val="single" w:sz="4" w:space="0" w:color="000000"/>
              <w:right w:val="single" w:sz="4" w:space="0" w:color="000000"/>
            </w:tcBorders>
          </w:tcPr>
          <w:p w14:paraId="190F8759" w14:textId="77777777" w:rsidR="003C12C0" w:rsidRDefault="00000000">
            <w:pPr>
              <w:pStyle w:val="TableText"/>
            </w:pPr>
            <w:r>
              <w:t>167</w:t>
            </w:r>
          </w:p>
        </w:tc>
        <w:tc>
          <w:tcPr>
            <w:tcW w:w="0" w:type="auto"/>
            <w:tcBorders>
              <w:top w:val="single" w:sz="4" w:space="0" w:color="000000"/>
              <w:left w:val="single" w:sz="4" w:space="0" w:color="000000"/>
              <w:bottom w:val="single" w:sz="4" w:space="0" w:color="000000"/>
              <w:right w:val="single" w:sz="4" w:space="0" w:color="000000"/>
            </w:tcBorders>
          </w:tcPr>
          <w:p w14:paraId="190F875A" w14:textId="77777777" w:rsidR="003C12C0" w:rsidRDefault="00000000">
            <w:pPr>
              <w:pStyle w:val="TableText"/>
            </w:pPr>
            <w:r>
              <w:t>414</w:t>
            </w:r>
          </w:p>
        </w:tc>
        <w:tc>
          <w:tcPr>
            <w:tcW w:w="0" w:type="auto"/>
            <w:tcBorders>
              <w:top w:val="single" w:sz="4" w:space="0" w:color="000000"/>
              <w:left w:val="single" w:sz="4" w:space="0" w:color="000000"/>
              <w:bottom w:val="single" w:sz="4" w:space="0" w:color="000000"/>
              <w:right w:val="single" w:sz="4" w:space="0" w:color="000000"/>
            </w:tcBorders>
          </w:tcPr>
          <w:p w14:paraId="190F875B"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5C"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5D" w14:textId="77777777" w:rsidR="003C12C0" w:rsidRDefault="00000000">
            <w:pPr>
              <w:pStyle w:val="TableText"/>
            </w:pPr>
            <w:r>
              <w:t>[N/D]</w:t>
            </w:r>
          </w:p>
        </w:tc>
      </w:tr>
      <w:tr w:rsidR="003C12C0" w14:paraId="190F8767"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75F" w14:textId="77777777" w:rsidR="003C12C0" w:rsidRDefault="00000000">
            <w:pPr>
              <w:pStyle w:val="TableText"/>
            </w:pPr>
            <w:r>
              <w:t>Bénéf. allocations prénatales (CNSS)</w:t>
            </w:r>
          </w:p>
        </w:tc>
        <w:tc>
          <w:tcPr>
            <w:tcW w:w="0" w:type="auto"/>
            <w:tcBorders>
              <w:top w:val="single" w:sz="4" w:space="0" w:color="000000"/>
              <w:left w:val="single" w:sz="4" w:space="0" w:color="000000"/>
              <w:bottom w:val="single" w:sz="4" w:space="0" w:color="000000"/>
              <w:right w:val="single" w:sz="4" w:space="0" w:color="000000"/>
            </w:tcBorders>
          </w:tcPr>
          <w:p w14:paraId="190F8760" w14:textId="77777777" w:rsidR="003C12C0" w:rsidRDefault="00000000">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90F8761" w14:textId="77777777" w:rsidR="003C12C0" w:rsidRDefault="00000000">
            <w:pPr>
              <w:pStyle w:val="TableText"/>
            </w:pPr>
            <w:r>
              <w:t>162</w:t>
            </w:r>
          </w:p>
        </w:tc>
        <w:tc>
          <w:tcPr>
            <w:tcW w:w="0" w:type="auto"/>
            <w:tcBorders>
              <w:top w:val="single" w:sz="4" w:space="0" w:color="000000"/>
              <w:left w:val="single" w:sz="4" w:space="0" w:color="000000"/>
              <w:bottom w:val="single" w:sz="4" w:space="0" w:color="000000"/>
              <w:right w:val="single" w:sz="4" w:space="0" w:color="000000"/>
            </w:tcBorders>
          </w:tcPr>
          <w:p w14:paraId="190F8762" w14:textId="77777777" w:rsidR="003C12C0" w:rsidRDefault="00000000">
            <w:pPr>
              <w:pStyle w:val="TableText"/>
            </w:pPr>
            <w:r>
              <w:t>184</w:t>
            </w:r>
          </w:p>
        </w:tc>
        <w:tc>
          <w:tcPr>
            <w:tcW w:w="0" w:type="auto"/>
            <w:tcBorders>
              <w:top w:val="single" w:sz="4" w:space="0" w:color="000000"/>
              <w:left w:val="single" w:sz="4" w:space="0" w:color="000000"/>
              <w:bottom w:val="single" w:sz="4" w:space="0" w:color="000000"/>
              <w:right w:val="single" w:sz="4" w:space="0" w:color="000000"/>
            </w:tcBorders>
          </w:tcPr>
          <w:p w14:paraId="190F8763" w14:textId="77777777" w:rsidR="003C12C0" w:rsidRDefault="00000000">
            <w:pPr>
              <w:pStyle w:val="TableText"/>
            </w:pPr>
            <w:r>
              <w:t>532</w:t>
            </w:r>
          </w:p>
        </w:tc>
        <w:tc>
          <w:tcPr>
            <w:tcW w:w="0" w:type="auto"/>
            <w:tcBorders>
              <w:top w:val="single" w:sz="4" w:space="0" w:color="000000"/>
              <w:left w:val="single" w:sz="4" w:space="0" w:color="000000"/>
              <w:bottom w:val="single" w:sz="4" w:space="0" w:color="000000"/>
              <w:right w:val="single" w:sz="4" w:space="0" w:color="000000"/>
            </w:tcBorders>
          </w:tcPr>
          <w:p w14:paraId="190F8764"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65"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66" w14:textId="77777777" w:rsidR="003C12C0" w:rsidRDefault="00000000">
            <w:pPr>
              <w:pStyle w:val="TableText"/>
            </w:pPr>
            <w:r>
              <w:t>[N/D]</w:t>
            </w:r>
          </w:p>
        </w:tc>
      </w:tr>
      <w:tr w:rsidR="003C12C0" w14:paraId="190F8770"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768" w14:textId="77777777" w:rsidR="003C12C0" w:rsidRDefault="00000000">
            <w:pPr>
              <w:pStyle w:val="TableText"/>
            </w:pPr>
            <w:r>
              <w:t>Bénéf. maternité — régimes spéciaux</w:t>
            </w:r>
          </w:p>
        </w:tc>
        <w:tc>
          <w:tcPr>
            <w:tcW w:w="0" w:type="auto"/>
            <w:tcBorders>
              <w:top w:val="single" w:sz="4" w:space="0" w:color="000000"/>
              <w:left w:val="single" w:sz="4" w:space="0" w:color="000000"/>
              <w:bottom w:val="single" w:sz="4" w:space="0" w:color="000000"/>
              <w:right w:val="single" w:sz="4" w:space="0" w:color="000000"/>
            </w:tcBorders>
          </w:tcPr>
          <w:p w14:paraId="190F8769"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6A"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6B"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6C"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6D"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6E"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6F" w14:textId="77777777" w:rsidR="003C12C0" w:rsidRDefault="00000000">
            <w:pPr>
              <w:pStyle w:val="TableText"/>
            </w:pPr>
            <w:r>
              <w:t>[N/D]</w:t>
            </w:r>
          </w:p>
        </w:tc>
      </w:tr>
    </w:tbl>
    <w:p w14:paraId="190F8771" w14:textId="77777777" w:rsidR="003C12C0" w:rsidRPr="00DF4DEA" w:rsidRDefault="00000000">
      <w:pPr>
        <w:pStyle w:val="Source-GraphicPicture"/>
        <w:rPr>
          <w:lang w:val="fr-CH"/>
        </w:rPr>
      </w:pPr>
      <w:r w:rsidRPr="00DF4DEA">
        <w:rPr>
          <w:i/>
          <w:iCs/>
          <w:lang w:val="fr-CH"/>
        </w:rPr>
        <w:t>Source : ESS OIT — CNSS. Régimes spéciaux : données non disponibles.</w:t>
      </w:r>
    </w:p>
    <w:p w14:paraId="190F8772" w14:textId="77777777" w:rsidR="003C12C0" w:rsidRDefault="00000000">
      <w:r>
        <w:rPr>
          <w:b/>
          <w:bCs/>
        </w:rPr>
        <w:t>Note méthodologique — faiblesse des chiffres de maternité CNSS :</w:t>
      </w:r>
      <w:r>
        <w:t xml:space="preserve"> Les effectifs de bénéficiaires de prestations maternité déclarés par la CNSS sont très faibles au regard du nombre de cotisantes actives (moins de 1 % des assurées sur la période). Cette anomalie reflète probablement une sous-déclaration des congés maternité auprès de l'institution, une méconnaissance des droits par les assurées, ou des délais de remboursement qui découragent les demandes. Elle ne doit pas être interprétée comme un faible recours aux soins obstétricaux. Un encadré méthodologique spécifique est prévu dans le bulletin pour documenter cette limite.</w:t>
      </w:r>
    </w:p>
    <w:p w14:paraId="190F8773" w14:textId="77777777" w:rsidR="003C12C0" w:rsidRDefault="00000000">
      <w:pPr>
        <w:pStyle w:val="Heading3"/>
      </w:pPr>
      <w:bookmarkStart w:id="63" w:name="X93d4b188e2d5e1997cc4e0927a4304225310692"/>
      <w:bookmarkEnd w:id="61"/>
      <w:r>
        <w:t>Accidents du travail et maladies professionnelles</w:t>
      </w:r>
    </w:p>
    <w:p w14:paraId="190F8774" w14:textId="77777777" w:rsidR="003C12C0" w:rsidRDefault="00000000">
      <w:r>
        <w:t>Les accidents du travail et maladies professionnelles (AT/MP) donnent droit à une rente d'incapacité permanente pour le travailleur victime, ou à une rente de survie pour ses ayants droit en cas de décès. Le montant unitaire mensuel est identique pour toutes les rentes AT/MP d'une même année, fixé par arrêté.</w:t>
      </w:r>
    </w:p>
    <w:p w14:paraId="190F8775" w14:textId="77777777" w:rsidR="003C12C0" w:rsidRDefault="00000000">
      <w:pPr>
        <w:pStyle w:val="TableTitle"/>
      </w:pPr>
      <w:bookmarkStart w:id="64" w:name="_Toc234324547"/>
      <w:r>
        <w:t>Tableau 4.5 — Bénéficiaires de rentes d'accidents du travail et maladies professionnelles, CNSS (2019–2025) [src]</w:t>
      </w:r>
      <w:r>
        <w:rPr>
          <w:rStyle w:val="FootnoteReference"/>
        </w:rPr>
        <w:footnoteReference w:id="88"/>
      </w:r>
      <w:bookmarkEnd w:id="64"/>
    </w:p>
    <w:tbl>
      <w:tblPr>
        <w:tblStyle w:val="ILOTable"/>
        <w:tblW w:w="5000" w:type="pct"/>
        <w:tblLook w:val="0020" w:firstRow="1" w:lastRow="0" w:firstColumn="0" w:lastColumn="0" w:noHBand="0" w:noVBand="0"/>
      </w:tblPr>
      <w:tblGrid>
        <w:gridCol w:w="3327"/>
        <w:gridCol w:w="1071"/>
        <w:gridCol w:w="1071"/>
        <w:gridCol w:w="1071"/>
        <w:gridCol w:w="1071"/>
        <w:gridCol w:w="483"/>
        <w:gridCol w:w="483"/>
        <w:gridCol w:w="483"/>
      </w:tblGrid>
      <w:tr w:rsidR="003C12C0" w14:paraId="190F877E"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776" w14:textId="77777777" w:rsidR="003C12C0"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90F8777" w14:textId="77777777" w:rsidR="003C12C0"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90F8778" w14:textId="77777777" w:rsidR="003C12C0"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90F8779" w14:textId="77777777" w:rsidR="003C12C0"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90F877A" w14:textId="77777777" w:rsidR="003C12C0"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90F877B" w14:textId="77777777" w:rsidR="003C12C0"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90F877C" w14:textId="77777777" w:rsidR="003C12C0"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90F877D" w14:textId="77777777" w:rsidR="003C12C0" w:rsidRDefault="00000000">
            <w:pPr>
              <w:pStyle w:val="TableHeader"/>
            </w:pPr>
            <w:r>
              <w:t>2025</w:t>
            </w:r>
          </w:p>
        </w:tc>
      </w:tr>
      <w:tr w:rsidR="003C12C0" w14:paraId="190F8787"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77F" w14:textId="77777777" w:rsidR="003C12C0" w:rsidRDefault="00000000">
            <w:pPr>
              <w:pStyle w:val="TableText"/>
            </w:pPr>
            <w:r>
              <w:t>Rentes/allocations incapacité AT/MP (CNSS)</w:t>
            </w:r>
          </w:p>
        </w:tc>
        <w:tc>
          <w:tcPr>
            <w:tcW w:w="0" w:type="auto"/>
            <w:tcBorders>
              <w:top w:val="single" w:sz="4" w:space="0" w:color="000000"/>
              <w:left w:val="single" w:sz="4" w:space="0" w:color="000000"/>
              <w:bottom w:val="single" w:sz="4" w:space="0" w:color="000000"/>
              <w:right w:val="single" w:sz="4" w:space="0" w:color="000000"/>
            </w:tcBorders>
          </w:tcPr>
          <w:p w14:paraId="190F8780" w14:textId="77777777" w:rsidR="003C12C0" w:rsidRDefault="00000000">
            <w:pPr>
              <w:pStyle w:val="TableText"/>
            </w:pPr>
            <w:r>
              <w:t>1 082</w:t>
            </w:r>
          </w:p>
        </w:tc>
        <w:tc>
          <w:tcPr>
            <w:tcW w:w="0" w:type="auto"/>
            <w:tcBorders>
              <w:top w:val="single" w:sz="4" w:space="0" w:color="000000"/>
              <w:left w:val="single" w:sz="4" w:space="0" w:color="000000"/>
              <w:bottom w:val="single" w:sz="4" w:space="0" w:color="000000"/>
              <w:right w:val="single" w:sz="4" w:space="0" w:color="000000"/>
            </w:tcBorders>
          </w:tcPr>
          <w:p w14:paraId="190F8781" w14:textId="77777777" w:rsidR="003C12C0" w:rsidRDefault="00000000">
            <w:pPr>
              <w:pStyle w:val="TableText"/>
            </w:pPr>
            <w:r>
              <w:t>1 020</w:t>
            </w:r>
          </w:p>
        </w:tc>
        <w:tc>
          <w:tcPr>
            <w:tcW w:w="0" w:type="auto"/>
            <w:tcBorders>
              <w:top w:val="single" w:sz="4" w:space="0" w:color="000000"/>
              <w:left w:val="single" w:sz="4" w:space="0" w:color="000000"/>
              <w:bottom w:val="single" w:sz="4" w:space="0" w:color="000000"/>
              <w:right w:val="single" w:sz="4" w:space="0" w:color="000000"/>
            </w:tcBorders>
          </w:tcPr>
          <w:p w14:paraId="190F8782" w14:textId="77777777" w:rsidR="003C12C0" w:rsidRDefault="00000000">
            <w:pPr>
              <w:pStyle w:val="TableText"/>
            </w:pPr>
            <w:r>
              <w:t>955</w:t>
            </w:r>
          </w:p>
        </w:tc>
        <w:tc>
          <w:tcPr>
            <w:tcW w:w="0" w:type="auto"/>
            <w:tcBorders>
              <w:top w:val="single" w:sz="4" w:space="0" w:color="000000"/>
              <w:left w:val="single" w:sz="4" w:space="0" w:color="000000"/>
              <w:bottom w:val="single" w:sz="4" w:space="0" w:color="000000"/>
              <w:right w:val="single" w:sz="4" w:space="0" w:color="000000"/>
            </w:tcBorders>
          </w:tcPr>
          <w:p w14:paraId="190F8783" w14:textId="77777777" w:rsidR="003C12C0" w:rsidRDefault="00000000">
            <w:pPr>
              <w:pStyle w:val="TableText"/>
            </w:pPr>
            <w:r>
              <w:t>1 053</w:t>
            </w:r>
          </w:p>
        </w:tc>
        <w:tc>
          <w:tcPr>
            <w:tcW w:w="0" w:type="auto"/>
            <w:tcBorders>
              <w:top w:val="single" w:sz="4" w:space="0" w:color="000000"/>
              <w:left w:val="single" w:sz="4" w:space="0" w:color="000000"/>
              <w:bottom w:val="single" w:sz="4" w:space="0" w:color="000000"/>
              <w:right w:val="single" w:sz="4" w:space="0" w:color="000000"/>
            </w:tcBorders>
          </w:tcPr>
          <w:p w14:paraId="190F8784"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85"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86" w14:textId="77777777" w:rsidR="003C12C0" w:rsidRDefault="00000000">
            <w:pPr>
              <w:pStyle w:val="TableText"/>
            </w:pPr>
            <w:r>
              <w:t>[N/D]</w:t>
            </w:r>
          </w:p>
        </w:tc>
      </w:tr>
      <w:tr w:rsidR="003C12C0" w14:paraId="190F8790"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788" w14:textId="77777777" w:rsidR="003C12C0" w:rsidRDefault="00000000">
            <w:pPr>
              <w:pStyle w:val="TableText"/>
            </w:pPr>
            <w:r>
              <w:t>Rentes AT/MP — régimes spéciaux</w:t>
            </w:r>
          </w:p>
        </w:tc>
        <w:tc>
          <w:tcPr>
            <w:tcW w:w="0" w:type="auto"/>
            <w:tcBorders>
              <w:top w:val="single" w:sz="4" w:space="0" w:color="000000"/>
              <w:left w:val="single" w:sz="4" w:space="0" w:color="000000"/>
              <w:bottom w:val="single" w:sz="4" w:space="0" w:color="000000"/>
              <w:right w:val="single" w:sz="4" w:space="0" w:color="000000"/>
            </w:tcBorders>
          </w:tcPr>
          <w:p w14:paraId="190F8789"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8A"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8B"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8C"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8D"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8E"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8F" w14:textId="77777777" w:rsidR="003C12C0" w:rsidRDefault="00000000">
            <w:pPr>
              <w:pStyle w:val="TableText"/>
            </w:pPr>
            <w:r>
              <w:t>[N/D]</w:t>
            </w:r>
          </w:p>
        </w:tc>
      </w:tr>
      <w:tr w:rsidR="003C12C0" w14:paraId="190F8799"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791" w14:textId="77777777" w:rsidR="003C12C0" w:rsidRDefault="00000000">
            <w:pPr>
              <w:pStyle w:val="TableText"/>
            </w:pPr>
            <w:r>
              <w:lastRenderedPageBreak/>
              <w:t>Frais de réadaptation fonctionnelle (CNSS)</w:t>
            </w:r>
          </w:p>
        </w:tc>
        <w:tc>
          <w:tcPr>
            <w:tcW w:w="0" w:type="auto"/>
            <w:tcBorders>
              <w:top w:val="single" w:sz="4" w:space="0" w:color="000000"/>
              <w:left w:val="single" w:sz="4" w:space="0" w:color="000000"/>
              <w:bottom w:val="single" w:sz="4" w:space="0" w:color="000000"/>
              <w:right w:val="single" w:sz="4" w:space="0" w:color="000000"/>
            </w:tcBorders>
          </w:tcPr>
          <w:p w14:paraId="190F8792"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93"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94"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95" w14:textId="77777777" w:rsidR="003C12C0" w:rsidRDefault="00000000">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90F8796"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97"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98" w14:textId="77777777" w:rsidR="003C12C0" w:rsidRDefault="00000000">
            <w:pPr>
              <w:pStyle w:val="TableText"/>
            </w:pPr>
            <w:r>
              <w:t>[N/D]</w:t>
            </w:r>
          </w:p>
        </w:tc>
      </w:tr>
      <w:tr w:rsidR="003C12C0" w14:paraId="190F87A2"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79A" w14:textId="77777777" w:rsidR="003C12C0" w:rsidRDefault="00000000">
            <w:pPr>
              <w:pStyle w:val="TableText"/>
            </w:pPr>
            <w:r>
              <w:t>Montant unitaire rente AT/MP (CDF/mois)</w:t>
            </w:r>
          </w:p>
        </w:tc>
        <w:tc>
          <w:tcPr>
            <w:tcW w:w="0" w:type="auto"/>
            <w:tcBorders>
              <w:top w:val="single" w:sz="4" w:space="0" w:color="000000"/>
              <w:left w:val="single" w:sz="4" w:space="0" w:color="000000"/>
              <w:bottom w:val="single" w:sz="4" w:space="0" w:color="000000"/>
              <w:right w:val="single" w:sz="4" w:space="0" w:color="000000"/>
            </w:tcBorders>
          </w:tcPr>
          <w:p w14:paraId="190F879B" w14:textId="77777777" w:rsidR="003C12C0" w:rsidRDefault="00000000">
            <w:pPr>
              <w:pStyle w:val="TableText"/>
            </w:pPr>
            <w:r>
              <w:t>180 000 CDF</w:t>
            </w:r>
          </w:p>
        </w:tc>
        <w:tc>
          <w:tcPr>
            <w:tcW w:w="0" w:type="auto"/>
            <w:tcBorders>
              <w:top w:val="single" w:sz="4" w:space="0" w:color="000000"/>
              <w:left w:val="single" w:sz="4" w:space="0" w:color="000000"/>
              <w:bottom w:val="single" w:sz="4" w:space="0" w:color="000000"/>
              <w:right w:val="single" w:sz="4" w:space="0" w:color="000000"/>
            </w:tcBorders>
          </w:tcPr>
          <w:p w14:paraId="190F879C" w14:textId="77777777" w:rsidR="003C12C0" w:rsidRDefault="00000000">
            <w:pPr>
              <w:pStyle w:val="TableText"/>
            </w:pPr>
            <w:r>
              <w:t>220 000 CDF</w:t>
            </w:r>
          </w:p>
        </w:tc>
        <w:tc>
          <w:tcPr>
            <w:tcW w:w="0" w:type="auto"/>
            <w:tcBorders>
              <w:top w:val="single" w:sz="4" w:space="0" w:color="000000"/>
              <w:left w:val="single" w:sz="4" w:space="0" w:color="000000"/>
              <w:bottom w:val="single" w:sz="4" w:space="0" w:color="000000"/>
              <w:right w:val="single" w:sz="4" w:space="0" w:color="000000"/>
            </w:tcBorders>
          </w:tcPr>
          <w:p w14:paraId="190F879D" w14:textId="77777777" w:rsidR="003C12C0" w:rsidRDefault="00000000">
            <w:pPr>
              <w:pStyle w:val="TableText"/>
            </w:pPr>
            <w:r>
              <w:t>320 000 CDF</w:t>
            </w:r>
          </w:p>
        </w:tc>
        <w:tc>
          <w:tcPr>
            <w:tcW w:w="0" w:type="auto"/>
            <w:tcBorders>
              <w:top w:val="single" w:sz="4" w:space="0" w:color="000000"/>
              <w:left w:val="single" w:sz="4" w:space="0" w:color="000000"/>
              <w:bottom w:val="single" w:sz="4" w:space="0" w:color="000000"/>
              <w:right w:val="single" w:sz="4" w:space="0" w:color="000000"/>
            </w:tcBorders>
          </w:tcPr>
          <w:p w14:paraId="190F879E" w14:textId="77777777" w:rsidR="003C12C0" w:rsidRDefault="00000000">
            <w:pPr>
              <w:pStyle w:val="TableText"/>
            </w:pPr>
            <w:r>
              <w:t>320 000 CDF</w:t>
            </w:r>
          </w:p>
        </w:tc>
        <w:tc>
          <w:tcPr>
            <w:tcW w:w="0" w:type="auto"/>
            <w:tcBorders>
              <w:top w:val="single" w:sz="4" w:space="0" w:color="000000"/>
              <w:left w:val="single" w:sz="4" w:space="0" w:color="000000"/>
              <w:bottom w:val="single" w:sz="4" w:space="0" w:color="000000"/>
              <w:right w:val="single" w:sz="4" w:space="0" w:color="000000"/>
            </w:tcBorders>
          </w:tcPr>
          <w:p w14:paraId="190F879F"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A0"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A1" w14:textId="77777777" w:rsidR="003C12C0" w:rsidRDefault="00000000">
            <w:pPr>
              <w:pStyle w:val="TableText"/>
            </w:pPr>
            <w:r>
              <w:t>[N/D]</w:t>
            </w:r>
          </w:p>
        </w:tc>
      </w:tr>
    </w:tbl>
    <w:p w14:paraId="190F87A3" w14:textId="77777777" w:rsidR="003C12C0" w:rsidRPr="00DF4DEA" w:rsidRDefault="00000000">
      <w:pPr>
        <w:pStyle w:val="Source-GraphicPicture"/>
        <w:rPr>
          <w:lang w:val="fr-CH"/>
        </w:rPr>
      </w:pPr>
      <w:r w:rsidRPr="00DF4DEA">
        <w:rPr>
          <w:i/>
          <w:iCs/>
          <w:lang w:val="fr-CH"/>
        </w:rPr>
        <w:t>Source : ESS OIT — CNSS (2019–2022). Régimes spéciaux : données non disponibles.</w:t>
      </w:r>
    </w:p>
    <w:p w14:paraId="190F87A4" w14:textId="77777777" w:rsidR="003C12C0" w:rsidRDefault="00000000">
      <w:r>
        <w:rPr>
          <w:b/>
          <w:bCs/>
        </w:rPr>
        <w:t>Note méthodologique — Couverture AT/MP et dénominateur :</w:t>
      </w:r>
      <w:r>
        <w:t xml:space="preserve"> Le taux de couverture en accidents du travail et maladies professionnelles (AT/MP) est calculé en rapportant le nombre de cotisants/assurés actifs AT/MP à la population en emploi (et non à la population active). Cette correction méthodologique exclut les chômeurs, qui ne courent par définition aucun risque d'accident du travail. Le résultat est exprimé en % de la population totale, conformément aux standards OIT. Cette approche harmonise le traitement de l'indicateur AT/MP avec celui de l'indicateur handicap/invalidité (ODD 1.3.1). Pour plus de détails, voir section 5 (Indicateurs ODD).</w:t>
      </w:r>
    </w:p>
    <w:p w14:paraId="190F87A5" w14:textId="77777777" w:rsidR="003C12C0" w:rsidRDefault="00000000">
      <w:pPr>
        <w:pStyle w:val="Heading2"/>
      </w:pPr>
      <w:bookmarkStart w:id="65" w:name="Xf86aa574e413c13a983826bfc223d8060d7dd61"/>
      <w:bookmarkEnd w:id="58"/>
      <w:bookmarkEnd w:id="63"/>
      <w:r>
        <w:t>4.4 — Protection des enfants et des familles</w:t>
      </w:r>
    </w:p>
    <w:p w14:paraId="190F87A6" w14:textId="77777777" w:rsidR="003C12C0" w:rsidRDefault="00000000">
      <w:pPr>
        <w:pStyle w:val="Heading3"/>
      </w:pPr>
      <w:bookmarkStart w:id="66" w:name="X7da1873152c1c5eecc3a3af369b66d828b9da00"/>
      <w:r>
        <w:t>Allocations familiales — régimes contributifs</w:t>
      </w:r>
    </w:p>
    <w:p w14:paraId="190F87A7" w14:textId="77777777" w:rsidR="003C12C0" w:rsidRDefault="00000000">
      <w:r>
        <w:t>Les allocations familiales constituent, en termes de volume de bénéficiaires, la prestation la plus importante de la CNSS. Elles bénéficient aux enfants des travailleurs assurés du secteur privé, sous conditions d'éligibilité définies par la législation nationale.</w:t>
      </w:r>
    </w:p>
    <w:p w14:paraId="190F87A8" w14:textId="77777777" w:rsidR="003C12C0" w:rsidRDefault="00000000">
      <w:pPr>
        <w:pStyle w:val="TableTitle"/>
      </w:pPr>
      <w:bookmarkStart w:id="67" w:name="_Toc234324548"/>
      <w:r>
        <w:t>Tableau 4.6 — Enfants couverts par les allocations familiales, CNSS et CNSSAP (2019–2025) [src]</w:t>
      </w:r>
      <w:r>
        <w:rPr>
          <w:rStyle w:val="FootnoteReference"/>
        </w:rPr>
        <w:footnoteReference w:id="89"/>
      </w:r>
      <w:bookmarkEnd w:id="67"/>
    </w:p>
    <w:tbl>
      <w:tblPr>
        <w:tblStyle w:val="ILOTable"/>
        <w:tblW w:w="5000" w:type="pct"/>
        <w:tblLook w:val="0020" w:firstRow="1" w:lastRow="0" w:firstColumn="0" w:lastColumn="0" w:noHBand="0" w:noVBand="0"/>
      </w:tblPr>
      <w:tblGrid>
        <w:gridCol w:w="1506"/>
        <w:gridCol w:w="3090"/>
        <w:gridCol w:w="735"/>
        <w:gridCol w:w="735"/>
        <w:gridCol w:w="735"/>
        <w:gridCol w:w="735"/>
        <w:gridCol w:w="508"/>
        <w:gridCol w:w="508"/>
        <w:gridCol w:w="508"/>
      </w:tblGrid>
      <w:tr w:rsidR="003C12C0" w14:paraId="190F87B2"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7A9" w14:textId="77777777" w:rsidR="003C12C0" w:rsidRDefault="00000000">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190F87AA" w14:textId="77777777" w:rsidR="003C12C0"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90F87AB" w14:textId="77777777" w:rsidR="003C12C0"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90F87AC" w14:textId="77777777" w:rsidR="003C12C0"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90F87AD" w14:textId="77777777" w:rsidR="003C12C0"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90F87AE" w14:textId="77777777" w:rsidR="003C12C0"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90F87AF" w14:textId="77777777" w:rsidR="003C12C0"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90F87B0" w14:textId="77777777" w:rsidR="003C12C0"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90F87B1" w14:textId="77777777" w:rsidR="003C12C0" w:rsidRDefault="00000000">
            <w:pPr>
              <w:pStyle w:val="TableHeader"/>
            </w:pPr>
            <w:r>
              <w:t>2025</w:t>
            </w:r>
          </w:p>
        </w:tc>
      </w:tr>
      <w:tr w:rsidR="003C12C0" w14:paraId="190F87BC"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7B3" w14:textId="77777777" w:rsidR="003C12C0" w:rsidRDefault="00000000">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190F87B4" w14:textId="77777777" w:rsidR="003C12C0" w:rsidRDefault="00000000">
            <w:pPr>
              <w:pStyle w:val="TableText"/>
            </w:pPr>
            <w:r>
              <w:t>Enfants couverts (allocations familiales)</w:t>
            </w:r>
          </w:p>
        </w:tc>
        <w:tc>
          <w:tcPr>
            <w:tcW w:w="0" w:type="auto"/>
            <w:tcBorders>
              <w:top w:val="single" w:sz="4" w:space="0" w:color="000000"/>
              <w:left w:val="single" w:sz="4" w:space="0" w:color="000000"/>
              <w:bottom w:val="single" w:sz="4" w:space="0" w:color="000000"/>
              <w:right w:val="single" w:sz="4" w:space="0" w:color="000000"/>
            </w:tcBorders>
          </w:tcPr>
          <w:p w14:paraId="190F87B5" w14:textId="77777777" w:rsidR="003C12C0" w:rsidRDefault="00000000">
            <w:pPr>
              <w:pStyle w:val="TableText"/>
            </w:pPr>
            <w:r>
              <w:t>267 445</w:t>
            </w:r>
          </w:p>
        </w:tc>
        <w:tc>
          <w:tcPr>
            <w:tcW w:w="0" w:type="auto"/>
            <w:tcBorders>
              <w:top w:val="single" w:sz="4" w:space="0" w:color="000000"/>
              <w:left w:val="single" w:sz="4" w:space="0" w:color="000000"/>
              <w:bottom w:val="single" w:sz="4" w:space="0" w:color="000000"/>
              <w:right w:val="single" w:sz="4" w:space="0" w:color="000000"/>
            </w:tcBorders>
          </w:tcPr>
          <w:p w14:paraId="190F87B6" w14:textId="77777777" w:rsidR="003C12C0" w:rsidRDefault="00000000">
            <w:pPr>
              <w:pStyle w:val="TableText"/>
            </w:pPr>
            <w:r>
              <w:t>294 346</w:t>
            </w:r>
          </w:p>
        </w:tc>
        <w:tc>
          <w:tcPr>
            <w:tcW w:w="0" w:type="auto"/>
            <w:tcBorders>
              <w:top w:val="single" w:sz="4" w:space="0" w:color="000000"/>
              <w:left w:val="single" w:sz="4" w:space="0" w:color="000000"/>
              <w:bottom w:val="single" w:sz="4" w:space="0" w:color="000000"/>
              <w:right w:val="single" w:sz="4" w:space="0" w:color="000000"/>
            </w:tcBorders>
          </w:tcPr>
          <w:p w14:paraId="190F87B7" w14:textId="77777777" w:rsidR="003C12C0" w:rsidRDefault="00000000">
            <w:pPr>
              <w:pStyle w:val="TableText"/>
            </w:pPr>
            <w:r>
              <w:t>396 399</w:t>
            </w:r>
          </w:p>
        </w:tc>
        <w:tc>
          <w:tcPr>
            <w:tcW w:w="0" w:type="auto"/>
            <w:tcBorders>
              <w:top w:val="single" w:sz="4" w:space="0" w:color="000000"/>
              <w:left w:val="single" w:sz="4" w:space="0" w:color="000000"/>
              <w:bottom w:val="single" w:sz="4" w:space="0" w:color="000000"/>
              <w:right w:val="single" w:sz="4" w:space="0" w:color="000000"/>
            </w:tcBorders>
          </w:tcPr>
          <w:p w14:paraId="190F87B8" w14:textId="77777777" w:rsidR="003C12C0" w:rsidRDefault="00000000">
            <w:pPr>
              <w:pStyle w:val="TableText"/>
            </w:pPr>
            <w:r>
              <w:t>356 423</w:t>
            </w:r>
          </w:p>
        </w:tc>
        <w:tc>
          <w:tcPr>
            <w:tcW w:w="0" w:type="auto"/>
            <w:tcBorders>
              <w:top w:val="single" w:sz="4" w:space="0" w:color="000000"/>
              <w:left w:val="single" w:sz="4" w:space="0" w:color="000000"/>
              <w:bottom w:val="single" w:sz="4" w:space="0" w:color="000000"/>
              <w:right w:val="single" w:sz="4" w:space="0" w:color="000000"/>
            </w:tcBorders>
          </w:tcPr>
          <w:p w14:paraId="190F87B9"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BA"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BB" w14:textId="77777777" w:rsidR="003C12C0" w:rsidRDefault="00000000">
            <w:pPr>
              <w:pStyle w:val="TableText"/>
            </w:pPr>
            <w:r>
              <w:t>[N/D]</w:t>
            </w:r>
          </w:p>
        </w:tc>
      </w:tr>
      <w:tr w:rsidR="003C12C0" w14:paraId="190F87C6"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7BD" w14:textId="77777777" w:rsidR="003C12C0" w:rsidRDefault="00000000">
            <w:pPr>
              <w:pStyle w:val="TableText"/>
            </w:pPr>
            <w:r>
              <w:t>CNSSAP</w:t>
            </w:r>
          </w:p>
        </w:tc>
        <w:tc>
          <w:tcPr>
            <w:tcW w:w="0" w:type="auto"/>
            <w:tcBorders>
              <w:top w:val="single" w:sz="4" w:space="0" w:color="000000"/>
              <w:left w:val="single" w:sz="4" w:space="0" w:color="000000"/>
              <w:bottom w:val="single" w:sz="4" w:space="0" w:color="000000"/>
              <w:right w:val="single" w:sz="4" w:space="0" w:color="000000"/>
            </w:tcBorders>
          </w:tcPr>
          <w:p w14:paraId="190F87BE" w14:textId="77777777" w:rsidR="003C12C0" w:rsidRDefault="00000000">
            <w:pPr>
              <w:pStyle w:val="TableText"/>
            </w:pPr>
            <w:r>
              <w:t>Enfants couverts (allocations familiales)</w:t>
            </w:r>
          </w:p>
        </w:tc>
        <w:tc>
          <w:tcPr>
            <w:tcW w:w="0" w:type="auto"/>
            <w:tcBorders>
              <w:top w:val="single" w:sz="4" w:space="0" w:color="000000"/>
              <w:left w:val="single" w:sz="4" w:space="0" w:color="000000"/>
              <w:bottom w:val="single" w:sz="4" w:space="0" w:color="000000"/>
              <w:right w:val="single" w:sz="4" w:space="0" w:color="000000"/>
            </w:tcBorders>
          </w:tcPr>
          <w:p w14:paraId="190F87BF"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C0"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C1"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C2" w14:textId="77777777" w:rsidR="003C12C0" w:rsidRDefault="00000000">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90F87C3"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C4"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C5" w14:textId="77777777" w:rsidR="003C12C0" w:rsidRDefault="00000000">
            <w:pPr>
              <w:pStyle w:val="TableText"/>
            </w:pPr>
            <w:r>
              <w:t>[N/D]</w:t>
            </w:r>
          </w:p>
        </w:tc>
      </w:tr>
      <w:tr w:rsidR="003C12C0" w14:paraId="190F87D0"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7C7" w14:textId="77777777" w:rsidR="003C12C0" w:rsidRDefault="00000000">
            <w:pPr>
              <w:pStyle w:val="TableText"/>
            </w:pPr>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190F87C8" w14:textId="77777777" w:rsidR="003C12C0" w:rsidRDefault="00000000">
            <w:pPr>
              <w:pStyle w:val="TableText"/>
            </w:pPr>
            <w:r>
              <w:t>Enfants couverts (allocations familiales)</w:t>
            </w:r>
          </w:p>
        </w:tc>
        <w:tc>
          <w:tcPr>
            <w:tcW w:w="0" w:type="auto"/>
            <w:tcBorders>
              <w:top w:val="single" w:sz="4" w:space="0" w:color="000000"/>
              <w:left w:val="single" w:sz="4" w:space="0" w:color="000000"/>
              <w:bottom w:val="single" w:sz="4" w:space="0" w:color="000000"/>
              <w:right w:val="single" w:sz="4" w:space="0" w:color="000000"/>
            </w:tcBorders>
          </w:tcPr>
          <w:p w14:paraId="190F87C9"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CA"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CB"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CC"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CD"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CE"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CF" w14:textId="77777777" w:rsidR="003C12C0" w:rsidRDefault="00000000">
            <w:pPr>
              <w:pStyle w:val="TableText"/>
            </w:pPr>
            <w:r>
              <w:t>[N/D]</w:t>
            </w:r>
          </w:p>
        </w:tc>
      </w:tr>
    </w:tbl>
    <w:p w14:paraId="190F87D1" w14:textId="77777777" w:rsidR="003C12C0" w:rsidRPr="00DF4DEA" w:rsidRDefault="00000000">
      <w:pPr>
        <w:pStyle w:val="Source-GraphicPicture"/>
        <w:rPr>
          <w:lang w:val="fr-CH"/>
        </w:rPr>
      </w:pPr>
      <w:r w:rsidRPr="00DF4DEA">
        <w:rPr>
          <w:i/>
          <w:iCs/>
          <w:lang w:val="fr-CH"/>
        </w:rPr>
        <w:t>Source : ESS OIT — CNSS (2019–2022) et CNSSAP (2020–2022). Régimes spéciaux : données non disponibles — à instruire.</w:t>
      </w:r>
    </w:p>
    <w:p w14:paraId="190F87D2" w14:textId="77777777" w:rsidR="003C12C0" w:rsidRDefault="00000000">
      <w:pPr>
        <w:pStyle w:val="Heading3"/>
      </w:pPr>
      <w:bookmarkStart w:id="68" w:name="X262bbdddb7cde165cc169afaec4343406c1d826"/>
      <w:bookmarkEnd w:id="66"/>
      <w:r>
        <w:t>Adéquation des allocations familiales</w:t>
      </w:r>
    </w:p>
    <w:p w14:paraId="190F87D3" w14:textId="77777777" w:rsidR="003C12C0" w:rsidRDefault="00000000">
      <w:r>
        <w:t>L'allocation familiale est versée mensuellement par enfant à charge. Le tableau présente l'évolution du montant unitaire de cette allocation et le seuil de pauvreté par personne pour la même période.</w:t>
      </w:r>
    </w:p>
    <w:p w14:paraId="190F87D4" w14:textId="77777777" w:rsidR="003C12C0" w:rsidRDefault="00000000">
      <w:pPr>
        <w:pStyle w:val="TableTitle"/>
      </w:pPr>
      <w:bookmarkStart w:id="69" w:name="_Toc234324549"/>
      <w:r>
        <w:t>Tableau 4.7 — Montant de l'allocation familiale CNSS et seuil de pauvreté de référence (2019–2025) [src]</w:t>
      </w:r>
      <w:r>
        <w:rPr>
          <w:rStyle w:val="FootnoteReference"/>
        </w:rPr>
        <w:footnoteReference w:id="90"/>
      </w:r>
      <w:bookmarkEnd w:id="69"/>
    </w:p>
    <w:tbl>
      <w:tblPr>
        <w:tblStyle w:val="ILOTable"/>
        <w:tblW w:w="5000" w:type="pct"/>
        <w:tblLook w:val="0020" w:firstRow="1" w:lastRow="0" w:firstColumn="0" w:lastColumn="0" w:noHBand="0" w:noVBand="0"/>
      </w:tblPr>
      <w:tblGrid>
        <w:gridCol w:w="2413"/>
        <w:gridCol w:w="1310"/>
        <w:gridCol w:w="1310"/>
        <w:gridCol w:w="1310"/>
        <w:gridCol w:w="1310"/>
        <w:gridCol w:w="469"/>
        <w:gridCol w:w="469"/>
        <w:gridCol w:w="469"/>
      </w:tblGrid>
      <w:tr w:rsidR="003C12C0" w14:paraId="190F87DD"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7D5" w14:textId="77777777" w:rsidR="003C12C0"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90F87D6" w14:textId="77777777" w:rsidR="003C12C0"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90F87D7" w14:textId="77777777" w:rsidR="003C12C0"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90F87D8" w14:textId="77777777" w:rsidR="003C12C0"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90F87D9" w14:textId="77777777" w:rsidR="003C12C0"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90F87DA" w14:textId="77777777" w:rsidR="003C12C0"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90F87DB" w14:textId="77777777" w:rsidR="003C12C0"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90F87DC" w14:textId="77777777" w:rsidR="003C12C0" w:rsidRDefault="00000000">
            <w:pPr>
              <w:pStyle w:val="TableHeader"/>
            </w:pPr>
            <w:r>
              <w:t>2025</w:t>
            </w:r>
          </w:p>
        </w:tc>
      </w:tr>
      <w:tr w:rsidR="003C12C0" w14:paraId="190F87E6"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7DE" w14:textId="77777777" w:rsidR="003C12C0" w:rsidRDefault="00000000">
            <w:pPr>
              <w:pStyle w:val="TableText"/>
            </w:pPr>
            <w:r>
              <w:t>Montant allocation familiale CNSS (CDF/mois)</w:t>
            </w:r>
          </w:p>
        </w:tc>
        <w:tc>
          <w:tcPr>
            <w:tcW w:w="0" w:type="auto"/>
            <w:tcBorders>
              <w:top w:val="single" w:sz="4" w:space="0" w:color="000000"/>
              <w:left w:val="single" w:sz="4" w:space="0" w:color="000000"/>
              <w:bottom w:val="single" w:sz="4" w:space="0" w:color="000000"/>
              <w:right w:val="single" w:sz="4" w:space="0" w:color="000000"/>
            </w:tcBorders>
          </w:tcPr>
          <w:p w14:paraId="190F87DF" w14:textId="77777777" w:rsidR="003C12C0"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90F87E0" w14:textId="77777777" w:rsidR="003C12C0"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90F87E1" w14:textId="77777777" w:rsidR="003C12C0"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90F87E2" w14:textId="77777777" w:rsidR="003C12C0"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90F87E3"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E4"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E5" w14:textId="77777777" w:rsidR="003C12C0" w:rsidRDefault="00000000">
            <w:pPr>
              <w:pStyle w:val="TableText"/>
            </w:pPr>
            <w:r>
              <w:t>[N/D]</w:t>
            </w:r>
          </w:p>
        </w:tc>
      </w:tr>
      <w:tr w:rsidR="003C12C0" w14:paraId="190F87EF"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7E7" w14:textId="77777777" w:rsidR="003C12C0" w:rsidRDefault="00000000">
            <w:pPr>
              <w:pStyle w:val="TableText"/>
            </w:pPr>
            <w:r>
              <w:t>Seuil de pauvreté par personne (CDF/mois)</w:t>
            </w:r>
          </w:p>
        </w:tc>
        <w:tc>
          <w:tcPr>
            <w:tcW w:w="0" w:type="auto"/>
            <w:tcBorders>
              <w:top w:val="single" w:sz="4" w:space="0" w:color="000000"/>
              <w:left w:val="single" w:sz="4" w:space="0" w:color="000000"/>
              <w:bottom w:val="single" w:sz="4" w:space="0" w:color="000000"/>
              <w:right w:val="single" w:sz="4" w:space="0" w:color="000000"/>
            </w:tcBorders>
          </w:tcPr>
          <w:p w14:paraId="190F87E8" w14:textId="77777777" w:rsidR="003C12C0" w:rsidRDefault="00000000">
            <w:pPr>
              <w:pStyle w:val="TableTex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90F87E9" w14:textId="77777777" w:rsidR="003C12C0" w:rsidRDefault="00000000">
            <w:pPr>
              <w:pStyle w:val="TableTex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90F87EA" w14:textId="77777777" w:rsidR="003C12C0" w:rsidRDefault="00000000">
            <w:pPr>
              <w:pStyle w:val="TableTex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90F87EB" w14:textId="77777777" w:rsidR="003C12C0" w:rsidRDefault="00000000">
            <w:pPr>
              <w:pStyle w:val="TableTex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90F87EC"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ED"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EE" w14:textId="77777777" w:rsidR="003C12C0" w:rsidRDefault="00000000">
            <w:pPr>
              <w:pStyle w:val="TableText"/>
            </w:pPr>
            <w:r>
              <w:t>[N/D]</w:t>
            </w:r>
          </w:p>
        </w:tc>
      </w:tr>
    </w:tbl>
    <w:p w14:paraId="190F87F0" w14:textId="77777777" w:rsidR="003C12C0" w:rsidRPr="00DF4DEA" w:rsidRDefault="00000000">
      <w:pPr>
        <w:pStyle w:val="Source-GraphicPicture"/>
        <w:rPr>
          <w:lang w:val="fr-CH"/>
        </w:rPr>
      </w:pPr>
      <w:r w:rsidRPr="00DF4DEA">
        <w:rPr>
          <w:i/>
          <w:iCs/>
          <w:lang w:val="fr-CH"/>
        </w:rPr>
        <w:t>Source : ESS OIT — CNSS ; seuil de pauvreté : estimation à construire à partir des données INS.</w:t>
      </w:r>
    </w:p>
    <w:p w14:paraId="190F87F1" w14:textId="77777777" w:rsidR="003C12C0" w:rsidRDefault="00000000">
      <w:pPr>
        <w:pStyle w:val="Heading3"/>
      </w:pPr>
      <w:bookmarkStart w:id="70" w:name="X15ffa240d97e719e2ce640c14414307b19d0b60"/>
      <w:bookmarkEnd w:id="68"/>
      <w:r>
        <w:lastRenderedPageBreak/>
        <w:t>Programmes non contributifs ciblant enfants et familles</w:t>
      </w:r>
    </w:p>
    <w:p w14:paraId="190F87F2" w14:textId="77777777" w:rsidR="003C12C0" w:rsidRDefault="00000000">
      <w:r>
        <w:t>Le tableau recense les programmes d'assistance sociale non contributifs ciblant les enfants et les ménages, ainsi que les données de couverture disponibles pour la période considérée.</w:t>
      </w:r>
    </w:p>
    <w:p w14:paraId="190F87F3" w14:textId="77777777" w:rsidR="003C12C0" w:rsidRDefault="00000000">
      <w:pPr>
        <w:pStyle w:val="TableTitle"/>
      </w:pPr>
      <w:bookmarkStart w:id="71" w:name="_Toc234324550"/>
      <w:r>
        <w:t>Tableau 4.8 — Programmes non contributifs ciblant les enfants et les familles [src]</w:t>
      </w:r>
      <w:r>
        <w:rPr>
          <w:rStyle w:val="FootnoteReference"/>
        </w:rPr>
        <w:footnoteReference w:id="91"/>
      </w:r>
      <w:bookmarkEnd w:id="71"/>
    </w:p>
    <w:tbl>
      <w:tblPr>
        <w:tblStyle w:val="ILOTable"/>
        <w:tblW w:w="5000" w:type="pct"/>
        <w:tblLook w:val="0020" w:firstRow="1" w:lastRow="0" w:firstColumn="0" w:lastColumn="0" w:noHBand="0" w:noVBand="0"/>
      </w:tblPr>
      <w:tblGrid>
        <w:gridCol w:w="2458"/>
        <w:gridCol w:w="1191"/>
        <w:gridCol w:w="3279"/>
        <w:gridCol w:w="1414"/>
        <w:gridCol w:w="718"/>
      </w:tblGrid>
      <w:tr w:rsidR="003C12C0" w14:paraId="190F87F9"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7F4" w14:textId="77777777" w:rsidR="003C12C0" w:rsidRDefault="00000000">
            <w:pPr>
              <w:pStyle w:val="TableHeader"/>
            </w:pPr>
            <w:r>
              <w:t>Programme</w:t>
            </w:r>
          </w:p>
        </w:tc>
        <w:tc>
          <w:tcPr>
            <w:tcW w:w="0" w:type="auto"/>
            <w:tcBorders>
              <w:top w:val="single" w:sz="4" w:space="0" w:color="000000"/>
              <w:left w:val="single" w:sz="4" w:space="0" w:color="000000"/>
              <w:bottom w:val="single" w:sz="4" w:space="0" w:color="000000"/>
              <w:right w:val="single" w:sz="4" w:space="0" w:color="000000"/>
            </w:tcBorders>
          </w:tcPr>
          <w:p w14:paraId="190F87F5" w14:textId="77777777" w:rsidR="003C12C0" w:rsidRDefault="00000000">
            <w:pPr>
              <w:pStyle w:val="TableHeader"/>
            </w:pPr>
            <w:r>
              <w:t>Gestionnaire</w:t>
            </w:r>
          </w:p>
        </w:tc>
        <w:tc>
          <w:tcPr>
            <w:tcW w:w="0" w:type="auto"/>
            <w:tcBorders>
              <w:top w:val="single" w:sz="4" w:space="0" w:color="000000"/>
              <w:left w:val="single" w:sz="4" w:space="0" w:color="000000"/>
              <w:bottom w:val="single" w:sz="4" w:space="0" w:color="000000"/>
              <w:right w:val="single" w:sz="4" w:space="0" w:color="000000"/>
            </w:tcBorders>
          </w:tcPr>
          <w:p w14:paraId="190F87F6" w14:textId="77777777" w:rsidR="003C12C0" w:rsidRDefault="00000000">
            <w:pPr>
              <w:pStyle w:val="TableHeader"/>
            </w:pPr>
            <w:r>
              <w:t>Bénéficiaires (dernière année connue)</w:t>
            </w:r>
          </w:p>
        </w:tc>
        <w:tc>
          <w:tcPr>
            <w:tcW w:w="0" w:type="auto"/>
            <w:tcBorders>
              <w:top w:val="single" w:sz="4" w:space="0" w:color="000000"/>
              <w:left w:val="single" w:sz="4" w:space="0" w:color="000000"/>
              <w:bottom w:val="single" w:sz="4" w:space="0" w:color="000000"/>
              <w:right w:val="single" w:sz="4" w:space="0" w:color="000000"/>
            </w:tcBorders>
          </w:tcPr>
          <w:p w14:paraId="190F87F7" w14:textId="77777777" w:rsidR="003C12C0" w:rsidRDefault="00000000">
            <w:pPr>
              <w:pStyle w:val="TableHeader"/>
            </w:pPr>
            <w:r>
              <w:t>Montant moyen</w:t>
            </w:r>
          </w:p>
        </w:tc>
        <w:tc>
          <w:tcPr>
            <w:tcW w:w="0" w:type="auto"/>
            <w:tcBorders>
              <w:top w:val="single" w:sz="4" w:space="0" w:color="000000"/>
              <w:left w:val="single" w:sz="4" w:space="0" w:color="000000"/>
              <w:bottom w:val="single" w:sz="4" w:space="0" w:color="000000"/>
              <w:right w:val="single" w:sz="4" w:space="0" w:color="000000"/>
            </w:tcBorders>
          </w:tcPr>
          <w:p w14:paraId="190F87F8" w14:textId="77777777" w:rsidR="003C12C0" w:rsidRDefault="00000000">
            <w:pPr>
              <w:pStyle w:val="TableHeader"/>
            </w:pPr>
            <w:r>
              <w:t>Source</w:t>
            </w:r>
          </w:p>
        </w:tc>
      </w:tr>
      <w:tr w:rsidR="003C12C0" w14:paraId="190F87FF"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7FA" w14:textId="77777777" w:rsidR="003C12C0" w:rsidRDefault="00000000">
            <w:pPr>
              <w:pStyle w:val="TableText"/>
            </w:pPr>
            <w:r>
              <w:t>[Programme 1 — à compléter]</w:t>
            </w:r>
          </w:p>
        </w:tc>
        <w:tc>
          <w:tcPr>
            <w:tcW w:w="0" w:type="auto"/>
            <w:tcBorders>
              <w:top w:val="single" w:sz="4" w:space="0" w:color="000000"/>
              <w:left w:val="single" w:sz="4" w:space="0" w:color="000000"/>
              <w:bottom w:val="single" w:sz="4" w:space="0" w:color="000000"/>
              <w:right w:val="single" w:sz="4" w:space="0" w:color="000000"/>
            </w:tcBorders>
          </w:tcPr>
          <w:p w14:paraId="190F87FB"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FC"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FD"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7FE" w14:textId="77777777" w:rsidR="003C12C0" w:rsidRDefault="00000000">
            <w:pPr>
              <w:pStyle w:val="TableText"/>
            </w:pPr>
            <w:r>
              <w:t>0</w:t>
            </w:r>
          </w:p>
        </w:tc>
      </w:tr>
      <w:tr w:rsidR="003C12C0" w14:paraId="190F8805"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800" w14:textId="77777777" w:rsidR="003C12C0" w:rsidRDefault="00000000">
            <w:pPr>
              <w:pStyle w:val="TableText"/>
            </w:pPr>
            <w:r>
              <w:t>[Programme 2 — à compléter]</w:t>
            </w:r>
          </w:p>
        </w:tc>
        <w:tc>
          <w:tcPr>
            <w:tcW w:w="0" w:type="auto"/>
            <w:tcBorders>
              <w:top w:val="single" w:sz="4" w:space="0" w:color="000000"/>
              <w:left w:val="single" w:sz="4" w:space="0" w:color="000000"/>
              <w:bottom w:val="single" w:sz="4" w:space="0" w:color="000000"/>
              <w:right w:val="single" w:sz="4" w:space="0" w:color="000000"/>
            </w:tcBorders>
          </w:tcPr>
          <w:p w14:paraId="190F8801"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02"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03"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04" w14:textId="77777777" w:rsidR="003C12C0" w:rsidRDefault="00000000">
            <w:pPr>
              <w:pStyle w:val="TableText"/>
            </w:pPr>
            <w:r>
              <w:t>0</w:t>
            </w:r>
          </w:p>
        </w:tc>
      </w:tr>
    </w:tbl>
    <w:p w14:paraId="190F8806" w14:textId="77777777" w:rsidR="003C12C0" w:rsidRDefault="00000000">
      <w:pPr>
        <w:pStyle w:val="Heading2"/>
      </w:pPr>
      <w:bookmarkStart w:id="72" w:name="Xd94aeefddf9079d02dc0cd4611d38e08d1810d1"/>
      <w:bookmarkEnd w:id="65"/>
      <w:bookmarkEnd w:id="70"/>
      <w:r>
        <w:t>4.5 — Protection en cas d'invalidité</w:t>
      </w:r>
    </w:p>
    <w:p w14:paraId="190F8807" w14:textId="77777777" w:rsidR="003C12C0" w:rsidRDefault="00000000">
      <w:pPr>
        <w:pStyle w:val="Heading3"/>
      </w:pPr>
      <w:bookmarkStart w:id="73" w:name="Xf6a4a96f7d72a7a9167f966ddfdd89ca8312eba"/>
      <w:r>
        <w:t>Pensions d'invalidité — régimes contributifs</w:t>
      </w:r>
    </w:p>
    <w:p w14:paraId="190F8808" w14:textId="77777777" w:rsidR="003C12C0" w:rsidRDefault="00000000">
      <w:r>
        <w:t>La branche invalidité couvre les assurés reconnus en incapacité permanente de travail, sous conditions de durée de cotisation préalable. Le tableau présente l'évolution du nombre de pensionnés et du montant unitaire de la pension d'invalidité.</w:t>
      </w:r>
    </w:p>
    <w:p w14:paraId="190F8809" w14:textId="77777777" w:rsidR="003C12C0" w:rsidRDefault="00000000">
      <w:pPr>
        <w:pStyle w:val="TableTitle"/>
      </w:pPr>
      <w:bookmarkStart w:id="74" w:name="_Toc234324551"/>
      <w:r>
        <w:t>Tableau 4.9 — Bénéficiaires de pensions d'invalidité, CNSS et CNSSAP (2019–2025) [src]</w:t>
      </w:r>
      <w:r>
        <w:rPr>
          <w:rStyle w:val="FootnoteReference"/>
        </w:rPr>
        <w:footnoteReference w:id="92"/>
      </w:r>
      <w:bookmarkEnd w:id="74"/>
    </w:p>
    <w:tbl>
      <w:tblPr>
        <w:tblStyle w:val="ILOTable"/>
        <w:tblW w:w="5000" w:type="pct"/>
        <w:tblLook w:val="0020" w:firstRow="1" w:lastRow="0" w:firstColumn="0" w:lastColumn="0" w:noHBand="0" w:noVBand="0"/>
      </w:tblPr>
      <w:tblGrid>
        <w:gridCol w:w="1311"/>
        <w:gridCol w:w="2962"/>
        <w:gridCol w:w="845"/>
        <w:gridCol w:w="845"/>
        <w:gridCol w:w="845"/>
        <w:gridCol w:w="845"/>
        <w:gridCol w:w="469"/>
        <w:gridCol w:w="469"/>
        <w:gridCol w:w="469"/>
      </w:tblGrid>
      <w:tr w:rsidR="003C12C0" w14:paraId="190F8813"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80A" w14:textId="77777777" w:rsidR="003C12C0" w:rsidRDefault="00000000">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190F880B" w14:textId="77777777" w:rsidR="003C12C0"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90F880C" w14:textId="77777777" w:rsidR="003C12C0"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90F880D" w14:textId="77777777" w:rsidR="003C12C0"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90F880E" w14:textId="77777777" w:rsidR="003C12C0"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90F880F" w14:textId="77777777" w:rsidR="003C12C0"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90F8810" w14:textId="77777777" w:rsidR="003C12C0"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90F8811" w14:textId="77777777" w:rsidR="003C12C0"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90F8812" w14:textId="77777777" w:rsidR="003C12C0" w:rsidRDefault="00000000">
            <w:pPr>
              <w:pStyle w:val="TableHeader"/>
            </w:pPr>
            <w:r>
              <w:t>2025</w:t>
            </w:r>
          </w:p>
        </w:tc>
      </w:tr>
      <w:tr w:rsidR="003C12C0" w14:paraId="190F881D"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814" w14:textId="77777777" w:rsidR="003C12C0" w:rsidRDefault="00000000">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190F8815" w14:textId="77777777" w:rsidR="003C12C0" w:rsidRDefault="00000000">
            <w:pPr>
              <w:pStyle w:val="TableText"/>
            </w:pPr>
            <w:r>
              <w:t>Pensionnés invalidité (total)</w:t>
            </w:r>
          </w:p>
        </w:tc>
        <w:tc>
          <w:tcPr>
            <w:tcW w:w="0" w:type="auto"/>
            <w:tcBorders>
              <w:top w:val="single" w:sz="4" w:space="0" w:color="000000"/>
              <w:left w:val="single" w:sz="4" w:space="0" w:color="000000"/>
              <w:bottom w:val="single" w:sz="4" w:space="0" w:color="000000"/>
              <w:right w:val="single" w:sz="4" w:space="0" w:color="000000"/>
            </w:tcBorders>
          </w:tcPr>
          <w:p w14:paraId="190F8816" w14:textId="77777777" w:rsidR="003C12C0" w:rsidRDefault="00000000">
            <w:pPr>
              <w:pStyle w:val="TableText"/>
            </w:pPr>
            <w:r>
              <w:t>883</w:t>
            </w:r>
          </w:p>
        </w:tc>
        <w:tc>
          <w:tcPr>
            <w:tcW w:w="0" w:type="auto"/>
            <w:tcBorders>
              <w:top w:val="single" w:sz="4" w:space="0" w:color="000000"/>
              <w:left w:val="single" w:sz="4" w:space="0" w:color="000000"/>
              <w:bottom w:val="single" w:sz="4" w:space="0" w:color="000000"/>
              <w:right w:val="single" w:sz="4" w:space="0" w:color="000000"/>
            </w:tcBorders>
          </w:tcPr>
          <w:p w14:paraId="190F8817" w14:textId="77777777" w:rsidR="003C12C0" w:rsidRDefault="00000000">
            <w:pPr>
              <w:pStyle w:val="TableText"/>
            </w:pPr>
            <w:r>
              <w:t>568</w:t>
            </w:r>
          </w:p>
        </w:tc>
        <w:tc>
          <w:tcPr>
            <w:tcW w:w="0" w:type="auto"/>
            <w:tcBorders>
              <w:top w:val="single" w:sz="4" w:space="0" w:color="000000"/>
              <w:left w:val="single" w:sz="4" w:space="0" w:color="000000"/>
              <w:bottom w:val="single" w:sz="4" w:space="0" w:color="000000"/>
              <w:right w:val="single" w:sz="4" w:space="0" w:color="000000"/>
            </w:tcBorders>
          </w:tcPr>
          <w:p w14:paraId="190F8818" w14:textId="77777777" w:rsidR="003C12C0" w:rsidRDefault="00000000">
            <w:pPr>
              <w:pStyle w:val="TableText"/>
            </w:pPr>
            <w:r>
              <w:t>524</w:t>
            </w:r>
          </w:p>
        </w:tc>
        <w:tc>
          <w:tcPr>
            <w:tcW w:w="0" w:type="auto"/>
            <w:tcBorders>
              <w:top w:val="single" w:sz="4" w:space="0" w:color="000000"/>
              <w:left w:val="single" w:sz="4" w:space="0" w:color="000000"/>
              <w:bottom w:val="single" w:sz="4" w:space="0" w:color="000000"/>
              <w:right w:val="single" w:sz="4" w:space="0" w:color="000000"/>
            </w:tcBorders>
          </w:tcPr>
          <w:p w14:paraId="190F8819" w14:textId="77777777" w:rsidR="003C12C0" w:rsidRDefault="00000000">
            <w:pPr>
              <w:pStyle w:val="TableText"/>
            </w:pPr>
            <w:r>
              <w:t>728</w:t>
            </w:r>
          </w:p>
        </w:tc>
        <w:tc>
          <w:tcPr>
            <w:tcW w:w="0" w:type="auto"/>
            <w:tcBorders>
              <w:top w:val="single" w:sz="4" w:space="0" w:color="000000"/>
              <w:left w:val="single" w:sz="4" w:space="0" w:color="000000"/>
              <w:bottom w:val="single" w:sz="4" w:space="0" w:color="000000"/>
              <w:right w:val="single" w:sz="4" w:space="0" w:color="000000"/>
            </w:tcBorders>
          </w:tcPr>
          <w:p w14:paraId="190F881A"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1B"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1C" w14:textId="77777777" w:rsidR="003C12C0" w:rsidRDefault="00000000">
            <w:pPr>
              <w:pStyle w:val="TableText"/>
            </w:pPr>
            <w:r>
              <w:t>[N/D]</w:t>
            </w:r>
          </w:p>
        </w:tc>
      </w:tr>
      <w:tr w:rsidR="003C12C0" w14:paraId="190F8827"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81E" w14:textId="77777777" w:rsidR="003C12C0" w:rsidRDefault="00000000">
            <w:pPr>
              <w:pStyle w:val="TableText"/>
            </w:pPr>
            <w:r>
              <w:t>CNSSAP</w:t>
            </w:r>
          </w:p>
        </w:tc>
        <w:tc>
          <w:tcPr>
            <w:tcW w:w="0" w:type="auto"/>
            <w:tcBorders>
              <w:top w:val="single" w:sz="4" w:space="0" w:color="000000"/>
              <w:left w:val="single" w:sz="4" w:space="0" w:color="000000"/>
              <w:bottom w:val="single" w:sz="4" w:space="0" w:color="000000"/>
              <w:right w:val="single" w:sz="4" w:space="0" w:color="000000"/>
            </w:tcBorders>
          </w:tcPr>
          <w:p w14:paraId="190F881F" w14:textId="77777777" w:rsidR="003C12C0" w:rsidRDefault="00000000">
            <w:pPr>
              <w:pStyle w:val="TableText"/>
            </w:pPr>
            <w:r>
              <w:t>Pensionnés invalidité (total)</w:t>
            </w:r>
          </w:p>
        </w:tc>
        <w:tc>
          <w:tcPr>
            <w:tcW w:w="0" w:type="auto"/>
            <w:tcBorders>
              <w:top w:val="single" w:sz="4" w:space="0" w:color="000000"/>
              <w:left w:val="single" w:sz="4" w:space="0" w:color="000000"/>
              <w:bottom w:val="single" w:sz="4" w:space="0" w:color="000000"/>
              <w:right w:val="single" w:sz="4" w:space="0" w:color="000000"/>
            </w:tcBorders>
          </w:tcPr>
          <w:p w14:paraId="190F8820"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21"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22"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23" w14:textId="77777777" w:rsidR="003C12C0" w:rsidRDefault="00000000">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90F8824"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25"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26" w14:textId="77777777" w:rsidR="003C12C0" w:rsidRDefault="00000000">
            <w:pPr>
              <w:pStyle w:val="TableText"/>
            </w:pPr>
            <w:r>
              <w:t>[N/D]</w:t>
            </w:r>
          </w:p>
        </w:tc>
      </w:tr>
      <w:tr w:rsidR="003C12C0" w14:paraId="190F8831"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828" w14:textId="77777777" w:rsidR="003C12C0" w:rsidRDefault="00000000">
            <w:pPr>
              <w:pStyle w:val="TableText"/>
            </w:pPr>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190F8829" w14:textId="77777777" w:rsidR="003C12C0" w:rsidRDefault="00000000">
            <w:pPr>
              <w:pStyle w:val="TableText"/>
            </w:pPr>
            <w:r>
              <w:t>Pensionnés invalidité (total)</w:t>
            </w:r>
          </w:p>
        </w:tc>
        <w:tc>
          <w:tcPr>
            <w:tcW w:w="0" w:type="auto"/>
            <w:tcBorders>
              <w:top w:val="single" w:sz="4" w:space="0" w:color="000000"/>
              <w:left w:val="single" w:sz="4" w:space="0" w:color="000000"/>
              <w:bottom w:val="single" w:sz="4" w:space="0" w:color="000000"/>
              <w:right w:val="single" w:sz="4" w:space="0" w:color="000000"/>
            </w:tcBorders>
          </w:tcPr>
          <w:p w14:paraId="190F882A"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2B"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2C"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2D"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2E"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2F"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30" w14:textId="77777777" w:rsidR="003C12C0" w:rsidRDefault="00000000">
            <w:pPr>
              <w:pStyle w:val="TableText"/>
            </w:pPr>
            <w:r>
              <w:t>[N/D]</w:t>
            </w:r>
          </w:p>
        </w:tc>
      </w:tr>
      <w:tr w:rsidR="003C12C0" w14:paraId="190F883B"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832" w14:textId="77777777" w:rsidR="003C12C0" w:rsidRDefault="00000000">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190F8833" w14:textId="77777777" w:rsidR="003C12C0" w:rsidRDefault="00000000">
            <w:pPr>
              <w:pStyle w:val="TableText"/>
            </w:pPr>
            <w:r>
              <w:t>Montant unitaire pension invalidité (CDF/mois)</w:t>
            </w:r>
          </w:p>
        </w:tc>
        <w:tc>
          <w:tcPr>
            <w:tcW w:w="0" w:type="auto"/>
            <w:tcBorders>
              <w:top w:val="single" w:sz="4" w:space="0" w:color="000000"/>
              <w:left w:val="single" w:sz="4" w:space="0" w:color="000000"/>
              <w:bottom w:val="single" w:sz="4" w:space="0" w:color="000000"/>
              <w:right w:val="single" w:sz="4" w:space="0" w:color="000000"/>
            </w:tcBorders>
          </w:tcPr>
          <w:p w14:paraId="190F8834" w14:textId="77777777" w:rsidR="003C12C0" w:rsidRDefault="00000000">
            <w:pPr>
              <w:pStyle w:val="TableText"/>
            </w:pPr>
            <w:r>
              <w:t>[ESS 2019]</w:t>
            </w:r>
          </w:p>
        </w:tc>
        <w:tc>
          <w:tcPr>
            <w:tcW w:w="0" w:type="auto"/>
            <w:tcBorders>
              <w:top w:val="single" w:sz="4" w:space="0" w:color="000000"/>
              <w:left w:val="single" w:sz="4" w:space="0" w:color="000000"/>
              <w:bottom w:val="single" w:sz="4" w:space="0" w:color="000000"/>
              <w:right w:val="single" w:sz="4" w:space="0" w:color="000000"/>
            </w:tcBorders>
          </w:tcPr>
          <w:p w14:paraId="190F8835" w14:textId="77777777" w:rsidR="003C12C0" w:rsidRDefault="00000000">
            <w:pPr>
              <w:pStyle w:val="TableText"/>
            </w:pPr>
            <w:r>
              <w:t>[ESS 2020]</w:t>
            </w:r>
          </w:p>
        </w:tc>
        <w:tc>
          <w:tcPr>
            <w:tcW w:w="0" w:type="auto"/>
            <w:tcBorders>
              <w:top w:val="single" w:sz="4" w:space="0" w:color="000000"/>
              <w:left w:val="single" w:sz="4" w:space="0" w:color="000000"/>
              <w:bottom w:val="single" w:sz="4" w:space="0" w:color="000000"/>
              <w:right w:val="single" w:sz="4" w:space="0" w:color="000000"/>
            </w:tcBorders>
          </w:tcPr>
          <w:p w14:paraId="190F8836" w14:textId="77777777" w:rsidR="003C12C0" w:rsidRDefault="00000000">
            <w:pPr>
              <w:pStyle w:val="TableText"/>
            </w:pPr>
            <w:r>
              <w:t>[ESS 2021]</w:t>
            </w:r>
          </w:p>
        </w:tc>
        <w:tc>
          <w:tcPr>
            <w:tcW w:w="0" w:type="auto"/>
            <w:tcBorders>
              <w:top w:val="single" w:sz="4" w:space="0" w:color="000000"/>
              <w:left w:val="single" w:sz="4" w:space="0" w:color="000000"/>
              <w:bottom w:val="single" w:sz="4" w:space="0" w:color="000000"/>
              <w:right w:val="single" w:sz="4" w:space="0" w:color="000000"/>
            </w:tcBorders>
          </w:tcPr>
          <w:p w14:paraId="190F8837" w14:textId="77777777" w:rsidR="003C12C0" w:rsidRDefault="00000000">
            <w:pPr>
              <w:pStyle w:val="TableText"/>
            </w:pPr>
            <w:r>
              <w:t>[ESS 2022]</w:t>
            </w:r>
          </w:p>
        </w:tc>
        <w:tc>
          <w:tcPr>
            <w:tcW w:w="0" w:type="auto"/>
            <w:tcBorders>
              <w:top w:val="single" w:sz="4" w:space="0" w:color="000000"/>
              <w:left w:val="single" w:sz="4" w:space="0" w:color="000000"/>
              <w:bottom w:val="single" w:sz="4" w:space="0" w:color="000000"/>
              <w:right w:val="single" w:sz="4" w:space="0" w:color="000000"/>
            </w:tcBorders>
          </w:tcPr>
          <w:p w14:paraId="190F8838"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39"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3A" w14:textId="77777777" w:rsidR="003C12C0" w:rsidRDefault="00000000">
            <w:pPr>
              <w:pStyle w:val="TableText"/>
            </w:pPr>
            <w:r>
              <w:t>[N/D]</w:t>
            </w:r>
          </w:p>
        </w:tc>
      </w:tr>
    </w:tbl>
    <w:p w14:paraId="190F883C" w14:textId="77777777" w:rsidR="003C12C0" w:rsidRPr="00DF4DEA" w:rsidRDefault="00000000">
      <w:pPr>
        <w:pStyle w:val="Source-GraphicPicture"/>
        <w:rPr>
          <w:lang w:val="fr-CH"/>
        </w:rPr>
      </w:pPr>
      <w:r w:rsidRPr="00DF4DEA">
        <w:rPr>
          <w:i/>
          <w:iCs/>
          <w:lang w:val="fr-CH"/>
        </w:rPr>
        <w:t>Source : ESS OIT — CNSS (2019–2022) et CNSSAP (2020–2022). Régimes spéciaux : données non disponibles — à instruire.</w:t>
      </w:r>
    </w:p>
    <w:p w14:paraId="190F883D" w14:textId="77777777" w:rsidR="003C12C0" w:rsidRDefault="00000000">
      <w:pPr>
        <w:pStyle w:val="Heading3"/>
      </w:pPr>
      <w:bookmarkStart w:id="75" w:name="Xa0b9a428c2c42df3bcf5a5cf16c93b0ebd6bd27"/>
      <w:bookmarkEnd w:id="73"/>
      <w:r>
        <w:t>Adéquation de la pension d'invalidité</w:t>
      </w:r>
    </w:p>
    <w:p w14:paraId="190F883E" w14:textId="77777777" w:rsidR="003C12C0" w:rsidRDefault="00000000">
      <w:r>
        <w:t>Dans les régimes de la CNSS, la pension d'invalidité et la pension de vieillesse sont fixées au même montant unitaire mensuel par arrêté. Le tableau présente ces montants et le seuil de pauvreté de référence pour la même période.</w:t>
      </w:r>
    </w:p>
    <w:p w14:paraId="190F883F" w14:textId="77777777" w:rsidR="003C12C0" w:rsidRDefault="00000000">
      <w:pPr>
        <w:pStyle w:val="TableTitle"/>
      </w:pPr>
      <w:bookmarkStart w:id="76" w:name="_Toc234324552"/>
      <w:r>
        <w:t>Tableau 4.10 — Adéquation de la pension d'invalidité CNSS et seuil de pauvreté (2019–2025) [src]</w:t>
      </w:r>
      <w:r>
        <w:rPr>
          <w:rStyle w:val="FootnoteReference"/>
        </w:rPr>
        <w:footnoteReference w:id="93"/>
      </w:r>
      <w:bookmarkEnd w:id="76"/>
    </w:p>
    <w:tbl>
      <w:tblPr>
        <w:tblStyle w:val="ILOTable"/>
        <w:tblW w:w="5000" w:type="pct"/>
        <w:tblLook w:val="0020" w:firstRow="1" w:lastRow="0" w:firstColumn="0" w:lastColumn="0" w:noHBand="0" w:noVBand="0"/>
      </w:tblPr>
      <w:tblGrid>
        <w:gridCol w:w="2413"/>
        <w:gridCol w:w="1310"/>
        <w:gridCol w:w="1310"/>
        <w:gridCol w:w="1310"/>
        <w:gridCol w:w="1310"/>
        <w:gridCol w:w="469"/>
        <w:gridCol w:w="469"/>
        <w:gridCol w:w="469"/>
      </w:tblGrid>
      <w:tr w:rsidR="003C12C0" w14:paraId="190F8848"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840" w14:textId="77777777" w:rsidR="003C12C0"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90F8841" w14:textId="77777777" w:rsidR="003C12C0"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90F8842" w14:textId="77777777" w:rsidR="003C12C0"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90F8843" w14:textId="77777777" w:rsidR="003C12C0"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90F8844" w14:textId="77777777" w:rsidR="003C12C0"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90F8845" w14:textId="77777777" w:rsidR="003C12C0"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90F8846" w14:textId="77777777" w:rsidR="003C12C0"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90F8847" w14:textId="77777777" w:rsidR="003C12C0" w:rsidRDefault="00000000">
            <w:pPr>
              <w:pStyle w:val="TableHeader"/>
            </w:pPr>
            <w:r>
              <w:t>2025</w:t>
            </w:r>
          </w:p>
        </w:tc>
      </w:tr>
      <w:tr w:rsidR="003C12C0" w14:paraId="190F8851"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849" w14:textId="77777777" w:rsidR="003C12C0" w:rsidRDefault="00000000">
            <w:pPr>
              <w:pStyle w:val="TableText"/>
            </w:pPr>
            <w:r>
              <w:t>Pension invalidité CNSS (CDF/mois)</w:t>
            </w:r>
          </w:p>
        </w:tc>
        <w:tc>
          <w:tcPr>
            <w:tcW w:w="0" w:type="auto"/>
            <w:tcBorders>
              <w:top w:val="single" w:sz="4" w:space="0" w:color="000000"/>
              <w:left w:val="single" w:sz="4" w:space="0" w:color="000000"/>
              <w:bottom w:val="single" w:sz="4" w:space="0" w:color="000000"/>
              <w:right w:val="single" w:sz="4" w:space="0" w:color="000000"/>
            </w:tcBorders>
          </w:tcPr>
          <w:p w14:paraId="190F884A" w14:textId="77777777" w:rsidR="003C12C0" w:rsidRDefault="00000000">
            <w:pPr>
              <w:pStyle w:val="TableText"/>
            </w:pPr>
            <w:r>
              <w:t>180 000</w:t>
            </w:r>
          </w:p>
        </w:tc>
        <w:tc>
          <w:tcPr>
            <w:tcW w:w="0" w:type="auto"/>
            <w:tcBorders>
              <w:top w:val="single" w:sz="4" w:space="0" w:color="000000"/>
              <w:left w:val="single" w:sz="4" w:space="0" w:color="000000"/>
              <w:bottom w:val="single" w:sz="4" w:space="0" w:color="000000"/>
              <w:right w:val="single" w:sz="4" w:space="0" w:color="000000"/>
            </w:tcBorders>
          </w:tcPr>
          <w:p w14:paraId="190F884B" w14:textId="77777777" w:rsidR="003C12C0" w:rsidRDefault="00000000">
            <w:pPr>
              <w:pStyle w:val="TableText"/>
            </w:pPr>
            <w:r>
              <w:t>220 000</w:t>
            </w:r>
          </w:p>
        </w:tc>
        <w:tc>
          <w:tcPr>
            <w:tcW w:w="0" w:type="auto"/>
            <w:tcBorders>
              <w:top w:val="single" w:sz="4" w:space="0" w:color="000000"/>
              <w:left w:val="single" w:sz="4" w:space="0" w:color="000000"/>
              <w:bottom w:val="single" w:sz="4" w:space="0" w:color="000000"/>
              <w:right w:val="single" w:sz="4" w:space="0" w:color="000000"/>
            </w:tcBorders>
          </w:tcPr>
          <w:p w14:paraId="190F884C" w14:textId="77777777" w:rsidR="003C12C0" w:rsidRDefault="00000000">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190F884D" w14:textId="77777777" w:rsidR="003C12C0" w:rsidRDefault="00000000">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190F884E"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4F"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50" w14:textId="77777777" w:rsidR="003C12C0" w:rsidRDefault="00000000">
            <w:pPr>
              <w:pStyle w:val="TableText"/>
            </w:pPr>
            <w:r>
              <w:t>[N/D]</w:t>
            </w:r>
          </w:p>
        </w:tc>
      </w:tr>
      <w:tr w:rsidR="003C12C0" w14:paraId="190F885A"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852" w14:textId="77777777" w:rsidR="003C12C0" w:rsidRDefault="00000000">
            <w:pPr>
              <w:pStyle w:val="TableText"/>
            </w:pPr>
            <w:r>
              <w:t>Pension vieillesse CNSS (CDF/mois)</w:t>
            </w:r>
          </w:p>
        </w:tc>
        <w:tc>
          <w:tcPr>
            <w:tcW w:w="0" w:type="auto"/>
            <w:tcBorders>
              <w:top w:val="single" w:sz="4" w:space="0" w:color="000000"/>
              <w:left w:val="single" w:sz="4" w:space="0" w:color="000000"/>
              <w:bottom w:val="single" w:sz="4" w:space="0" w:color="000000"/>
              <w:right w:val="single" w:sz="4" w:space="0" w:color="000000"/>
            </w:tcBorders>
          </w:tcPr>
          <w:p w14:paraId="190F8853" w14:textId="77777777" w:rsidR="003C12C0" w:rsidRDefault="00000000">
            <w:pPr>
              <w:pStyle w:val="TableText"/>
            </w:pPr>
            <w:r>
              <w:t>180 000</w:t>
            </w:r>
          </w:p>
        </w:tc>
        <w:tc>
          <w:tcPr>
            <w:tcW w:w="0" w:type="auto"/>
            <w:tcBorders>
              <w:top w:val="single" w:sz="4" w:space="0" w:color="000000"/>
              <w:left w:val="single" w:sz="4" w:space="0" w:color="000000"/>
              <w:bottom w:val="single" w:sz="4" w:space="0" w:color="000000"/>
              <w:right w:val="single" w:sz="4" w:space="0" w:color="000000"/>
            </w:tcBorders>
          </w:tcPr>
          <w:p w14:paraId="190F8854" w14:textId="77777777" w:rsidR="003C12C0" w:rsidRDefault="00000000">
            <w:pPr>
              <w:pStyle w:val="TableText"/>
            </w:pPr>
            <w:r>
              <w:t>220 000</w:t>
            </w:r>
          </w:p>
        </w:tc>
        <w:tc>
          <w:tcPr>
            <w:tcW w:w="0" w:type="auto"/>
            <w:tcBorders>
              <w:top w:val="single" w:sz="4" w:space="0" w:color="000000"/>
              <w:left w:val="single" w:sz="4" w:space="0" w:color="000000"/>
              <w:bottom w:val="single" w:sz="4" w:space="0" w:color="000000"/>
              <w:right w:val="single" w:sz="4" w:space="0" w:color="000000"/>
            </w:tcBorders>
          </w:tcPr>
          <w:p w14:paraId="190F8855" w14:textId="77777777" w:rsidR="003C12C0" w:rsidRDefault="00000000">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190F8856" w14:textId="77777777" w:rsidR="003C12C0" w:rsidRDefault="00000000">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190F8857"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58"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59" w14:textId="77777777" w:rsidR="003C12C0" w:rsidRDefault="00000000">
            <w:pPr>
              <w:pStyle w:val="TableText"/>
            </w:pPr>
            <w:r>
              <w:t>[N/D]</w:t>
            </w:r>
          </w:p>
        </w:tc>
      </w:tr>
      <w:tr w:rsidR="003C12C0" w14:paraId="190F8863"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85B" w14:textId="77777777" w:rsidR="003C12C0" w:rsidRDefault="00000000">
            <w:pPr>
              <w:pStyle w:val="TableText"/>
            </w:pPr>
            <w:r>
              <w:t>Seuil de pauvreté (CDF/mois)</w:t>
            </w:r>
          </w:p>
        </w:tc>
        <w:tc>
          <w:tcPr>
            <w:tcW w:w="0" w:type="auto"/>
            <w:tcBorders>
              <w:top w:val="single" w:sz="4" w:space="0" w:color="000000"/>
              <w:left w:val="single" w:sz="4" w:space="0" w:color="000000"/>
              <w:bottom w:val="single" w:sz="4" w:space="0" w:color="000000"/>
              <w:right w:val="single" w:sz="4" w:space="0" w:color="000000"/>
            </w:tcBorders>
          </w:tcPr>
          <w:p w14:paraId="190F885C" w14:textId="77777777" w:rsidR="003C12C0" w:rsidRDefault="00000000">
            <w:pPr>
              <w:pStyle w:val="TableTex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90F885D" w14:textId="77777777" w:rsidR="003C12C0" w:rsidRDefault="00000000">
            <w:pPr>
              <w:pStyle w:val="TableTex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90F885E" w14:textId="77777777" w:rsidR="003C12C0" w:rsidRDefault="00000000">
            <w:pPr>
              <w:pStyle w:val="TableTex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90F885F" w14:textId="77777777" w:rsidR="003C12C0" w:rsidRDefault="00000000">
            <w:pPr>
              <w:pStyle w:val="TableTex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90F8860"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61"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62" w14:textId="77777777" w:rsidR="003C12C0" w:rsidRDefault="00000000">
            <w:pPr>
              <w:pStyle w:val="TableText"/>
            </w:pPr>
            <w:r>
              <w:t>[N/D]</w:t>
            </w:r>
          </w:p>
        </w:tc>
      </w:tr>
    </w:tbl>
    <w:p w14:paraId="190F8864" w14:textId="77777777" w:rsidR="003C12C0" w:rsidRPr="00DF4DEA" w:rsidRDefault="00000000">
      <w:pPr>
        <w:pStyle w:val="Source-GraphicPicture"/>
        <w:rPr>
          <w:lang w:val="fr-CH"/>
        </w:rPr>
      </w:pPr>
      <w:r w:rsidRPr="00DF4DEA">
        <w:rPr>
          <w:i/>
          <w:iCs/>
          <w:lang w:val="fr-CH"/>
        </w:rPr>
        <w:t>Source : ESS OIT — CNSS ; seuil de pauvreté : estimation à construire à partir des données INS.</w:t>
      </w:r>
    </w:p>
    <w:p w14:paraId="190F8865" w14:textId="77777777" w:rsidR="003C12C0" w:rsidRDefault="00000000">
      <w:pPr>
        <w:pStyle w:val="Heading3"/>
      </w:pPr>
      <w:bookmarkStart w:id="77" w:name="Xf1f5324215226b246dd4c61172bc8a83cc03183"/>
      <w:bookmarkEnd w:id="75"/>
      <w:r>
        <w:lastRenderedPageBreak/>
        <w:t>Programmes non contributifs pour les personnes handicapées</w:t>
      </w:r>
    </w:p>
    <w:p w14:paraId="190F8866" w14:textId="77777777" w:rsidR="003C12C0" w:rsidRDefault="00000000">
      <w:r>
        <w:t>Le tableau recense les programmes d'assistance sociale destinés aux personnes handicapées et les données de couverture disponibles pour la période considérée.</w:t>
      </w:r>
    </w:p>
    <w:p w14:paraId="190F8867" w14:textId="77777777" w:rsidR="003C12C0" w:rsidRDefault="00000000">
      <w:pPr>
        <w:pStyle w:val="TableTitle"/>
      </w:pPr>
      <w:bookmarkStart w:id="78" w:name="_Toc234324553"/>
      <w:r>
        <w:t>Tableau 4.11 — Programmes non contributifs pour les personnes handicapées [src]</w:t>
      </w:r>
      <w:r>
        <w:rPr>
          <w:rStyle w:val="FootnoteReference"/>
        </w:rPr>
        <w:footnoteReference w:id="94"/>
      </w:r>
      <w:bookmarkEnd w:id="78"/>
    </w:p>
    <w:tbl>
      <w:tblPr>
        <w:tblStyle w:val="ILOTable"/>
        <w:tblW w:w="5000" w:type="pct"/>
        <w:tblLook w:val="0020" w:firstRow="1" w:lastRow="0" w:firstColumn="0" w:lastColumn="0" w:noHBand="0" w:noVBand="0"/>
      </w:tblPr>
      <w:tblGrid>
        <w:gridCol w:w="2443"/>
        <w:gridCol w:w="2527"/>
        <w:gridCol w:w="2567"/>
        <w:gridCol w:w="1523"/>
      </w:tblGrid>
      <w:tr w:rsidR="003C12C0" w14:paraId="190F886C"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868" w14:textId="77777777" w:rsidR="003C12C0" w:rsidRDefault="00000000">
            <w:pPr>
              <w:pStyle w:val="TableHeader"/>
            </w:pPr>
            <w:r>
              <w:t>Programme</w:t>
            </w:r>
          </w:p>
        </w:tc>
        <w:tc>
          <w:tcPr>
            <w:tcW w:w="0" w:type="auto"/>
            <w:tcBorders>
              <w:top w:val="single" w:sz="4" w:space="0" w:color="000000"/>
              <w:left w:val="single" w:sz="4" w:space="0" w:color="000000"/>
              <w:bottom w:val="single" w:sz="4" w:space="0" w:color="000000"/>
              <w:right w:val="single" w:sz="4" w:space="0" w:color="000000"/>
            </w:tcBorders>
          </w:tcPr>
          <w:p w14:paraId="190F8869" w14:textId="77777777" w:rsidR="003C12C0" w:rsidRDefault="00000000">
            <w:pPr>
              <w:pStyle w:val="TableHeader"/>
            </w:pPr>
            <w:r>
              <w:t>Gestionnaire</w:t>
            </w:r>
          </w:p>
        </w:tc>
        <w:tc>
          <w:tcPr>
            <w:tcW w:w="0" w:type="auto"/>
            <w:tcBorders>
              <w:top w:val="single" w:sz="4" w:space="0" w:color="000000"/>
              <w:left w:val="single" w:sz="4" w:space="0" w:color="000000"/>
              <w:bottom w:val="single" w:sz="4" w:space="0" w:color="000000"/>
              <w:right w:val="single" w:sz="4" w:space="0" w:color="000000"/>
            </w:tcBorders>
          </w:tcPr>
          <w:p w14:paraId="190F886A" w14:textId="77777777" w:rsidR="003C12C0" w:rsidRDefault="00000000">
            <w:pPr>
              <w:pStyle w:val="TableHeader"/>
            </w:pPr>
            <w:r>
              <w:t>Bénéficiaires</w:t>
            </w:r>
          </w:p>
        </w:tc>
        <w:tc>
          <w:tcPr>
            <w:tcW w:w="0" w:type="auto"/>
            <w:tcBorders>
              <w:top w:val="single" w:sz="4" w:space="0" w:color="000000"/>
              <w:left w:val="single" w:sz="4" w:space="0" w:color="000000"/>
              <w:bottom w:val="single" w:sz="4" w:space="0" w:color="000000"/>
              <w:right w:val="single" w:sz="4" w:space="0" w:color="000000"/>
            </w:tcBorders>
          </w:tcPr>
          <w:p w14:paraId="190F886B" w14:textId="77777777" w:rsidR="003C12C0" w:rsidRDefault="00000000">
            <w:pPr>
              <w:pStyle w:val="TableHeader"/>
            </w:pPr>
            <w:r>
              <w:t>Source</w:t>
            </w:r>
          </w:p>
        </w:tc>
      </w:tr>
      <w:tr w:rsidR="003C12C0" w14:paraId="190F8871"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86D" w14:textId="77777777" w:rsidR="003C12C0" w:rsidRDefault="00000000">
            <w:pPr>
              <w:pStyle w:val="TableText"/>
            </w:pPr>
            <w:r>
              <w:t>[À compléter]</w:t>
            </w:r>
          </w:p>
        </w:tc>
        <w:tc>
          <w:tcPr>
            <w:tcW w:w="0" w:type="auto"/>
            <w:tcBorders>
              <w:top w:val="single" w:sz="4" w:space="0" w:color="000000"/>
              <w:left w:val="single" w:sz="4" w:space="0" w:color="000000"/>
              <w:bottom w:val="single" w:sz="4" w:space="0" w:color="000000"/>
              <w:right w:val="single" w:sz="4" w:space="0" w:color="000000"/>
            </w:tcBorders>
          </w:tcPr>
          <w:p w14:paraId="190F886E"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6F"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70" w14:textId="77777777" w:rsidR="003C12C0" w:rsidRDefault="00000000">
            <w:pPr>
              <w:pStyle w:val="TableText"/>
            </w:pPr>
            <w:r>
              <w:t>[N/D]</w:t>
            </w:r>
          </w:p>
        </w:tc>
      </w:tr>
    </w:tbl>
    <w:p w14:paraId="190F8872" w14:textId="77777777" w:rsidR="003C12C0" w:rsidRDefault="00000000">
      <w:pPr>
        <w:pStyle w:val="Heading2"/>
      </w:pPr>
      <w:bookmarkStart w:id="79" w:name="X057254504ffc1e6e9f25b48c36187f1010dd555"/>
      <w:bookmarkEnd w:id="72"/>
      <w:bookmarkEnd w:id="77"/>
      <w:r>
        <w:t>4.6 — Protection en cas de décès et prestations de survie</w:t>
      </w:r>
    </w:p>
    <w:p w14:paraId="190F8873" w14:textId="77777777" w:rsidR="003C12C0" w:rsidRDefault="00000000">
      <w:pPr>
        <w:pStyle w:val="Heading3"/>
      </w:pPr>
      <w:bookmarkStart w:id="80" w:name="X9efb38265d5261748fbff61ad39a69b869cdf61"/>
      <w:r>
        <w:t>Pensions de survie et prestations aux ayants droit</w:t>
      </w:r>
    </w:p>
    <w:p w14:paraId="190F8874" w14:textId="77777777" w:rsidR="003C12C0" w:rsidRDefault="00000000">
      <w:r>
        <w:t>Les prestations de survie sont versées aux ayants droit d'un assuré décédé — conjoint survivant et orphelins principalement. La CNSS distingue la pension de survie contributive, les rentes liées aux accidents du travail et une allocation pour frais funéraires.</w:t>
      </w:r>
    </w:p>
    <w:p w14:paraId="190F8875" w14:textId="77777777" w:rsidR="003C12C0" w:rsidRDefault="00000000">
      <w:pPr>
        <w:pStyle w:val="TableTitle"/>
      </w:pPr>
      <w:bookmarkStart w:id="81" w:name="_Toc234324554"/>
      <w:r>
        <w:t>Tableau 4.12 — Bénéficiaires de prestations de survie, CNSS et CNSSAP (2019–2025) [src]</w:t>
      </w:r>
      <w:r>
        <w:rPr>
          <w:rStyle w:val="FootnoteReference"/>
        </w:rPr>
        <w:footnoteReference w:id="95"/>
      </w:r>
      <w:bookmarkEnd w:id="81"/>
    </w:p>
    <w:tbl>
      <w:tblPr>
        <w:tblStyle w:val="ILOTable"/>
        <w:tblW w:w="5000" w:type="pct"/>
        <w:tblLook w:val="0020" w:firstRow="1" w:lastRow="0" w:firstColumn="0" w:lastColumn="0" w:noHBand="0" w:noVBand="0"/>
      </w:tblPr>
      <w:tblGrid>
        <w:gridCol w:w="1606"/>
        <w:gridCol w:w="3089"/>
        <w:gridCol w:w="684"/>
        <w:gridCol w:w="684"/>
        <w:gridCol w:w="684"/>
        <w:gridCol w:w="684"/>
        <w:gridCol w:w="543"/>
        <w:gridCol w:w="543"/>
        <w:gridCol w:w="543"/>
      </w:tblGrid>
      <w:tr w:rsidR="003C12C0" w14:paraId="190F887F"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876" w14:textId="77777777" w:rsidR="003C12C0" w:rsidRDefault="00000000">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190F8877" w14:textId="77777777" w:rsidR="003C12C0" w:rsidRDefault="00000000">
            <w:pPr>
              <w:pStyle w:val="TableHeader"/>
            </w:pPr>
            <w:r>
              <w:t>Prestation</w:t>
            </w:r>
          </w:p>
        </w:tc>
        <w:tc>
          <w:tcPr>
            <w:tcW w:w="0" w:type="auto"/>
            <w:tcBorders>
              <w:top w:val="single" w:sz="4" w:space="0" w:color="000000"/>
              <w:left w:val="single" w:sz="4" w:space="0" w:color="000000"/>
              <w:bottom w:val="single" w:sz="4" w:space="0" w:color="000000"/>
              <w:right w:val="single" w:sz="4" w:space="0" w:color="000000"/>
            </w:tcBorders>
          </w:tcPr>
          <w:p w14:paraId="190F8878" w14:textId="77777777" w:rsidR="003C12C0"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90F8879" w14:textId="77777777" w:rsidR="003C12C0"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90F887A" w14:textId="77777777" w:rsidR="003C12C0"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90F887B" w14:textId="77777777" w:rsidR="003C12C0"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90F887C" w14:textId="77777777" w:rsidR="003C12C0"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90F887D" w14:textId="77777777" w:rsidR="003C12C0"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90F887E" w14:textId="77777777" w:rsidR="003C12C0" w:rsidRDefault="00000000">
            <w:pPr>
              <w:pStyle w:val="TableHeader"/>
            </w:pPr>
            <w:r>
              <w:t>2025</w:t>
            </w:r>
          </w:p>
        </w:tc>
      </w:tr>
      <w:tr w:rsidR="003C12C0" w14:paraId="190F8889"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880" w14:textId="77777777" w:rsidR="003C12C0" w:rsidRDefault="00000000">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190F8881" w14:textId="77777777" w:rsidR="003C12C0" w:rsidRDefault="00000000">
            <w:pPr>
              <w:pStyle w:val="TableText"/>
            </w:pPr>
            <w:r>
              <w:t>Pension des survivants (bénéf.)</w:t>
            </w:r>
          </w:p>
        </w:tc>
        <w:tc>
          <w:tcPr>
            <w:tcW w:w="0" w:type="auto"/>
            <w:tcBorders>
              <w:top w:val="single" w:sz="4" w:space="0" w:color="000000"/>
              <w:left w:val="single" w:sz="4" w:space="0" w:color="000000"/>
              <w:bottom w:val="single" w:sz="4" w:space="0" w:color="000000"/>
              <w:right w:val="single" w:sz="4" w:space="0" w:color="000000"/>
            </w:tcBorders>
          </w:tcPr>
          <w:p w14:paraId="190F8882" w14:textId="77777777" w:rsidR="003C12C0" w:rsidRDefault="00000000">
            <w:pPr>
              <w:pStyle w:val="TableText"/>
            </w:pPr>
            <w:r>
              <w:t>24 725</w:t>
            </w:r>
          </w:p>
        </w:tc>
        <w:tc>
          <w:tcPr>
            <w:tcW w:w="0" w:type="auto"/>
            <w:tcBorders>
              <w:top w:val="single" w:sz="4" w:space="0" w:color="000000"/>
              <w:left w:val="single" w:sz="4" w:space="0" w:color="000000"/>
              <w:bottom w:val="single" w:sz="4" w:space="0" w:color="000000"/>
              <w:right w:val="single" w:sz="4" w:space="0" w:color="000000"/>
            </w:tcBorders>
          </w:tcPr>
          <w:p w14:paraId="190F8883" w14:textId="77777777" w:rsidR="003C12C0" w:rsidRDefault="00000000">
            <w:pPr>
              <w:pStyle w:val="TableText"/>
            </w:pPr>
            <w:r>
              <w:t>25 720</w:t>
            </w:r>
          </w:p>
        </w:tc>
        <w:tc>
          <w:tcPr>
            <w:tcW w:w="0" w:type="auto"/>
            <w:tcBorders>
              <w:top w:val="single" w:sz="4" w:space="0" w:color="000000"/>
              <w:left w:val="single" w:sz="4" w:space="0" w:color="000000"/>
              <w:bottom w:val="single" w:sz="4" w:space="0" w:color="000000"/>
              <w:right w:val="single" w:sz="4" w:space="0" w:color="000000"/>
            </w:tcBorders>
          </w:tcPr>
          <w:p w14:paraId="190F8884" w14:textId="77777777" w:rsidR="003C12C0" w:rsidRDefault="00000000">
            <w:pPr>
              <w:pStyle w:val="TableText"/>
            </w:pPr>
            <w:r>
              <w:t>28 355</w:t>
            </w:r>
          </w:p>
        </w:tc>
        <w:tc>
          <w:tcPr>
            <w:tcW w:w="0" w:type="auto"/>
            <w:tcBorders>
              <w:top w:val="single" w:sz="4" w:space="0" w:color="000000"/>
              <w:left w:val="single" w:sz="4" w:space="0" w:color="000000"/>
              <w:bottom w:val="single" w:sz="4" w:space="0" w:color="000000"/>
              <w:right w:val="single" w:sz="4" w:space="0" w:color="000000"/>
            </w:tcBorders>
          </w:tcPr>
          <w:p w14:paraId="190F8885" w14:textId="77777777" w:rsidR="003C12C0" w:rsidRDefault="00000000">
            <w:pPr>
              <w:pStyle w:val="TableText"/>
            </w:pPr>
            <w:r>
              <w:t>31 524</w:t>
            </w:r>
          </w:p>
        </w:tc>
        <w:tc>
          <w:tcPr>
            <w:tcW w:w="0" w:type="auto"/>
            <w:tcBorders>
              <w:top w:val="single" w:sz="4" w:space="0" w:color="000000"/>
              <w:left w:val="single" w:sz="4" w:space="0" w:color="000000"/>
              <w:bottom w:val="single" w:sz="4" w:space="0" w:color="000000"/>
              <w:right w:val="single" w:sz="4" w:space="0" w:color="000000"/>
            </w:tcBorders>
          </w:tcPr>
          <w:p w14:paraId="190F8886"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87"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88" w14:textId="77777777" w:rsidR="003C12C0" w:rsidRDefault="00000000">
            <w:pPr>
              <w:pStyle w:val="TableText"/>
            </w:pPr>
            <w:r>
              <w:t>[N/D]</w:t>
            </w:r>
          </w:p>
        </w:tc>
      </w:tr>
      <w:tr w:rsidR="003C12C0" w14:paraId="190F8893"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88A" w14:textId="77777777" w:rsidR="003C12C0" w:rsidRDefault="00000000">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190F888B" w14:textId="77777777" w:rsidR="003C12C0" w:rsidRDefault="00000000">
            <w:pPr>
              <w:pStyle w:val="TableText"/>
            </w:pPr>
            <w:r>
              <w:t>Rentes de survivants AT/MP (bénéf.)</w:t>
            </w:r>
          </w:p>
        </w:tc>
        <w:tc>
          <w:tcPr>
            <w:tcW w:w="0" w:type="auto"/>
            <w:tcBorders>
              <w:top w:val="single" w:sz="4" w:space="0" w:color="000000"/>
              <w:left w:val="single" w:sz="4" w:space="0" w:color="000000"/>
              <w:bottom w:val="single" w:sz="4" w:space="0" w:color="000000"/>
              <w:right w:val="single" w:sz="4" w:space="0" w:color="000000"/>
            </w:tcBorders>
          </w:tcPr>
          <w:p w14:paraId="190F888C" w14:textId="77777777" w:rsidR="003C12C0" w:rsidRDefault="00000000">
            <w:pPr>
              <w:pStyle w:val="TableText"/>
            </w:pPr>
            <w:r>
              <w:t>1 476</w:t>
            </w:r>
          </w:p>
        </w:tc>
        <w:tc>
          <w:tcPr>
            <w:tcW w:w="0" w:type="auto"/>
            <w:tcBorders>
              <w:top w:val="single" w:sz="4" w:space="0" w:color="000000"/>
              <w:left w:val="single" w:sz="4" w:space="0" w:color="000000"/>
              <w:bottom w:val="single" w:sz="4" w:space="0" w:color="000000"/>
              <w:right w:val="single" w:sz="4" w:space="0" w:color="000000"/>
            </w:tcBorders>
          </w:tcPr>
          <w:p w14:paraId="190F888D" w14:textId="77777777" w:rsidR="003C12C0" w:rsidRDefault="00000000">
            <w:pPr>
              <w:pStyle w:val="TableText"/>
            </w:pPr>
            <w:r>
              <w:t>1 608</w:t>
            </w:r>
          </w:p>
        </w:tc>
        <w:tc>
          <w:tcPr>
            <w:tcW w:w="0" w:type="auto"/>
            <w:tcBorders>
              <w:top w:val="single" w:sz="4" w:space="0" w:color="000000"/>
              <w:left w:val="single" w:sz="4" w:space="0" w:color="000000"/>
              <w:bottom w:val="single" w:sz="4" w:space="0" w:color="000000"/>
              <w:right w:val="single" w:sz="4" w:space="0" w:color="000000"/>
            </w:tcBorders>
          </w:tcPr>
          <w:p w14:paraId="190F888E" w14:textId="77777777" w:rsidR="003C12C0" w:rsidRDefault="00000000">
            <w:pPr>
              <w:pStyle w:val="TableText"/>
            </w:pPr>
            <w:r>
              <w:t>1 845</w:t>
            </w:r>
          </w:p>
        </w:tc>
        <w:tc>
          <w:tcPr>
            <w:tcW w:w="0" w:type="auto"/>
            <w:tcBorders>
              <w:top w:val="single" w:sz="4" w:space="0" w:color="000000"/>
              <w:left w:val="single" w:sz="4" w:space="0" w:color="000000"/>
              <w:bottom w:val="single" w:sz="4" w:space="0" w:color="000000"/>
              <w:right w:val="single" w:sz="4" w:space="0" w:color="000000"/>
            </w:tcBorders>
          </w:tcPr>
          <w:p w14:paraId="190F888F" w14:textId="77777777" w:rsidR="003C12C0" w:rsidRDefault="00000000">
            <w:pPr>
              <w:pStyle w:val="TableText"/>
            </w:pPr>
            <w:r>
              <w:t>1 781</w:t>
            </w:r>
          </w:p>
        </w:tc>
        <w:tc>
          <w:tcPr>
            <w:tcW w:w="0" w:type="auto"/>
            <w:tcBorders>
              <w:top w:val="single" w:sz="4" w:space="0" w:color="000000"/>
              <w:left w:val="single" w:sz="4" w:space="0" w:color="000000"/>
              <w:bottom w:val="single" w:sz="4" w:space="0" w:color="000000"/>
              <w:right w:val="single" w:sz="4" w:space="0" w:color="000000"/>
            </w:tcBorders>
          </w:tcPr>
          <w:p w14:paraId="190F8890"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91"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92" w14:textId="77777777" w:rsidR="003C12C0" w:rsidRDefault="00000000">
            <w:pPr>
              <w:pStyle w:val="TableText"/>
            </w:pPr>
            <w:r>
              <w:t>[N/D]</w:t>
            </w:r>
          </w:p>
        </w:tc>
      </w:tr>
      <w:tr w:rsidR="003C12C0" w14:paraId="190F889D"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894" w14:textId="77777777" w:rsidR="003C12C0" w:rsidRDefault="00000000">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190F8895" w14:textId="77777777" w:rsidR="003C12C0" w:rsidRDefault="00000000">
            <w:pPr>
              <w:pStyle w:val="TableText"/>
            </w:pPr>
            <w:r>
              <w:t>Allocation frais funéraires (bénéf.)</w:t>
            </w:r>
          </w:p>
        </w:tc>
        <w:tc>
          <w:tcPr>
            <w:tcW w:w="0" w:type="auto"/>
            <w:tcBorders>
              <w:top w:val="single" w:sz="4" w:space="0" w:color="000000"/>
              <w:left w:val="single" w:sz="4" w:space="0" w:color="000000"/>
              <w:bottom w:val="single" w:sz="4" w:space="0" w:color="000000"/>
              <w:right w:val="single" w:sz="4" w:space="0" w:color="000000"/>
            </w:tcBorders>
          </w:tcPr>
          <w:p w14:paraId="190F8896" w14:textId="77777777" w:rsidR="003C12C0" w:rsidRDefault="00000000">
            <w:pPr>
              <w:pStyle w:val="TableText"/>
            </w:pPr>
            <w:r>
              <w:t>1 766</w:t>
            </w:r>
          </w:p>
        </w:tc>
        <w:tc>
          <w:tcPr>
            <w:tcW w:w="0" w:type="auto"/>
            <w:tcBorders>
              <w:top w:val="single" w:sz="4" w:space="0" w:color="000000"/>
              <w:left w:val="single" w:sz="4" w:space="0" w:color="000000"/>
              <w:bottom w:val="single" w:sz="4" w:space="0" w:color="000000"/>
              <w:right w:val="single" w:sz="4" w:space="0" w:color="000000"/>
            </w:tcBorders>
          </w:tcPr>
          <w:p w14:paraId="190F8897" w14:textId="77777777" w:rsidR="003C12C0" w:rsidRDefault="00000000">
            <w:pPr>
              <w:pStyle w:val="TableText"/>
            </w:pPr>
            <w:r>
              <w:t>589</w:t>
            </w:r>
          </w:p>
        </w:tc>
        <w:tc>
          <w:tcPr>
            <w:tcW w:w="0" w:type="auto"/>
            <w:tcBorders>
              <w:top w:val="single" w:sz="4" w:space="0" w:color="000000"/>
              <w:left w:val="single" w:sz="4" w:space="0" w:color="000000"/>
              <w:bottom w:val="single" w:sz="4" w:space="0" w:color="000000"/>
              <w:right w:val="single" w:sz="4" w:space="0" w:color="000000"/>
            </w:tcBorders>
          </w:tcPr>
          <w:p w14:paraId="190F8898" w14:textId="77777777" w:rsidR="003C12C0" w:rsidRDefault="00000000">
            <w:pPr>
              <w:pStyle w:val="TableText"/>
            </w:pPr>
            <w:r>
              <w:t>849</w:t>
            </w:r>
          </w:p>
        </w:tc>
        <w:tc>
          <w:tcPr>
            <w:tcW w:w="0" w:type="auto"/>
            <w:tcBorders>
              <w:top w:val="single" w:sz="4" w:space="0" w:color="000000"/>
              <w:left w:val="single" w:sz="4" w:space="0" w:color="000000"/>
              <w:bottom w:val="single" w:sz="4" w:space="0" w:color="000000"/>
              <w:right w:val="single" w:sz="4" w:space="0" w:color="000000"/>
            </w:tcBorders>
          </w:tcPr>
          <w:p w14:paraId="190F8899" w14:textId="77777777" w:rsidR="003C12C0" w:rsidRDefault="00000000">
            <w:pPr>
              <w:pStyle w:val="TableText"/>
            </w:pPr>
            <w:r>
              <w:t>533</w:t>
            </w:r>
          </w:p>
        </w:tc>
        <w:tc>
          <w:tcPr>
            <w:tcW w:w="0" w:type="auto"/>
            <w:tcBorders>
              <w:top w:val="single" w:sz="4" w:space="0" w:color="000000"/>
              <w:left w:val="single" w:sz="4" w:space="0" w:color="000000"/>
              <w:bottom w:val="single" w:sz="4" w:space="0" w:color="000000"/>
              <w:right w:val="single" w:sz="4" w:space="0" w:color="000000"/>
            </w:tcBorders>
          </w:tcPr>
          <w:p w14:paraId="190F889A"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9B"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9C" w14:textId="77777777" w:rsidR="003C12C0" w:rsidRDefault="00000000">
            <w:pPr>
              <w:pStyle w:val="TableText"/>
            </w:pPr>
            <w:r>
              <w:t>[N/D]</w:t>
            </w:r>
          </w:p>
        </w:tc>
      </w:tr>
      <w:tr w:rsidR="003C12C0" w14:paraId="190F88A7"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89E" w14:textId="77777777" w:rsidR="003C12C0" w:rsidRDefault="00000000">
            <w:pPr>
              <w:pStyle w:val="TableText"/>
            </w:pPr>
            <w:r>
              <w:t>CNSSAP</w:t>
            </w:r>
          </w:p>
        </w:tc>
        <w:tc>
          <w:tcPr>
            <w:tcW w:w="0" w:type="auto"/>
            <w:tcBorders>
              <w:top w:val="single" w:sz="4" w:space="0" w:color="000000"/>
              <w:left w:val="single" w:sz="4" w:space="0" w:color="000000"/>
              <w:bottom w:val="single" w:sz="4" w:space="0" w:color="000000"/>
              <w:right w:val="single" w:sz="4" w:space="0" w:color="000000"/>
            </w:tcBorders>
          </w:tcPr>
          <w:p w14:paraId="190F889F" w14:textId="77777777" w:rsidR="003C12C0" w:rsidRDefault="00000000">
            <w:pPr>
              <w:pStyle w:val="TableText"/>
            </w:pPr>
            <w:r>
              <w:t>Pension des survivants (bénéf.)</w:t>
            </w:r>
          </w:p>
        </w:tc>
        <w:tc>
          <w:tcPr>
            <w:tcW w:w="0" w:type="auto"/>
            <w:tcBorders>
              <w:top w:val="single" w:sz="4" w:space="0" w:color="000000"/>
              <w:left w:val="single" w:sz="4" w:space="0" w:color="000000"/>
              <w:bottom w:val="single" w:sz="4" w:space="0" w:color="000000"/>
              <w:right w:val="single" w:sz="4" w:space="0" w:color="000000"/>
            </w:tcBorders>
          </w:tcPr>
          <w:p w14:paraId="190F88A0" w14:textId="77777777" w:rsidR="003C12C0" w:rsidRDefault="00000000">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90F88A1" w14:textId="77777777" w:rsidR="003C12C0" w:rsidRDefault="00000000">
            <w:pPr>
              <w:pStyle w:val="TableText"/>
            </w:pPr>
            <w:r>
              <w:t>90</w:t>
            </w:r>
          </w:p>
        </w:tc>
        <w:tc>
          <w:tcPr>
            <w:tcW w:w="0" w:type="auto"/>
            <w:tcBorders>
              <w:top w:val="single" w:sz="4" w:space="0" w:color="000000"/>
              <w:left w:val="single" w:sz="4" w:space="0" w:color="000000"/>
              <w:bottom w:val="single" w:sz="4" w:space="0" w:color="000000"/>
              <w:right w:val="single" w:sz="4" w:space="0" w:color="000000"/>
            </w:tcBorders>
          </w:tcPr>
          <w:p w14:paraId="190F88A2" w14:textId="77777777" w:rsidR="003C12C0" w:rsidRDefault="00000000">
            <w:pPr>
              <w:pStyle w:val="TableText"/>
            </w:pPr>
            <w:r>
              <w:t>217</w:t>
            </w:r>
          </w:p>
        </w:tc>
        <w:tc>
          <w:tcPr>
            <w:tcW w:w="0" w:type="auto"/>
            <w:tcBorders>
              <w:top w:val="single" w:sz="4" w:space="0" w:color="000000"/>
              <w:left w:val="single" w:sz="4" w:space="0" w:color="000000"/>
              <w:bottom w:val="single" w:sz="4" w:space="0" w:color="000000"/>
              <w:right w:val="single" w:sz="4" w:space="0" w:color="000000"/>
            </w:tcBorders>
          </w:tcPr>
          <w:p w14:paraId="190F88A3" w14:textId="77777777" w:rsidR="003C12C0" w:rsidRDefault="00000000">
            <w:pPr>
              <w:pStyle w:val="TableText"/>
            </w:pPr>
            <w:r>
              <w:t>6 964</w:t>
            </w:r>
          </w:p>
        </w:tc>
        <w:tc>
          <w:tcPr>
            <w:tcW w:w="0" w:type="auto"/>
            <w:tcBorders>
              <w:top w:val="single" w:sz="4" w:space="0" w:color="000000"/>
              <w:left w:val="single" w:sz="4" w:space="0" w:color="000000"/>
              <w:bottom w:val="single" w:sz="4" w:space="0" w:color="000000"/>
              <w:right w:val="single" w:sz="4" w:space="0" w:color="000000"/>
            </w:tcBorders>
          </w:tcPr>
          <w:p w14:paraId="190F88A4"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A5"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A6" w14:textId="77777777" w:rsidR="003C12C0" w:rsidRDefault="00000000">
            <w:pPr>
              <w:pStyle w:val="TableText"/>
            </w:pPr>
            <w:r>
              <w:t>[N/D]</w:t>
            </w:r>
          </w:p>
        </w:tc>
      </w:tr>
      <w:tr w:rsidR="003C12C0" w14:paraId="190F88B1"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8A8" w14:textId="77777777" w:rsidR="003C12C0" w:rsidRDefault="00000000">
            <w:pPr>
              <w:pStyle w:val="TableText"/>
            </w:pPr>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190F88A9" w14:textId="77777777" w:rsidR="003C12C0" w:rsidRDefault="00000000">
            <w:pPr>
              <w:pStyle w:val="TableText"/>
            </w:pPr>
            <w:r>
              <w:t>Pension des survivants (bénéf.)</w:t>
            </w:r>
          </w:p>
        </w:tc>
        <w:tc>
          <w:tcPr>
            <w:tcW w:w="0" w:type="auto"/>
            <w:tcBorders>
              <w:top w:val="single" w:sz="4" w:space="0" w:color="000000"/>
              <w:left w:val="single" w:sz="4" w:space="0" w:color="000000"/>
              <w:bottom w:val="single" w:sz="4" w:space="0" w:color="000000"/>
              <w:right w:val="single" w:sz="4" w:space="0" w:color="000000"/>
            </w:tcBorders>
          </w:tcPr>
          <w:p w14:paraId="190F88AA"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AB"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AC"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AD"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AE"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AF"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B0" w14:textId="77777777" w:rsidR="003C12C0" w:rsidRDefault="00000000">
            <w:pPr>
              <w:pStyle w:val="TableText"/>
            </w:pPr>
            <w:r>
              <w:t>[N/D]</w:t>
            </w:r>
          </w:p>
        </w:tc>
      </w:tr>
    </w:tbl>
    <w:p w14:paraId="190F88B2" w14:textId="77777777" w:rsidR="003C12C0" w:rsidRPr="00DF4DEA" w:rsidRDefault="00000000">
      <w:pPr>
        <w:pStyle w:val="Source-GraphicPicture"/>
        <w:rPr>
          <w:lang w:val="fr-CH"/>
        </w:rPr>
      </w:pPr>
      <w:r w:rsidRPr="00DF4DEA">
        <w:rPr>
          <w:i/>
          <w:iCs/>
          <w:lang w:val="fr-CH"/>
        </w:rPr>
        <w:t>Source : ESS OIT — CNSS (2019–2022) et CNSSAP (2020–2022). Régimes spéciaux : données non disponibles — à instruire.</w:t>
      </w:r>
    </w:p>
    <w:p w14:paraId="190F88B3" w14:textId="77777777" w:rsidR="003C12C0" w:rsidRDefault="00000000">
      <w:pPr>
        <w:pStyle w:val="Heading3"/>
      </w:pPr>
      <w:bookmarkStart w:id="82" w:name="Xd71be3d683c1ad96085ac04255a728cd2592a10"/>
      <w:bookmarkEnd w:id="80"/>
      <w:r>
        <w:t>Adéquation des pensions de survie</w:t>
      </w:r>
    </w:p>
    <w:p w14:paraId="190F88B4" w14:textId="77777777" w:rsidR="003C12C0" w:rsidRDefault="00000000">
      <w:r>
        <w:t>Le tableau présente les montants unitaires de pension de survie et de pension de vieillesse du même régime, ainsi que le seuil de pauvreté de référence pour la même période.</w:t>
      </w:r>
    </w:p>
    <w:p w14:paraId="190F88B5" w14:textId="77777777" w:rsidR="003C12C0" w:rsidRDefault="00000000">
      <w:pPr>
        <w:pStyle w:val="TableTitle"/>
      </w:pPr>
      <w:bookmarkStart w:id="83" w:name="_Toc234324555"/>
      <w:r>
        <w:t>Tableau 4.13 — Adéquation des pensions de survie CNSS et seuil de pauvreté (2019–2025) [src]</w:t>
      </w:r>
      <w:r>
        <w:rPr>
          <w:rStyle w:val="FootnoteReference"/>
        </w:rPr>
        <w:footnoteReference w:id="96"/>
      </w:r>
      <w:bookmarkEnd w:id="83"/>
    </w:p>
    <w:tbl>
      <w:tblPr>
        <w:tblStyle w:val="ILOTable"/>
        <w:tblW w:w="5000" w:type="pct"/>
        <w:tblLook w:val="0020" w:firstRow="1" w:lastRow="0" w:firstColumn="0" w:lastColumn="0" w:noHBand="0" w:noVBand="0"/>
      </w:tblPr>
      <w:tblGrid>
        <w:gridCol w:w="2413"/>
        <w:gridCol w:w="1310"/>
        <w:gridCol w:w="1310"/>
        <w:gridCol w:w="1310"/>
        <w:gridCol w:w="1310"/>
        <w:gridCol w:w="469"/>
        <w:gridCol w:w="469"/>
        <w:gridCol w:w="469"/>
      </w:tblGrid>
      <w:tr w:rsidR="003C12C0" w14:paraId="190F88BE"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8B6" w14:textId="77777777" w:rsidR="003C12C0"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90F88B7" w14:textId="77777777" w:rsidR="003C12C0"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90F88B8" w14:textId="77777777" w:rsidR="003C12C0"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90F88B9" w14:textId="77777777" w:rsidR="003C12C0"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90F88BA" w14:textId="77777777" w:rsidR="003C12C0"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90F88BB" w14:textId="77777777" w:rsidR="003C12C0"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90F88BC" w14:textId="77777777" w:rsidR="003C12C0"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90F88BD" w14:textId="77777777" w:rsidR="003C12C0" w:rsidRDefault="00000000">
            <w:pPr>
              <w:pStyle w:val="TableHeader"/>
            </w:pPr>
            <w:r>
              <w:t>2025</w:t>
            </w:r>
          </w:p>
        </w:tc>
      </w:tr>
      <w:tr w:rsidR="003C12C0" w14:paraId="190F88C7"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8BF" w14:textId="77777777" w:rsidR="003C12C0" w:rsidRDefault="00000000">
            <w:pPr>
              <w:pStyle w:val="TableText"/>
            </w:pPr>
            <w:r>
              <w:t>Pension survie CNSS (CDF/mois)</w:t>
            </w:r>
          </w:p>
        </w:tc>
        <w:tc>
          <w:tcPr>
            <w:tcW w:w="0" w:type="auto"/>
            <w:tcBorders>
              <w:top w:val="single" w:sz="4" w:space="0" w:color="000000"/>
              <w:left w:val="single" w:sz="4" w:space="0" w:color="000000"/>
              <w:bottom w:val="single" w:sz="4" w:space="0" w:color="000000"/>
              <w:right w:val="single" w:sz="4" w:space="0" w:color="000000"/>
            </w:tcBorders>
          </w:tcPr>
          <w:p w14:paraId="190F88C0" w14:textId="77777777" w:rsidR="003C12C0" w:rsidRDefault="00000000">
            <w:pPr>
              <w:pStyle w:val="TableText"/>
            </w:pPr>
            <w:r>
              <w:t>180 000</w:t>
            </w:r>
          </w:p>
        </w:tc>
        <w:tc>
          <w:tcPr>
            <w:tcW w:w="0" w:type="auto"/>
            <w:tcBorders>
              <w:top w:val="single" w:sz="4" w:space="0" w:color="000000"/>
              <w:left w:val="single" w:sz="4" w:space="0" w:color="000000"/>
              <w:bottom w:val="single" w:sz="4" w:space="0" w:color="000000"/>
              <w:right w:val="single" w:sz="4" w:space="0" w:color="000000"/>
            </w:tcBorders>
          </w:tcPr>
          <w:p w14:paraId="190F88C1" w14:textId="77777777" w:rsidR="003C12C0" w:rsidRDefault="00000000">
            <w:pPr>
              <w:pStyle w:val="TableText"/>
            </w:pPr>
            <w:r>
              <w:t>220 000</w:t>
            </w:r>
          </w:p>
        </w:tc>
        <w:tc>
          <w:tcPr>
            <w:tcW w:w="0" w:type="auto"/>
            <w:tcBorders>
              <w:top w:val="single" w:sz="4" w:space="0" w:color="000000"/>
              <w:left w:val="single" w:sz="4" w:space="0" w:color="000000"/>
              <w:bottom w:val="single" w:sz="4" w:space="0" w:color="000000"/>
              <w:right w:val="single" w:sz="4" w:space="0" w:color="000000"/>
            </w:tcBorders>
          </w:tcPr>
          <w:p w14:paraId="190F88C2" w14:textId="77777777" w:rsidR="003C12C0" w:rsidRDefault="00000000">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190F88C3" w14:textId="77777777" w:rsidR="003C12C0" w:rsidRDefault="00000000">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190F88C4"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C5"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C6" w14:textId="77777777" w:rsidR="003C12C0" w:rsidRDefault="00000000">
            <w:pPr>
              <w:pStyle w:val="TableText"/>
            </w:pPr>
            <w:r>
              <w:t>[N/D]</w:t>
            </w:r>
          </w:p>
        </w:tc>
      </w:tr>
      <w:tr w:rsidR="003C12C0" w14:paraId="190F88D0"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8C8" w14:textId="77777777" w:rsidR="003C12C0" w:rsidRDefault="00000000">
            <w:pPr>
              <w:pStyle w:val="TableText"/>
            </w:pPr>
            <w:r>
              <w:t>Pension vieillesse CNSS (CDF/mois)</w:t>
            </w:r>
          </w:p>
        </w:tc>
        <w:tc>
          <w:tcPr>
            <w:tcW w:w="0" w:type="auto"/>
            <w:tcBorders>
              <w:top w:val="single" w:sz="4" w:space="0" w:color="000000"/>
              <w:left w:val="single" w:sz="4" w:space="0" w:color="000000"/>
              <w:bottom w:val="single" w:sz="4" w:space="0" w:color="000000"/>
              <w:right w:val="single" w:sz="4" w:space="0" w:color="000000"/>
            </w:tcBorders>
          </w:tcPr>
          <w:p w14:paraId="190F88C9" w14:textId="77777777" w:rsidR="003C12C0" w:rsidRDefault="00000000">
            <w:pPr>
              <w:pStyle w:val="TableText"/>
            </w:pPr>
            <w:r>
              <w:t>180 000</w:t>
            </w:r>
          </w:p>
        </w:tc>
        <w:tc>
          <w:tcPr>
            <w:tcW w:w="0" w:type="auto"/>
            <w:tcBorders>
              <w:top w:val="single" w:sz="4" w:space="0" w:color="000000"/>
              <w:left w:val="single" w:sz="4" w:space="0" w:color="000000"/>
              <w:bottom w:val="single" w:sz="4" w:space="0" w:color="000000"/>
              <w:right w:val="single" w:sz="4" w:space="0" w:color="000000"/>
            </w:tcBorders>
          </w:tcPr>
          <w:p w14:paraId="190F88CA" w14:textId="77777777" w:rsidR="003C12C0" w:rsidRDefault="00000000">
            <w:pPr>
              <w:pStyle w:val="TableText"/>
            </w:pPr>
            <w:r>
              <w:t>220 000</w:t>
            </w:r>
          </w:p>
        </w:tc>
        <w:tc>
          <w:tcPr>
            <w:tcW w:w="0" w:type="auto"/>
            <w:tcBorders>
              <w:top w:val="single" w:sz="4" w:space="0" w:color="000000"/>
              <w:left w:val="single" w:sz="4" w:space="0" w:color="000000"/>
              <w:bottom w:val="single" w:sz="4" w:space="0" w:color="000000"/>
              <w:right w:val="single" w:sz="4" w:space="0" w:color="000000"/>
            </w:tcBorders>
          </w:tcPr>
          <w:p w14:paraId="190F88CB" w14:textId="77777777" w:rsidR="003C12C0" w:rsidRDefault="00000000">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190F88CC" w14:textId="77777777" w:rsidR="003C12C0" w:rsidRDefault="00000000">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190F88CD"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CE"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CF" w14:textId="77777777" w:rsidR="003C12C0" w:rsidRDefault="00000000">
            <w:pPr>
              <w:pStyle w:val="TableText"/>
            </w:pPr>
            <w:r>
              <w:t>[N/D]</w:t>
            </w:r>
          </w:p>
        </w:tc>
      </w:tr>
      <w:tr w:rsidR="003C12C0" w14:paraId="190F88D9"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8D1" w14:textId="77777777" w:rsidR="003C12C0" w:rsidRDefault="00000000">
            <w:pPr>
              <w:pStyle w:val="TableText"/>
            </w:pPr>
            <w:r>
              <w:t>Montant frais funéraires CNSS (CDF)</w:t>
            </w:r>
          </w:p>
        </w:tc>
        <w:tc>
          <w:tcPr>
            <w:tcW w:w="0" w:type="auto"/>
            <w:tcBorders>
              <w:top w:val="single" w:sz="4" w:space="0" w:color="000000"/>
              <w:left w:val="single" w:sz="4" w:space="0" w:color="000000"/>
              <w:bottom w:val="single" w:sz="4" w:space="0" w:color="000000"/>
              <w:right w:val="single" w:sz="4" w:space="0" w:color="000000"/>
            </w:tcBorders>
          </w:tcPr>
          <w:p w14:paraId="190F88D2" w14:textId="77777777" w:rsidR="003C12C0" w:rsidRDefault="00000000">
            <w:pPr>
              <w:pStyle w:val="TableText"/>
            </w:pPr>
            <w:r>
              <w:t>180 000</w:t>
            </w:r>
          </w:p>
        </w:tc>
        <w:tc>
          <w:tcPr>
            <w:tcW w:w="0" w:type="auto"/>
            <w:tcBorders>
              <w:top w:val="single" w:sz="4" w:space="0" w:color="000000"/>
              <w:left w:val="single" w:sz="4" w:space="0" w:color="000000"/>
              <w:bottom w:val="single" w:sz="4" w:space="0" w:color="000000"/>
              <w:right w:val="single" w:sz="4" w:space="0" w:color="000000"/>
            </w:tcBorders>
          </w:tcPr>
          <w:p w14:paraId="190F88D3" w14:textId="77777777" w:rsidR="003C12C0" w:rsidRDefault="00000000">
            <w:pPr>
              <w:pStyle w:val="TableText"/>
            </w:pPr>
            <w:r>
              <w:t>220 000</w:t>
            </w:r>
          </w:p>
        </w:tc>
        <w:tc>
          <w:tcPr>
            <w:tcW w:w="0" w:type="auto"/>
            <w:tcBorders>
              <w:top w:val="single" w:sz="4" w:space="0" w:color="000000"/>
              <w:left w:val="single" w:sz="4" w:space="0" w:color="000000"/>
              <w:bottom w:val="single" w:sz="4" w:space="0" w:color="000000"/>
              <w:right w:val="single" w:sz="4" w:space="0" w:color="000000"/>
            </w:tcBorders>
          </w:tcPr>
          <w:p w14:paraId="190F88D4" w14:textId="77777777" w:rsidR="003C12C0" w:rsidRDefault="00000000">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190F88D5" w14:textId="77777777" w:rsidR="003C12C0" w:rsidRDefault="00000000">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190F88D6"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D7"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D8" w14:textId="77777777" w:rsidR="003C12C0" w:rsidRDefault="00000000">
            <w:pPr>
              <w:pStyle w:val="TableText"/>
            </w:pPr>
            <w:r>
              <w:t>[N/D]</w:t>
            </w:r>
          </w:p>
        </w:tc>
      </w:tr>
      <w:tr w:rsidR="003C12C0" w14:paraId="190F88E2"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8DA" w14:textId="77777777" w:rsidR="003C12C0" w:rsidRDefault="00000000">
            <w:pPr>
              <w:pStyle w:val="TableText"/>
            </w:pPr>
            <w:r>
              <w:t>Seuil de pauvreté (CDF/mois)</w:t>
            </w:r>
          </w:p>
        </w:tc>
        <w:tc>
          <w:tcPr>
            <w:tcW w:w="0" w:type="auto"/>
            <w:tcBorders>
              <w:top w:val="single" w:sz="4" w:space="0" w:color="000000"/>
              <w:left w:val="single" w:sz="4" w:space="0" w:color="000000"/>
              <w:bottom w:val="single" w:sz="4" w:space="0" w:color="000000"/>
              <w:right w:val="single" w:sz="4" w:space="0" w:color="000000"/>
            </w:tcBorders>
          </w:tcPr>
          <w:p w14:paraId="190F88DB" w14:textId="77777777" w:rsidR="003C12C0" w:rsidRDefault="00000000">
            <w:pPr>
              <w:pStyle w:val="TableTex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90F88DC" w14:textId="77777777" w:rsidR="003C12C0" w:rsidRDefault="00000000">
            <w:pPr>
              <w:pStyle w:val="TableTex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90F88DD" w14:textId="77777777" w:rsidR="003C12C0" w:rsidRDefault="00000000">
            <w:pPr>
              <w:pStyle w:val="TableTex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90F88DE" w14:textId="77777777" w:rsidR="003C12C0" w:rsidRDefault="00000000">
            <w:pPr>
              <w:pStyle w:val="TableTex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90F88DF"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E0"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E1" w14:textId="77777777" w:rsidR="003C12C0" w:rsidRDefault="00000000">
            <w:pPr>
              <w:pStyle w:val="TableText"/>
            </w:pPr>
            <w:r>
              <w:t>[N/D]</w:t>
            </w:r>
          </w:p>
        </w:tc>
      </w:tr>
    </w:tbl>
    <w:p w14:paraId="190F88E3" w14:textId="77777777" w:rsidR="003C12C0" w:rsidRPr="00DF4DEA" w:rsidRDefault="00000000">
      <w:pPr>
        <w:pStyle w:val="Source-GraphicPicture"/>
        <w:rPr>
          <w:lang w:val="fr-CH"/>
        </w:rPr>
      </w:pPr>
      <w:r w:rsidRPr="00DF4DEA">
        <w:rPr>
          <w:i/>
          <w:iCs/>
          <w:lang w:val="fr-CH"/>
        </w:rPr>
        <w:t>Source : ESS OIT — CNSS ; seuil de pauvreté : estimation à construire à partir des données INS.</w:t>
      </w:r>
    </w:p>
    <w:p w14:paraId="190F88E4" w14:textId="77777777" w:rsidR="003C12C0" w:rsidRDefault="00000000">
      <w:pPr>
        <w:pStyle w:val="Heading2"/>
      </w:pPr>
      <w:bookmarkStart w:id="84" w:name="Xd3323ec71ec98b6715241cd498017312ab5420f"/>
      <w:bookmarkEnd w:id="79"/>
      <w:bookmarkEnd w:id="82"/>
      <w:r>
        <w:lastRenderedPageBreak/>
        <w:t>4.7 — Protection en matière de santé</w:t>
      </w:r>
    </w:p>
    <w:p w14:paraId="190F88E5" w14:textId="77777777" w:rsidR="003C12C0" w:rsidRDefault="00000000">
      <w:r>
        <w:t>La protection de la santé en RDC s'organise autour de trois types de dispositifs : un régime national d'assurance maladie à double composante contributive et non contributive (FSS), un régime statutaire obligatoire pour les enseignants (MESP), et un secteur de mutuelles de santé volontaires sans données statistiques consolidées à ce stade. Ces dispositifs coexistent sans qu'un système d'enregistrement commun permette d'en agréger la couverture effective à l'échelle nationale.</w:t>
      </w:r>
    </w:p>
    <w:p w14:paraId="190F88E6" w14:textId="77777777" w:rsidR="003C12C0" w:rsidRDefault="00000000">
      <w:pPr>
        <w:pStyle w:val="Heading3"/>
      </w:pPr>
      <w:bookmarkStart w:id="85" w:name="X08a0a04bf2639d136b6490ed382f6c8942c65f3"/>
      <w:r>
        <w:t>Le FSS — Fonds de Solidarité de Santé</w:t>
      </w:r>
    </w:p>
    <w:p w14:paraId="190F88E7" w14:textId="77777777" w:rsidR="003C12C0" w:rsidRDefault="00000000">
      <w:r>
        <w:t>Institué par la loi n°18/035 du 13 décembre 2018 et organisé par le décret n°22/13 du 9 avril 2022, le FSS est la caisse nationale d'assurance maladie de la RDC.</w:t>
      </w:r>
      <w:r>
        <w:rPr>
          <w:rStyle w:val="FootnoteReference"/>
        </w:rPr>
        <w:footnoteReference w:id="97"/>
      </w:r>
      <w:r>
        <w:t xml:space="preserve"> Il est devenu opérationnel en 2022 et constitue l'un des instruments de mise en œuvre de la couverture sanitaire universelle. Il propose trois produits : Afia Bora (paquet de base obligatoire, régime contributif pour les travailleurs du secteur formel), Afia Bora Prime (paquet complémentaire contributif), et Kobota Ofele (programme d'assistance de l'État pour les mères et les nouveau-nés, financement non contributif).</w:t>
      </w:r>
    </w:p>
    <w:p w14:paraId="190F88E8" w14:textId="77777777" w:rsidR="003C12C0" w:rsidRDefault="00000000">
      <w:pPr>
        <w:pStyle w:val="TableTitle"/>
      </w:pPr>
      <w:bookmarkStart w:id="86" w:name="_Toc234324556"/>
      <w:r>
        <w:t>Tableau 4.14 — Indicateurs de couverture FSS (2019–2025)</w:t>
      </w:r>
      <w:bookmarkEnd w:id="86"/>
    </w:p>
    <w:tbl>
      <w:tblPr>
        <w:tblStyle w:val="ILOTable"/>
        <w:tblW w:w="5000" w:type="pct"/>
        <w:tblLook w:val="0020" w:firstRow="1" w:lastRow="0" w:firstColumn="0" w:lastColumn="0" w:noHBand="0" w:noVBand="0"/>
      </w:tblPr>
      <w:tblGrid>
        <w:gridCol w:w="4406"/>
        <w:gridCol w:w="658"/>
        <w:gridCol w:w="658"/>
        <w:gridCol w:w="658"/>
        <w:gridCol w:w="670"/>
        <w:gridCol w:w="670"/>
        <w:gridCol w:w="670"/>
        <w:gridCol w:w="670"/>
      </w:tblGrid>
      <w:tr w:rsidR="003C12C0" w14:paraId="190F88F1"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8E9" w14:textId="77777777" w:rsidR="003C12C0"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90F88EA" w14:textId="77777777" w:rsidR="003C12C0"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90F88EB" w14:textId="77777777" w:rsidR="003C12C0"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90F88EC" w14:textId="77777777" w:rsidR="003C12C0"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90F88ED" w14:textId="77777777" w:rsidR="003C12C0"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90F88EE" w14:textId="77777777" w:rsidR="003C12C0"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90F88EF" w14:textId="77777777" w:rsidR="003C12C0"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90F88F0" w14:textId="77777777" w:rsidR="003C12C0" w:rsidRDefault="00000000">
            <w:pPr>
              <w:pStyle w:val="TableHeader"/>
            </w:pPr>
            <w:r>
              <w:t>2025</w:t>
            </w:r>
          </w:p>
        </w:tc>
      </w:tr>
      <w:tr w:rsidR="003C12C0" w14:paraId="190F88FA"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8F2" w14:textId="77777777" w:rsidR="003C12C0" w:rsidRDefault="00000000">
            <w:pPr>
              <w:pStyle w:val="TableText"/>
            </w:pPr>
            <w:r>
              <w:t>Affiliés FSS — régime contributif</w:t>
            </w:r>
          </w:p>
        </w:tc>
        <w:tc>
          <w:tcPr>
            <w:tcW w:w="0" w:type="auto"/>
            <w:tcBorders>
              <w:top w:val="single" w:sz="4" w:space="0" w:color="000000"/>
              <w:left w:val="single" w:sz="4" w:space="0" w:color="000000"/>
              <w:bottom w:val="single" w:sz="4" w:space="0" w:color="000000"/>
              <w:right w:val="single" w:sz="4" w:space="0" w:color="000000"/>
            </w:tcBorders>
          </w:tcPr>
          <w:p w14:paraId="190F88F3" w14:textId="77777777" w:rsidR="003C12C0" w:rsidRDefault="00000000">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190F88F4" w14:textId="77777777" w:rsidR="003C12C0" w:rsidRDefault="00000000">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190F88F5" w14:textId="77777777" w:rsidR="003C12C0" w:rsidRDefault="00000000">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190F88F6"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F7"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F8"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8F9" w14:textId="77777777" w:rsidR="003C12C0" w:rsidRDefault="00000000">
            <w:pPr>
              <w:pStyle w:val="TableText"/>
            </w:pPr>
            <w:r>
              <w:t>[N/D]</w:t>
            </w:r>
          </w:p>
        </w:tc>
      </w:tr>
      <w:tr w:rsidR="003C12C0" w14:paraId="190F8903"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8FB" w14:textId="77777777" w:rsidR="003C12C0" w:rsidRDefault="00000000">
            <w:pPr>
              <w:pStyle w:val="TableText"/>
            </w:pPr>
            <w:r>
              <w:t>Cotisants actifs FSS</w:t>
            </w:r>
          </w:p>
        </w:tc>
        <w:tc>
          <w:tcPr>
            <w:tcW w:w="0" w:type="auto"/>
            <w:tcBorders>
              <w:top w:val="single" w:sz="4" w:space="0" w:color="000000"/>
              <w:left w:val="single" w:sz="4" w:space="0" w:color="000000"/>
              <w:bottom w:val="single" w:sz="4" w:space="0" w:color="000000"/>
              <w:right w:val="single" w:sz="4" w:space="0" w:color="000000"/>
            </w:tcBorders>
          </w:tcPr>
          <w:p w14:paraId="190F88FC" w14:textId="77777777" w:rsidR="003C12C0" w:rsidRDefault="00000000">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190F88FD" w14:textId="77777777" w:rsidR="003C12C0" w:rsidRDefault="00000000">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190F88FE" w14:textId="77777777" w:rsidR="003C12C0" w:rsidRDefault="00000000">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190F88FF"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00"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01"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02" w14:textId="77777777" w:rsidR="003C12C0" w:rsidRDefault="00000000">
            <w:pPr>
              <w:pStyle w:val="TableText"/>
            </w:pPr>
            <w:r>
              <w:t>[N/D]</w:t>
            </w:r>
          </w:p>
        </w:tc>
      </w:tr>
      <w:tr w:rsidR="003C12C0" w14:paraId="190F890C"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904" w14:textId="77777777" w:rsidR="003C12C0" w:rsidRDefault="00000000">
            <w:pPr>
              <w:pStyle w:val="TableText"/>
            </w:pPr>
            <w:r>
              <w:t>Bénéficiaires Afia Bora</w:t>
            </w:r>
          </w:p>
        </w:tc>
        <w:tc>
          <w:tcPr>
            <w:tcW w:w="0" w:type="auto"/>
            <w:tcBorders>
              <w:top w:val="single" w:sz="4" w:space="0" w:color="000000"/>
              <w:left w:val="single" w:sz="4" w:space="0" w:color="000000"/>
              <w:bottom w:val="single" w:sz="4" w:space="0" w:color="000000"/>
              <w:right w:val="single" w:sz="4" w:space="0" w:color="000000"/>
            </w:tcBorders>
          </w:tcPr>
          <w:p w14:paraId="190F8905" w14:textId="77777777" w:rsidR="003C12C0" w:rsidRDefault="00000000">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190F8906" w14:textId="77777777" w:rsidR="003C12C0" w:rsidRDefault="00000000">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190F8907" w14:textId="77777777" w:rsidR="003C12C0" w:rsidRDefault="00000000">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190F8908"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09"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0A"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0B" w14:textId="77777777" w:rsidR="003C12C0" w:rsidRDefault="00000000">
            <w:pPr>
              <w:pStyle w:val="TableText"/>
            </w:pPr>
            <w:r>
              <w:t>[N/D]</w:t>
            </w:r>
          </w:p>
        </w:tc>
      </w:tr>
      <w:tr w:rsidR="003C12C0" w14:paraId="190F8915"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90D" w14:textId="77777777" w:rsidR="003C12C0" w:rsidRDefault="00000000">
            <w:pPr>
              <w:pStyle w:val="TableText"/>
            </w:pPr>
            <w:r>
              <w:t>Bénéficiaires Kobota Ofele (non contributif)</w:t>
            </w:r>
          </w:p>
        </w:tc>
        <w:tc>
          <w:tcPr>
            <w:tcW w:w="0" w:type="auto"/>
            <w:tcBorders>
              <w:top w:val="single" w:sz="4" w:space="0" w:color="000000"/>
              <w:left w:val="single" w:sz="4" w:space="0" w:color="000000"/>
              <w:bottom w:val="single" w:sz="4" w:space="0" w:color="000000"/>
              <w:right w:val="single" w:sz="4" w:space="0" w:color="000000"/>
            </w:tcBorders>
          </w:tcPr>
          <w:p w14:paraId="190F890E" w14:textId="77777777" w:rsidR="003C12C0" w:rsidRDefault="00000000">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190F890F" w14:textId="77777777" w:rsidR="003C12C0" w:rsidRDefault="00000000">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190F8910" w14:textId="77777777" w:rsidR="003C12C0" w:rsidRDefault="00000000">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190F8911"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12"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13"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14" w14:textId="77777777" w:rsidR="003C12C0" w:rsidRDefault="00000000">
            <w:pPr>
              <w:pStyle w:val="TableText"/>
            </w:pPr>
            <w:r>
              <w:t>[N/D]</w:t>
            </w:r>
          </w:p>
        </w:tc>
      </w:tr>
      <w:tr w:rsidR="003C12C0" w14:paraId="190F891E"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916" w14:textId="77777777" w:rsidR="003C12C0" w:rsidRDefault="00000000">
            <w:pPr>
              <w:pStyle w:val="TableText"/>
            </w:pPr>
            <w:r>
              <w:t>Dépenses de prestations (CDF)</w:t>
            </w:r>
          </w:p>
        </w:tc>
        <w:tc>
          <w:tcPr>
            <w:tcW w:w="0" w:type="auto"/>
            <w:tcBorders>
              <w:top w:val="single" w:sz="4" w:space="0" w:color="000000"/>
              <w:left w:val="single" w:sz="4" w:space="0" w:color="000000"/>
              <w:bottom w:val="single" w:sz="4" w:space="0" w:color="000000"/>
              <w:right w:val="single" w:sz="4" w:space="0" w:color="000000"/>
            </w:tcBorders>
          </w:tcPr>
          <w:p w14:paraId="190F8917" w14:textId="77777777" w:rsidR="003C12C0" w:rsidRDefault="00000000">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190F8918" w14:textId="77777777" w:rsidR="003C12C0" w:rsidRDefault="00000000">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190F8919" w14:textId="77777777" w:rsidR="003C12C0" w:rsidRDefault="00000000">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190F891A"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1B"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1C"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1D" w14:textId="77777777" w:rsidR="003C12C0" w:rsidRDefault="00000000">
            <w:pPr>
              <w:pStyle w:val="TableText"/>
            </w:pPr>
            <w:r>
              <w:t>[N/D]</w:t>
            </w:r>
          </w:p>
        </w:tc>
      </w:tr>
    </w:tbl>
    <w:p w14:paraId="190F891F" w14:textId="77777777" w:rsidR="003C12C0" w:rsidRDefault="00000000">
      <w:r>
        <w:rPr>
          <w:i/>
          <w:iCs/>
        </w:rPr>
        <w:t>[N/A] = institution non encore opérationnelle. [N/D] = donnée non disponible — à extraire des ESS ou à collecter auprès du FSS. Source : ESS OIT — FSS 2022 ; FSS, fss.cd, juin 2026.</w:t>
      </w:r>
    </w:p>
    <w:p w14:paraId="190F8920" w14:textId="77777777" w:rsidR="003C12C0" w:rsidRDefault="00000000">
      <w:pPr>
        <w:pStyle w:val="Heading3"/>
      </w:pPr>
      <w:bookmarkStart w:id="87" w:name="X29b285b5ab960f76b2602a425e599f390968e67"/>
      <w:bookmarkEnd w:id="85"/>
      <w:r>
        <w:t>La MESP — Mutuelle des Enseignants de l'EPST</w:t>
      </w:r>
    </w:p>
    <w:p w14:paraId="190F8921" w14:textId="77777777" w:rsidR="003C12C0" w:rsidRDefault="00000000">
      <w:r>
        <w:t>La Mutuelle des Enseignants de l'Enseignement Primaire, Secondaire et Technique (MESP) est un régime de santé statutaire obligatoire antérieur au FSS. Elle couvre les enseignants relevant du ministère de l'EPST selon un mécanisme contributif. Les ESS disponibles portent sur les exercices 2019 à 2022.</w:t>
      </w:r>
    </w:p>
    <w:p w14:paraId="190F8922" w14:textId="77777777" w:rsidR="003C12C0" w:rsidRDefault="00000000">
      <w:pPr>
        <w:pStyle w:val="TableTitle"/>
      </w:pPr>
      <w:bookmarkStart w:id="88" w:name="_Toc234324557"/>
      <w:r>
        <w:t>Tableau 4.15 — Indicateurs de couverture MESP (2019–2025)</w:t>
      </w:r>
      <w:bookmarkEnd w:id="88"/>
    </w:p>
    <w:tbl>
      <w:tblPr>
        <w:tblStyle w:val="ILOTable"/>
        <w:tblW w:w="5000" w:type="pct"/>
        <w:tblLook w:val="0020" w:firstRow="1" w:lastRow="0" w:firstColumn="0" w:lastColumn="0" w:noHBand="0" w:noVBand="0"/>
      </w:tblPr>
      <w:tblGrid>
        <w:gridCol w:w="3738"/>
        <w:gridCol w:w="761"/>
        <w:gridCol w:w="761"/>
        <w:gridCol w:w="760"/>
        <w:gridCol w:w="760"/>
        <w:gridCol w:w="760"/>
        <w:gridCol w:w="760"/>
        <w:gridCol w:w="760"/>
      </w:tblGrid>
      <w:tr w:rsidR="003C12C0" w14:paraId="190F892B"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923" w14:textId="77777777" w:rsidR="003C12C0"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90F8924" w14:textId="77777777" w:rsidR="003C12C0"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90F8925" w14:textId="77777777" w:rsidR="003C12C0"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90F8926" w14:textId="77777777" w:rsidR="003C12C0"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90F8927" w14:textId="77777777" w:rsidR="003C12C0"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90F8928" w14:textId="77777777" w:rsidR="003C12C0"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90F8929" w14:textId="77777777" w:rsidR="003C12C0"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90F892A" w14:textId="77777777" w:rsidR="003C12C0" w:rsidRDefault="00000000">
            <w:pPr>
              <w:pStyle w:val="TableHeader"/>
            </w:pPr>
            <w:r>
              <w:t>2025</w:t>
            </w:r>
          </w:p>
        </w:tc>
      </w:tr>
      <w:tr w:rsidR="003C12C0" w14:paraId="190F8934"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92C" w14:textId="77777777" w:rsidR="003C12C0" w:rsidRDefault="00000000">
            <w:pPr>
              <w:pStyle w:val="TableText"/>
            </w:pPr>
            <w:r>
              <w:t>Affiliés MESP</w:t>
            </w:r>
          </w:p>
        </w:tc>
        <w:tc>
          <w:tcPr>
            <w:tcW w:w="0" w:type="auto"/>
            <w:tcBorders>
              <w:top w:val="single" w:sz="4" w:space="0" w:color="000000"/>
              <w:left w:val="single" w:sz="4" w:space="0" w:color="000000"/>
              <w:bottom w:val="single" w:sz="4" w:space="0" w:color="000000"/>
              <w:right w:val="single" w:sz="4" w:space="0" w:color="000000"/>
            </w:tcBorders>
          </w:tcPr>
          <w:p w14:paraId="190F892D"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2E"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2F"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30"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31"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32"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33" w14:textId="77777777" w:rsidR="003C12C0" w:rsidRDefault="00000000">
            <w:pPr>
              <w:pStyle w:val="TableText"/>
            </w:pPr>
            <w:r>
              <w:t>[N/D]</w:t>
            </w:r>
          </w:p>
        </w:tc>
      </w:tr>
      <w:tr w:rsidR="003C12C0" w14:paraId="190F893D"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935" w14:textId="77777777" w:rsidR="003C12C0" w:rsidRDefault="00000000">
            <w:pPr>
              <w:pStyle w:val="TableText"/>
            </w:pPr>
            <w:r>
              <w:t>Cotisants actifs MESP</w:t>
            </w:r>
          </w:p>
        </w:tc>
        <w:tc>
          <w:tcPr>
            <w:tcW w:w="0" w:type="auto"/>
            <w:tcBorders>
              <w:top w:val="single" w:sz="4" w:space="0" w:color="000000"/>
              <w:left w:val="single" w:sz="4" w:space="0" w:color="000000"/>
              <w:bottom w:val="single" w:sz="4" w:space="0" w:color="000000"/>
              <w:right w:val="single" w:sz="4" w:space="0" w:color="000000"/>
            </w:tcBorders>
          </w:tcPr>
          <w:p w14:paraId="190F8936"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37"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38"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39"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3A"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3B"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3C" w14:textId="77777777" w:rsidR="003C12C0" w:rsidRDefault="00000000">
            <w:pPr>
              <w:pStyle w:val="TableText"/>
            </w:pPr>
            <w:r>
              <w:t>[N/D]</w:t>
            </w:r>
          </w:p>
        </w:tc>
      </w:tr>
      <w:tr w:rsidR="003C12C0" w14:paraId="190F8946"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93E" w14:textId="77777777" w:rsidR="003C12C0" w:rsidRDefault="00000000">
            <w:pPr>
              <w:pStyle w:val="TableText"/>
            </w:pPr>
            <w:r>
              <w:t>Bénéficiaires couverts</w:t>
            </w:r>
          </w:p>
        </w:tc>
        <w:tc>
          <w:tcPr>
            <w:tcW w:w="0" w:type="auto"/>
            <w:tcBorders>
              <w:top w:val="single" w:sz="4" w:space="0" w:color="000000"/>
              <w:left w:val="single" w:sz="4" w:space="0" w:color="000000"/>
              <w:bottom w:val="single" w:sz="4" w:space="0" w:color="000000"/>
              <w:right w:val="single" w:sz="4" w:space="0" w:color="000000"/>
            </w:tcBorders>
          </w:tcPr>
          <w:p w14:paraId="190F893F"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40"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41"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42"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43"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44"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45" w14:textId="77777777" w:rsidR="003C12C0" w:rsidRDefault="00000000">
            <w:pPr>
              <w:pStyle w:val="TableText"/>
            </w:pPr>
            <w:r>
              <w:t>[N/D]</w:t>
            </w:r>
          </w:p>
        </w:tc>
      </w:tr>
      <w:tr w:rsidR="003C12C0" w14:paraId="190F894F"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947" w14:textId="77777777" w:rsidR="003C12C0" w:rsidRDefault="00000000">
            <w:pPr>
              <w:pStyle w:val="TableText"/>
            </w:pPr>
            <w:r>
              <w:t>Dépenses de prestations (CDF)</w:t>
            </w:r>
          </w:p>
        </w:tc>
        <w:tc>
          <w:tcPr>
            <w:tcW w:w="0" w:type="auto"/>
            <w:tcBorders>
              <w:top w:val="single" w:sz="4" w:space="0" w:color="000000"/>
              <w:left w:val="single" w:sz="4" w:space="0" w:color="000000"/>
              <w:bottom w:val="single" w:sz="4" w:space="0" w:color="000000"/>
              <w:right w:val="single" w:sz="4" w:space="0" w:color="000000"/>
            </w:tcBorders>
          </w:tcPr>
          <w:p w14:paraId="190F8948"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49"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4A"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4B"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4C"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4D"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4E" w14:textId="77777777" w:rsidR="003C12C0" w:rsidRDefault="00000000">
            <w:pPr>
              <w:pStyle w:val="TableText"/>
            </w:pPr>
            <w:r>
              <w:t>[N/D]</w:t>
            </w:r>
          </w:p>
        </w:tc>
      </w:tr>
    </w:tbl>
    <w:p w14:paraId="190F8950" w14:textId="77777777" w:rsidR="003C12C0" w:rsidRPr="00DF4DEA" w:rsidRDefault="00000000">
      <w:pPr>
        <w:pStyle w:val="Source-GraphicPicture"/>
        <w:rPr>
          <w:lang w:val="fr-CH"/>
        </w:rPr>
      </w:pPr>
      <w:r w:rsidRPr="00DF4DEA">
        <w:rPr>
          <w:i/>
          <w:iCs/>
          <w:lang w:val="fr-CH"/>
        </w:rPr>
        <w:lastRenderedPageBreak/>
        <w:t>Source : ESS OIT — MESP 2019–2022 (fichiers disponibles, données à extraire). Données 2023–2025 : à collecter auprès de la MESP.</w:t>
      </w:r>
    </w:p>
    <w:p w14:paraId="190F8951" w14:textId="77777777" w:rsidR="003C12C0" w:rsidRDefault="00000000">
      <w:pPr>
        <w:pStyle w:val="Heading3"/>
      </w:pPr>
      <w:bookmarkStart w:id="89" w:name="Xe0e42193e655a8d81666b0fd0f34374e35729e0"/>
      <w:bookmarkEnd w:id="87"/>
      <w:r>
        <w:t>Mutuelles de santé volontaires</w:t>
      </w:r>
    </w:p>
    <w:p w14:paraId="190F8952" w14:textId="77777777" w:rsidR="003C12C0" w:rsidRDefault="00000000">
      <w:r>
        <w:t>Les mutuelles de santé à adhésion volontaire constituent un troisième niveau de protection. Elles incluent notamment les structures d'assurance médicale du secteur privé (type SESOPA pour les secteurs pétrolier et bancaire) ainsi que les mutuelles communautaires et associatives. Ces dispositifs sont mentionnés à titre contextuel : ils ne font pas l'objet d'une collecte statistique consolidée dans le cadre de la présente édition du bulletin et leurs données de couverture ne sont pas agrégées dans les indicateurs.</w:t>
      </w:r>
    </w:p>
    <w:p w14:paraId="190F8953" w14:textId="77777777" w:rsidR="003C12C0" w:rsidRDefault="00000000">
      <w:pPr>
        <w:pStyle w:val="Heading2"/>
      </w:pPr>
      <w:bookmarkStart w:id="90" w:name="Xf5578adc30b0b8356f177d90dfd1eb58484e22d"/>
      <w:bookmarkEnd w:id="84"/>
      <w:bookmarkEnd w:id="89"/>
      <w:r>
        <w:t>4.8 — Dépenses et financement du système</w:t>
      </w:r>
    </w:p>
    <w:p w14:paraId="190F8954" w14:textId="77777777" w:rsidR="003C12C0" w:rsidRDefault="00000000">
      <w:pPr>
        <w:pStyle w:val="Heading3"/>
      </w:pPr>
      <w:bookmarkStart w:id="91" w:name="Xb1ad68f3fed77e6120c6d52ba648ee2677a7fb8"/>
      <w:r>
        <w:t>Recettes des régimes contributifs</w:t>
      </w:r>
    </w:p>
    <w:p w14:paraId="190F8955" w14:textId="77777777" w:rsidR="003C12C0" w:rsidRDefault="00000000">
      <w:r>
        <w:t>Les recettes des régimes contributifs proviennent principalement des cotisations salariales et patronales. Le financement des régimes non contributifs repose sur les transferts du budget de l'État et les contributions des partenaires au développement.</w:t>
      </w:r>
    </w:p>
    <w:p w14:paraId="190F8956" w14:textId="77777777" w:rsidR="003C12C0" w:rsidRDefault="00000000">
      <w:pPr>
        <w:pStyle w:val="TableTitle"/>
      </w:pPr>
      <w:bookmarkStart w:id="92" w:name="_Toc234324558"/>
      <w:r>
        <w:t>Tableau 4.16 — Recettes des régimes contributifs (2019–2025) [src]</w:t>
      </w:r>
      <w:r>
        <w:rPr>
          <w:rStyle w:val="FootnoteReference"/>
        </w:rPr>
        <w:footnoteReference w:id="98"/>
      </w:r>
      <w:bookmarkEnd w:id="92"/>
    </w:p>
    <w:tbl>
      <w:tblPr>
        <w:tblStyle w:val="ILOTable"/>
        <w:tblW w:w="5000" w:type="pct"/>
        <w:tblLook w:val="0020" w:firstRow="1" w:lastRow="0" w:firstColumn="0" w:lastColumn="0" w:noHBand="0" w:noVBand="0"/>
      </w:tblPr>
      <w:tblGrid>
        <w:gridCol w:w="2743"/>
        <w:gridCol w:w="1206"/>
        <w:gridCol w:w="1206"/>
        <w:gridCol w:w="1206"/>
        <w:gridCol w:w="1292"/>
        <w:gridCol w:w="469"/>
        <w:gridCol w:w="469"/>
        <w:gridCol w:w="469"/>
      </w:tblGrid>
      <w:tr w:rsidR="003C12C0" w14:paraId="190F895F"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957" w14:textId="77777777" w:rsidR="003C12C0" w:rsidRDefault="00000000">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190F8958" w14:textId="77777777" w:rsidR="003C12C0"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90F8959" w14:textId="77777777" w:rsidR="003C12C0"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90F895A" w14:textId="77777777" w:rsidR="003C12C0"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90F895B" w14:textId="77777777" w:rsidR="003C12C0"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90F895C" w14:textId="77777777" w:rsidR="003C12C0"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90F895D" w14:textId="77777777" w:rsidR="003C12C0"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90F895E" w14:textId="77777777" w:rsidR="003C12C0" w:rsidRDefault="00000000">
            <w:pPr>
              <w:pStyle w:val="TableHeader"/>
            </w:pPr>
            <w:r>
              <w:t>2025</w:t>
            </w:r>
          </w:p>
        </w:tc>
      </w:tr>
      <w:tr w:rsidR="003C12C0" w14:paraId="190F8968"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960" w14:textId="77777777" w:rsidR="003C12C0" w:rsidRDefault="00000000">
            <w:pPr>
              <w:pStyle w:val="TableText"/>
            </w:pPr>
            <w:r>
              <w:t>CNSS — recettes totales (milliards CDF)</w:t>
            </w:r>
          </w:p>
        </w:tc>
        <w:tc>
          <w:tcPr>
            <w:tcW w:w="0" w:type="auto"/>
            <w:tcBorders>
              <w:top w:val="single" w:sz="4" w:space="0" w:color="000000"/>
              <w:left w:val="single" w:sz="4" w:space="0" w:color="000000"/>
              <w:bottom w:val="single" w:sz="4" w:space="0" w:color="000000"/>
              <w:right w:val="single" w:sz="4" w:space="0" w:color="000000"/>
            </w:tcBorders>
          </w:tcPr>
          <w:p w14:paraId="190F8961" w14:textId="77777777" w:rsidR="003C12C0" w:rsidRDefault="00000000">
            <w:pPr>
              <w:pStyle w:val="TableText"/>
            </w:pPr>
            <w:r>
              <w:t>577,8 Mds CDF</w:t>
            </w:r>
          </w:p>
        </w:tc>
        <w:tc>
          <w:tcPr>
            <w:tcW w:w="0" w:type="auto"/>
            <w:tcBorders>
              <w:top w:val="single" w:sz="4" w:space="0" w:color="000000"/>
              <w:left w:val="single" w:sz="4" w:space="0" w:color="000000"/>
              <w:bottom w:val="single" w:sz="4" w:space="0" w:color="000000"/>
              <w:right w:val="single" w:sz="4" w:space="0" w:color="000000"/>
            </w:tcBorders>
          </w:tcPr>
          <w:p w14:paraId="190F8962" w14:textId="77777777" w:rsidR="003C12C0" w:rsidRDefault="00000000">
            <w:pPr>
              <w:pStyle w:val="TableText"/>
            </w:pPr>
            <w:r>
              <w:t>725,7 Mds CDF</w:t>
            </w:r>
          </w:p>
        </w:tc>
        <w:tc>
          <w:tcPr>
            <w:tcW w:w="0" w:type="auto"/>
            <w:tcBorders>
              <w:top w:val="single" w:sz="4" w:space="0" w:color="000000"/>
              <w:left w:val="single" w:sz="4" w:space="0" w:color="000000"/>
              <w:bottom w:val="single" w:sz="4" w:space="0" w:color="000000"/>
              <w:right w:val="single" w:sz="4" w:space="0" w:color="000000"/>
            </w:tcBorders>
          </w:tcPr>
          <w:p w14:paraId="190F8963" w14:textId="77777777" w:rsidR="003C12C0" w:rsidRDefault="00000000">
            <w:pPr>
              <w:pStyle w:val="TableText"/>
            </w:pPr>
            <w:r>
              <w:t>926,5 Mds CDF</w:t>
            </w:r>
          </w:p>
        </w:tc>
        <w:tc>
          <w:tcPr>
            <w:tcW w:w="0" w:type="auto"/>
            <w:tcBorders>
              <w:top w:val="single" w:sz="4" w:space="0" w:color="000000"/>
              <w:left w:val="single" w:sz="4" w:space="0" w:color="000000"/>
              <w:bottom w:val="single" w:sz="4" w:space="0" w:color="000000"/>
              <w:right w:val="single" w:sz="4" w:space="0" w:color="000000"/>
            </w:tcBorders>
          </w:tcPr>
          <w:p w14:paraId="190F8964" w14:textId="77777777" w:rsidR="003C12C0" w:rsidRDefault="00000000">
            <w:pPr>
              <w:pStyle w:val="TableText"/>
            </w:pPr>
            <w:r>
              <w:t>1067,8 Mds CDF</w:t>
            </w:r>
          </w:p>
        </w:tc>
        <w:tc>
          <w:tcPr>
            <w:tcW w:w="0" w:type="auto"/>
            <w:tcBorders>
              <w:top w:val="single" w:sz="4" w:space="0" w:color="000000"/>
              <w:left w:val="single" w:sz="4" w:space="0" w:color="000000"/>
              <w:bottom w:val="single" w:sz="4" w:space="0" w:color="000000"/>
              <w:right w:val="single" w:sz="4" w:space="0" w:color="000000"/>
            </w:tcBorders>
          </w:tcPr>
          <w:p w14:paraId="190F8965"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66"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67" w14:textId="77777777" w:rsidR="003C12C0" w:rsidRDefault="00000000">
            <w:pPr>
              <w:pStyle w:val="TableText"/>
            </w:pPr>
            <w:r>
              <w:t>[N/D]</w:t>
            </w:r>
          </w:p>
        </w:tc>
      </w:tr>
      <w:tr w:rsidR="003C12C0" w14:paraId="190F8971"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969" w14:textId="77777777" w:rsidR="003C12C0" w:rsidRDefault="00000000">
            <w:pPr>
              <w:pStyle w:val="TableText"/>
            </w:pPr>
            <w:r>
              <w:t>CNSSAP — recettes totales (milliards CDF)</w:t>
            </w:r>
          </w:p>
        </w:tc>
        <w:tc>
          <w:tcPr>
            <w:tcW w:w="0" w:type="auto"/>
            <w:tcBorders>
              <w:top w:val="single" w:sz="4" w:space="0" w:color="000000"/>
              <w:left w:val="single" w:sz="4" w:space="0" w:color="000000"/>
              <w:bottom w:val="single" w:sz="4" w:space="0" w:color="000000"/>
              <w:right w:val="single" w:sz="4" w:space="0" w:color="000000"/>
            </w:tcBorders>
          </w:tcPr>
          <w:p w14:paraId="190F896A" w14:textId="77777777" w:rsidR="003C12C0" w:rsidRDefault="00000000">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90F896B" w14:textId="77777777" w:rsidR="003C12C0" w:rsidRDefault="00000000">
            <w:pPr>
              <w:pStyle w:val="TableText"/>
            </w:pPr>
            <w:r>
              <w:t>40,5 Mds CDF</w:t>
            </w:r>
          </w:p>
        </w:tc>
        <w:tc>
          <w:tcPr>
            <w:tcW w:w="0" w:type="auto"/>
            <w:tcBorders>
              <w:top w:val="single" w:sz="4" w:space="0" w:color="000000"/>
              <w:left w:val="single" w:sz="4" w:space="0" w:color="000000"/>
              <w:bottom w:val="single" w:sz="4" w:space="0" w:color="000000"/>
              <w:right w:val="single" w:sz="4" w:space="0" w:color="000000"/>
            </w:tcBorders>
          </w:tcPr>
          <w:p w14:paraId="190F896C" w14:textId="77777777" w:rsidR="003C12C0" w:rsidRDefault="00000000">
            <w:pPr>
              <w:pStyle w:val="TableText"/>
            </w:pPr>
            <w:r>
              <w:t>41,6 Mds CDF</w:t>
            </w:r>
          </w:p>
        </w:tc>
        <w:tc>
          <w:tcPr>
            <w:tcW w:w="0" w:type="auto"/>
            <w:tcBorders>
              <w:top w:val="single" w:sz="4" w:space="0" w:color="000000"/>
              <w:left w:val="single" w:sz="4" w:space="0" w:color="000000"/>
              <w:bottom w:val="single" w:sz="4" w:space="0" w:color="000000"/>
              <w:right w:val="single" w:sz="4" w:space="0" w:color="000000"/>
            </w:tcBorders>
          </w:tcPr>
          <w:p w14:paraId="190F896D" w14:textId="77777777" w:rsidR="003C12C0" w:rsidRDefault="00000000">
            <w:pPr>
              <w:pStyle w:val="TableText"/>
            </w:pPr>
            <w:r>
              <w:t>52,4 Mds CDF</w:t>
            </w:r>
          </w:p>
        </w:tc>
        <w:tc>
          <w:tcPr>
            <w:tcW w:w="0" w:type="auto"/>
            <w:tcBorders>
              <w:top w:val="single" w:sz="4" w:space="0" w:color="000000"/>
              <w:left w:val="single" w:sz="4" w:space="0" w:color="000000"/>
              <w:bottom w:val="single" w:sz="4" w:space="0" w:color="000000"/>
              <w:right w:val="single" w:sz="4" w:space="0" w:color="000000"/>
            </w:tcBorders>
          </w:tcPr>
          <w:p w14:paraId="190F896E"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6F"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70" w14:textId="77777777" w:rsidR="003C12C0" w:rsidRDefault="00000000">
            <w:pPr>
              <w:pStyle w:val="TableText"/>
            </w:pPr>
            <w:r>
              <w:t>[N/D]</w:t>
            </w:r>
          </w:p>
        </w:tc>
      </w:tr>
      <w:tr w:rsidR="003C12C0" w14:paraId="190F897A"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972" w14:textId="77777777" w:rsidR="003C12C0" w:rsidRDefault="00000000">
            <w:pPr>
              <w:pStyle w:val="TableText"/>
            </w:pPr>
            <w:r>
              <w:t>Régimes spéciaux — recettes totales (milliards CDF)</w:t>
            </w:r>
          </w:p>
        </w:tc>
        <w:tc>
          <w:tcPr>
            <w:tcW w:w="0" w:type="auto"/>
            <w:tcBorders>
              <w:top w:val="single" w:sz="4" w:space="0" w:color="000000"/>
              <w:left w:val="single" w:sz="4" w:space="0" w:color="000000"/>
              <w:bottom w:val="single" w:sz="4" w:space="0" w:color="000000"/>
              <w:right w:val="single" w:sz="4" w:space="0" w:color="000000"/>
            </w:tcBorders>
          </w:tcPr>
          <w:p w14:paraId="190F8973"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74"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75"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76"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77"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78"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79" w14:textId="77777777" w:rsidR="003C12C0" w:rsidRDefault="00000000">
            <w:pPr>
              <w:pStyle w:val="TableText"/>
            </w:pPr>
            <w:r>
              <w:t>[N/D]</w:t>
            </w:r>
          </w:p>
        </w:tc>
      </w:tr>
      <w:tr w:rsidR="003C12C0" w14:paraId="190F8983"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97B" w14:textId="77777777" w:rsidR="003C12C0" w:rsidRDefault="00000000">
            <w:pPr>
              <w:pStyle w:val="TableText"/>
            </w:pPr>
            <w:r>
              <w:t>Programmes non contributifs — financement public</w:t>
            </w:r>
          </w:p>
        </w:tc>
        <w:tc>
          <w:tcPr>
            <w:tcW w:w="0" w:type="auto"/>
            <w:tcBorders>
              <w:top w:val="single" w:sz="4" w:space="0" w:color="000000"/>
              <w:left w:val="single" w:sz="4" w:space="0" w:color="000000"/>
              <w:bottom w:val="single" w:sz="4" w:space="0" w:color="000000"/>
              <w:right w:val="single" w:sz="4" w:space="0" w:color="000000"/>
            </w:tcBorders>
          </w:tcPr>
          <w:p w14:paraId="190F897C"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7D"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7E"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7F" w14:textId="77777777" w:rsidR="003C12C0" w:rsidRDefault="00000000">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90F8980"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81"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82" w14:textId="77777777" w:rsidR="003C12C0" w:rsidRDefault="00000000">
            <w:pPr>
              <w:pStyle w:val="TableText"/>
            </w:pPr>
            <w:r>
              <w:t>[N/D]</w:t>
            </w:r>
          </w:p>
        </w:tc>
      </w:tr>
    </w:tbl>
    <w:p w14:paraId="190F8984" w14:textId="77777777" w:rsidR="003C12C0" w:rsidRPr="00DF4DEA" w:rsidRDefault="00000000">
      <w:pPr>
        <w:pStyle w:val="Source-GraphicPicture"/>
        <w:rPr>
          <w:lang w:val="fr-CH"/>
        </w:rPr>
      </w:pPr>
      <w:r w:rsidRPr="00DF4DEA">
        <w:rPr>
          <w:i/>
          <w:iCs/>
          <w:lang w:val="fr-CH"/>
        </w:rPr>
        <w:t>Source : ESS OIT — CNSS et CNSSAP. Régimes spéciaux : données non disponibles — à instruire.</w:t>
      </w:r>
    </w:p>
    <w:p w14:paraId="190F8985" w14:textId="77777777" w:rsidR="003C12C0" w:rsidRDefault="00000000">
      <w:pPr>
        <w:pStyle w:val="Heading3"/>
      </w:pPr>
      <w:bookmarkStart w:id="93" w:name="depenses-de-prestations-non-valide"/>
      <w:bookmarkEnd w:id="91"/>
      <w:r>
        <w:t>Dépenses de prestations</w:t>
      </w:r>
    </w:p>
    <w:p w14:paraId="190F8986" w14:textId="77777777" w:rsidR="003C12C0" w:rsidRDefault="00000000">
      <w:r>
        <w:t>Les dépenses de prestations correspondent aux transferts effectifs versés aux bénéficiaires — pensions, allocations, rentes, indemnités. Elles sont distinguées des dépenses administratives, conformément aux standards de l'OIT. Les valeurs sont exprimées en milliards de francs congolais courants.</w:t>
      </w:r>
    </w:p>
    <w:p w14:paraId="190F8987" w14:textId="77777777" w:rsidR="003C12C0" w:rsidRDefault="00000000">
      <w:pPr>
        <w:pStyle w:val="TableTitle"/>
      </w:pPr>
      <w:bookmarkStart w:id="94" w:name="_Toc234324559"/>
      <w:r>
        <w:t>Tableau 4.17 — Dépenses de prestations par institution (2019–2025) [src]</w:t>
      </w:r>
      <w:r>
        <w:rPr>
          <w:rStyle w:val="FootnoteReference"/>
        </w:rPr>
        <w:footnoteReference w:id="99"/>
      </w:r>
      <w:bookmarkEnd w:id="94"/>
    </w:p>
    <w:tbl>
      <w:tblPr>
        <w:tblStyle w:val="ILOTable"/>
        <w:tblW w:w="5000" w:type="pct"/>
        <w:tblLook w:val="0020" w:firstRow="1" w:lastRow="0" w:firstColumn="0" w:lastColumn="0" w:noHBand="0" w:noVBand="0"/>
      </w:tblPr>
      <w:tblGrid>
        <w:gridCol w:w="2829"/>
        <w:gridCol w:w="1206"/>
        <w:gridCol w:w="1206"/>
        <w:gridCol w:w="1206"/>
        <w:gridCol w:w="1206"/>
        <w:gridCol w:w="469"/>
        <w:gridCol w:w="469"/>
        <w:gridCol w:w="469"/>
      </w:tblGrid>
      <w:tr w:rsidR="003C12C0" w14:paraId="190F8990"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988" w14:textId="77777777" w:rsidR="003C12C0" w:rsidRDefault="00000000">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190F8989" w14:textId="77777777" w:rsidR="003C12C0"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90F898A" w14:textId="77777777" w:rsidR="003C12C0"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90F898B" w14:textId="77777777" w:rsidR="003C12C0"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90F898C" w14:textId="77777777" w:rsidR="003C12C0"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90F898D" w14:textId="77777777" w:rsidR="003C12C0"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90F898E" w14:textId="77777777" w:rsidR="003C12C0"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90F898F" w14:textId="77777777" w:rsidR="003C12C0" w:rsidRDefault="00000000">
            <w:pPr>
              <w:pStyle w:val="TableHeader"/>
            </w:pPr>
            <w:r>
              <w:t>2025</w:t>
            </w:r>
          </w:p>
        </w:tc>
      </w:tr>
      <w:tr w:rsidR="003C12C0" w14:paraId="190F8999"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991" w14:textId="77777777" w:rsidR="003C12C0" w:rsidRDefault="00000000">
            <w:pPr>
              <w:pStyle w:val="TableText"/>
            </w:pPr>
            <w:r>
              <w:t>CNSS — dépenses de prestations (milliards CDF)</w:t>
            </w:r>
          </w:p>
        </w:tc>
        <w:tc>
          <w:tcPr>
            <w:tcW w:w="0" w:type="auto"/>
            <w:tcBorders>
              <w:top w:val="single" w:sz="4" w:space="0" w:color="000000"/>
              <w:left w:val="single" w:sz="4" w:space="0" w:color="000000"/>
              <w:bottom w:val="single" w:sz="4" w:space="0" w:color="000000"/>
              <w:right w:val="single" w:sz="4" w:space="0" w:color="000000"/>
            </w:tcBorders>
          </w:tcPr>
          <w:p w14:paraId="190F8992" w14:textId="77777777" w:rsidR="003C12C0" w:rsidRDefault="00000000">
            <w:pPr>
              <w:pStyle w:val="TableText"/>
            </w:pPr>
            <w:r>
              <w:t>328,5 Mds CDF</w:t>
            </w:r>
          </w:p>
        </w:tc>
        <w:tc>
          <w:tcPr>
            <w:tcW w:w="0" w:type="auto"/>
            <w:tcBorders>
              <w:top w:val="single" w:sz="4" w:space="0" w:color="000000"/>
              <w:left w:val="single" w:sz="4" w:space="0" w:color="000000"/>
              <w:bottom w:val="single" w:sz="4" w:space="0" w:color="000000"/>
              <w:right w:val="single" w:sz="4" w:space="0" w:color="000000"/>
            </w:tcBorders>
          </w:tcPr>
          <w:p w14:paraId="190F8993" w14:textId="77777777" w:rsidR="003C12C0" w:rsidRDefault="00000000">
            <w:pPr>
              <w:pStyle w:val="TableText"/>
            </w:pPr>
            <w:r>
              <w:t>436,5 Mds CDF</w:t>
            </w:r>
          </w:p>
        </w:tc>
        <w:tc>
          <w:tcPr>
            <w:tcW w:w="0" w:type="auto"/>
            <w:tcBorders>
              <w:top w:val="single" w:sz="4" w:space="0" w:color="000000"/>
              <w:left w:val="single" w:sz="4" w:space="0" w:color="000000"/>
              <w:bottom w:val="single" w:sz="4" w:space="0" w:color="000000"/>
              <w:right w:val="single" w:sz="4" w:space="0" w:color="000000"/>
            </w:tcBorders>
          </w:tcPr>
          <w:p w14:paraId="190F8994" w14:textId="77777777" w:rsidR="003C12C0" w:rsidRDefault="00000000">
            <w:pPr>
              <w:pStyle w:val="TableText"/>
            </w:pPr>
            <w:r>
              <w:t>493,2 Mds CDF</w:t>
            </w:r>
          </w:p>
        </w:tc>
        <w:tc>
          <w:tcPr>
            <w:tcW w:w="0" w:type="auto"/>
            <w:tcBorders>
              <w:top w:val="single" w:sz="4" w:space="0" w:color="000000"/>
              <w:left w:val="single" w:sz="4" w:space="0" w:color="000000"/>
              <w:bottom w:val="single" w:sz="4" w:space="0" w:color="000000"/>
              <w:right w:val="single" w:sz="4" w:space="0" w:color="000000"/>
            </w:tcBorders>
          </w:tcPr>
          <w:p w14:paraId="190F8995" w14:textId="77777777" w:rsidR="003C12C0" w:rsidRDefault="00000000">
            <w:pPr>
              <w:pStyle w:val="TableText"/>
            </w:pPr>
            <w:r>
              <w:t>677,8 Mds CDF</w:t>
            </w:r>
          </w:p>
        </w:tc>
        <w:tc>
          <w:tcPr>
            <w:tcW w:w="0" w:type="auto"/>
            <w:tcBorders>
              <w:top w:val="single" w:sz="4" w:space="0" w:color="000000"/>
              <w:left w:val="single" w:sz="4" w:space="0" w:color="000000"/>
              <w:bottom w:val="single" w:sz="4" w:space="0" w:color="000000"/>
              <w:right w:val="single" w:sz="4" w:space="0" w:color="000000"/>
            </w:tcBorders>
          </w:tcPr>
          <w:p w14:paraId="190F8996"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97"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98" w14:textId="77777777" w:rsidR="003C12C0" w:rsidRDefault="00000000">
            <w:pPr>
              <w:pStyle w:val="TableText"/>
            </w:pPr>
            <w:r>
              <w:t>[N/D]</w:t>
            </w:r>
          </w:p>
        </w:tc>
      </w:tr>
      <w:tr w:rsidR="003C12C0" w14:paraId="190F89A2"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99A" w14:textId="77777777" w:rsidR="003C12C0" w:rsidRDefault="00000000">
            <w:pPr>
              <w:pStyle w:val="TableText"/>
            </w:pPr>
            <w:r>
              <w:t>CNSSAP — dépenses de prestations (milliards CDF)</w:t>
            </w:r>
          </w:p>
        </w:tc>
        <w:tc>
          <w:tcPr>
            <w:tcW w:w="0" w:type="auto"/>
            <w:tcBorders>
              <w:top w:val="single" w:sz="4" w:space="0" w:color="000000"/>
              <w:left w:val="single" w:sz="4" w:space="0" w:color="000000"/>
              <w:bottom w:val="single" w:sz="4" w:space="0" w:color="000000"/>
              <w:right w:val="single" w:sz="4" w:space="0" w:color="000000"/>
            </w:tcBorders>
          </w:tcPr>
          <w:p w14:paraId="190F899B" w14:textId="77777777" w:rsidR="003C12C0" w:rsidRDefault="00000000">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90F899C" w14:textId="77777777" w:rsidR="003C12C0" w:rsidRDefault="00000000">
            <w:pPr>
              <w:pStyle w:val="TableText"/>
            </w:pPr>
            <w:r>
              <w:t>7,2 Mds CDF</w:t>
            </w:r>
          </w:p>
        </w:tc>
        <w:tc>
          <w:tcPr>
            <w:tcW w:w="0" w:type="auto"/>
            <w:tcBorders>
              <w:top w:val="single" w:sz="4" w:space="0" w:color="000000"/>
              <w:left w:val="single" w:sz="4" w:space="0" w:color="000000"/>
              <w:bottom w:val="single" w:sz="4" w:space="0" w:color="000000"/>
              <w:right w:val="single" w:sz="4" w:space="0" w:color="000000"/>
            </w:tcBorders>
          </w:tcPr>
          <w:p w14:paraId="190F899D" w14:textId="77777777" w:rsidR="003C12C0" w:rsidRDefault="00000000">
            <w:pPr>
              <w:pStyle w:val="TableText"/>
            </w:pPr>
            <w:r>
              <w:t>8,5 Mds CDF</w:t>
            </w:r>
          </w:p>
        </w:tc>
        <w:tc>
          <w:tcPr>
            <w:tcW w:w="0" w:type="auto"/>
            <w:tcBorders>
              <w:top w:val="single" w:sz="4" w:space="0" w:color="000000"/>
              <w:left w:val="single" w:sz="4" w:space="0" w:color="000000"/>
              <w:bottom w:val="single" w:sz="4" w:space="0" w:color="000000"/>
              <w:right w:val="single" w:sz="4" w:space="0" w:color="000000"/>
            </w:tcBorders>
          </w:tcPr>
          <w:p w14:paraId="190F899E" w14:textId="77777777" w:rsidR="003C12C0" w:rsidRDefault="00000000">
            <w:pPr>
              <w:pStyle w:val="TableText"/>
            </w:pPr>
            <w:r>
              <w:t>34,4 Mds CDF</w:t>
            </w:r>
          </w:p>
        </w:tc>
        <w:tc>
          <w:tcPr>
            <w:tcW w:w="0" w:type="auto"/>
            <w:tcBorders>
              <w:top w:val="single" w:sz="4" w:space="0" w:color="000000"/>
              <w:left w:val="single" w:sz="4" w:space="0" w:color="000000"/>
              <w:bottom w:val="single" w:sz="4" w:space="0" w:color="000000"/>
              <w:right w:val="single" w:sz="4" w:space="0" w:color="000000"/>
            </w:tcBorders>
          </w:tcPr>
          <w:p w14:paraId="190F899F"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A0"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A1" w14:textId="77777777" w:rsidR="003C12C0" w:rsidRDefault="00000000">
            <w:pPr>
              <w:pStyle w:val="TableText"/>
            </w:pPr>
            <w:r>
              <w:t>[N/D]</w:t>
            </w:r>
          </w:p>
        </w:tc>
      </w:tr>
      <w:tr w:rsidR="003C12C0" w14:paraId="190F89AB"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9A3" w14:textId="77777777" w:rsidR="003C12C0" w:rsidRDefault="00000000">
            <w:pPr>
              <w:pStyle w:val="TableText"/>
            </w:pPr>
            <w:r>
              <w:t>Régimes spéciaux — dépenses de prestations (milliards CDF)</w:t>
            </w:r>
          </w:p>
        </w:tc>
        <w:tc>
          <w:tcPr>
            <w:tcW w:w="0" w:type="auto"/>
            <w:tcBorders>
              <w:top w:val="single" w:sz="4" w:space="0" w:color="000000"/>
              <w:left w:val="single" w:sz="4" w:space="0" w:color="000000"/>
              <w:bottom w:val="single" w:sz="4" w:space="0" w:color="000000"/>
              <w:right w:val="single" w:sz="4" w:space="0" w:color="000000"/>
            </w:tcBorders>
          </w:tcPr>
          <w:p w14:paraId="190F89A4"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A5"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A6"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A7"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A8"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A9"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AA" w14:textId="77777777" w:rsidR="003C12C0" w:rsidRDefault="00000000">
            <w:pPr>
              <w:pStyle w:val="TableText"/>
            </w:pPr>
            <w:r>
              <w:t>[N/D]</w:t>
            </w:r>
          </w:p>
        </w:tc>
      </w:tr>
    </w:tbl>
    <w:p w14:paraId="190F89AC" w14:textId="77777777" w:rsidR="003C12C0" w:rsidRPr="00DF4DEA" w:rsidRDefault="00000000">
      <w:pPr>
        <w:pStyle w:val="Source-GraphicPicture"/>
        <w:rPr>
          <w:lang w:val="fr-CH"/>
        </w:rPr>
      </w:pPr>
      <w:r w:rsidRPr="00DF4DEA">
        <w:rPr>
          <w:i/>
          <w:iCs/>
          <w:lang w:val="fr-CH"/>
        </w:rPr>
        <w:lastRenderedPageBreak/>
        <w:t>Source : ESS OIT — CNSS et CNSSAP. Régimes spéciaux : données non disponibles — à instruire.</w:t>
      </w:r>
    </w:p>
    <w:p w14:paraId="190F89AD" w14:textId="77777777" w:rsidR="003C12C0" w:rsidRDefault="00000000">
      <w:pPr>
        <w:pStyle w:val="Heading3"/>
      </w:pPr>
      <w:bookmarkStart w:id="95" w:name="X93288f9e49d69189d6de7b3689ca313adc82116"/>
      <w:bookmarkEnd w:id="93"/>
      <w:r>
        <w:t>Dépenses administratives et ratio d'efficience</w:t>
      </w:r>
    </w:p>
    <w:p w14:paraId="190F89AE" w14:textId="77777777" w:rsidR="003C12C0" w:rsidRDefault="00000000">
      <w:pPr>
        <w:pStyle w:val="TableTitle"/>
      </w:pPr>
      <w:bookmarkStart w:id="96" w:name="_Toc234324560"/>
      <w:r>
        <w:t>Tableau 4.18 — Dépenses administratives et ratio d'efficience (2019–2025) [src]</w:t>
      </w:r>
      <w:r>
        <w:rPr>
          <w:rStyle w:val="FootnoteReference"/>
        </w:rPr>
        <w:footnoteReference w:id="100"/>
      </w:r>
      <w:bookmarkEnd w:id="96"/>
    </w:p>
    <w:tbl>
      <w:tblPr>
        <w:tblStyle w:val="ILOTable"/>
        <w:tblW w:w="5000" w:type="pct"/>
        <w:tblLook w:val="0020" w:firstRow="1" w:lastRow="0" w:firstColumn="0" w:lastColumn="0" w:noHBand="0" w:noVBand="0"/>
      </w:tblPr>
      <w:tblGrid>
        <w:gridCol w:w="3875"/>
        <w:gridCol w:w="552"/>
        <w:gridCol w:w="1042"/>
        <w:gridCol w:w="1042"/>
        <w:gridCol w:w="1130"/>
        <w:gridCol w:w="473"/>
        <w:gridCol w:w="473"/>
        <w:gridCol w:w="473"/>
      </w:tblGrid>
      <w:tr w:rsidR="003C12C0" w14:paraId="190F89B7"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9AF" w14:textId="77777777" w:rsidR="003C12C0" w:rsidRDefault="00000000">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190F89B0" w14:textId="77777777" w:rsidR="003C12C0"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90F89B1" w14:textId="77777777" w:rsidR="003C12C0"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90F89B2" w14:textId="77777777" w:rsidR="003C12C0"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90F89B3" w14:textId="77777777" w:rsidR="003C12C0"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90F89B4" w14:textId="77777777" w:rsidR="003C12C0"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90F89B5" w14:textId="77777777" w:rsidR="003C12C0"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90F89B6" w14:textId="77777777" w:rsidR="003C12C0" w:rsidRDefault="00000000">
            <w:pPr>
              <w:pStyle w:val="TableHeader"/>
            </w:pPr>
            <w:r>
              <w:t>2025</w:t>
            </w:r>
          </w:p>
        </w:tc>
      </w:tr>
      <w:tr w:rsidR="003C12C0" w14:paraId="190F89C0"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9B8" w14:textId="77777777" w:rsidR="003C12C0" w:rsidRDefault="00000000">
            <w:pPr>
              <w:pStyle w:val="TableText"/>
            </w:pPr>
            <w:r>
              <w:t>CNSS — dépenses administratives (milliards CDF)</w:t>
            </w:r>
          </w:p>
        </w:tc>
        <w:tc>
          <w:tcPr>
            <w:tcW w:w="0" w:type="auto"/>
            <w:tcBorders>
              <w:top w:val="single" w:sz="4" w:space="0" w:color="000000"/>
              <w:left w:val="single" w:sz="4" w:space="0" w:color="000000"/>
              <w:bottom w:val="single" w:sz="4" w:space="0" w:color="000000"/>
              <w:right w:val="single" w:sz="4" w:space="0" w:color="000000"/>
            </w:tcBorders>
          </w:tcPr>
          <w:p w14:paraId="190F89B9"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BA"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BB"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BC" w14:textId="77777777" w:rsidR="003C12C0" w:rsidRDefault="00000000">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90F89BD"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BE"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BF" w14:textId="77777777" w:rsidR="003C12C0" w:rsidRDefault="00000000">
            <w:pPr>
              <w:pStyle w:val="TableText"/>
            </w:pPr>
            <w:r>
              <w:t>[N/D]</w:t>
            </w:r>
          </w:p>
        </w:tc>
      </w:tr>
      <w:tr w:rsidR="003C12C0" w14:paraId="190F89C9"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9C1" w14:textId="77777777" w:rsidR="003C12C0" w:rsidRDefault="00000000">
            <w:pPr>
              <w:pStyle w:val="TableText"/>
            </w:pPr>
            <w:r>
              <w:t>CNSS — ratio admin / dépenses totales (%)</w:t>
            </w:r>
          </w:p>
        </w:tc>
        <w:tc>
          <w:tcPr>
            <w:tcW w:w="0" w:type="auto"/>
            <w:tcBorders>
              <w:top w:val="single" w:sz="4" w:space="0" w:color="000000"/>
              <w:left w:val="single" w:sz="4" w:space="0" w:color="000000"/>
              <w:bottom w:val="single" w:sz="4" w:space="0" w:color="000000"/>
              <w:right w:val="single" w:sz="4" w:space="0" w:color="000000"/>
            </w:tcBorders>
          </w:tcPr>
          <w:p w14:paraId="190F89C2"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9C3"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9C4"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9C5"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9C6"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C7"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C8" w14:textId="77777777" w:rsidR="003C12C0" w:rsidRDefault="00000000">
            <w:pPr>
              <w:pStyle w:val="TableText"/>
            </w:pPr>
            <w:r>
              <w:t>[N/D]</w:t>
            </w:r>
          </w:p>
        </w:tc>
      </w:tr>
      <w:tr w:rsidR="003C12C0" w14:paraId="190F89D2"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9CA" w14:textId="77777777" w:rsidR="003C12C0" w:rsidRDefault="00000000">
            <w:pPr>
              <w:pStyle w:val="TableText"/>
            </w:pPr>
            <w:r>
              <w:t>CNSSAP — dépenses administratives (milliards CDF)</w:t>
            </w:r>
          </w:p>
        </w:tc>
        <w:tc>
          <w:tcPr>
            <w:tcW w:w="0" w:type="auto"/>
            <w:tcBorders>
              <w:top w:val="single" w:sz="4" w:space="0" w:color="000000"/>
              <w:left w:val="single" w:sz="4" w:space="0" w:color="000000"/>
              <w:bottom w:val="single" w:sz="4" w:space="0" w:color="000000"/>
              <w:right w:val="single" w:sz="4" w:space="0" w:color="000000"/>
            </w:tcBorders>
          </w:tcPr>
          <w:p w14:paraId="190F89CB" w14:textId="77777777" w:rsidR="003C12C0" w:rsidRDefault="00000000">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90F89CC" w14:textId="77777777" w:rsidR="003C12C0" w:rsidRDefault="00000000">
            <w:pPr>
              <w:pStyle w:val="TableText"/>
            </w:pPr>
            <w:r>
              <w:t>5,6 Mds CDF</w:t>
            </w:r>
          </w:p>
        </w:tc>
        <w:tc>
          <w:tcPr>
            <w:tcW w:w="0" w:type="auto"/>
            <w:tcBorders>
              <w:top w:val="single" w:sz="4" w:space="0" w:color="000000"/>
              <w:left w:val="single" w:sz="4" w:space="0" w:color="000000"/>
              <w:bottom w:val="single" w:sz="4" w:space="0" w:color="000000"/>
              <w:right w:val="single" w:sz="4" w:space="0" w:color="000000"/>
            </w:tcBorders>
          </w:tcPr>
          <w:p w14:paraId="190F89CD" w14:textId="77777777" w:rsidR="003C12C0" w:rsidRDefault="00000000">
            <w:pPr>
              <w:pStyle w:val="TableText"/>
            </w:pPr>
            <w:r>
              <w:t>6,9 Mds CDF</w:t>
            </w:r>
          </w:p>
        </w:tc>
        <w:tc>
          <w:tcPr>
            <w:tcW w:w="0" w:type="auto"/>
            <w:tcBorders>
              <w:top w:val="single" w:sz="4" w:space="0" w:color="000000"/>
              <w:left w:val="single" w:sz="4" w:space="0" w:color="000000"/>
              <w:bottom w:val="single" w:sz="4" w:space="0" w:color="000000"/>
              <w:right w:val="single" w:sz="4" w:space="0" w:color="000000"/>
            </w:tcBorders>
          </w:tcPr>
          <w:p w14:paraId="190F89CE" w14:textId="77777777" w:rsidR="003C12C0" w:rsidRDefault="00000000">
            <w:pPr>
              <w:pStyle w:val="TableText"/>
            </w:pPr>
            <w:r>
              <w:t>14,0 Mds CDF</w:t>
            </w:r>
          </w:p>
        </w:tc>
        <w:tc>
          <w:tcPr>
            <w:tcW w:w="0" w:type="auto"/>
            <w:tcBorders>
              <w:top w:val="single" w:sz="4" w:space="0" w:color="000000"/>
              <w:left w:val="single" w:sz="4" w:space="0" w:color="000000"/>
              <w:bottom w:val="single" w:sz="4" w:space="0" w:color="000000"/>
              <w:right w:val="single" w:sz="4" w:space="0" w:color="000000"/>
            </w:tcBorders>
          </w:tcPr>
          <w:p w14:paraId="190F89CF"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D0"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D1" w14:textId="77777777" w:rsidR="003C12C0" w:rsidRDefault="00000000">
            <w:pPr>
              <w:pStyle w:val="TableText"/>
            </w:pPr>
            <w:r>
              <w:t>[N/D]</w:t>
            </w:r>
          </w:p>
        </w:tc>
      </w:tr>
      <w:tr w:rsidR="003C12C0" w14:paraId="190F89DB"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9D3" w14:textId="77777777" w:rsidR="003C12C0" w:rsidRDefault="00000000">
            <w:pPr>
              <w:pStyle w:val="TableText"/>
            </w:pPr>
            <w:r>
              <w:t>CNSSAP — ratio admin / dépenses totales (%)</w:t>
            </w:r>
          </w:p>
        </w:tc>
        <w:tc>
          <w:tcPr>
            <w:tcW w:w="0" w:type="auto"/>
            <w:tcBorders>
              <w:top w:val="single" w:sz="4" w:space="0" w:color="000000"/>
              <w:left w:val="single" w:sz="4" w:space="0" w:color="000000"/>
              <w:bottom w:val="single" w:sz="4" w:space="0" w:color="000000"/>
              <w:right w:val="single" w:sz="4" w:space="0" w:color="000000"/>
            </w:tcBorders>
          </w:tcPr>
          <w:p w14:paraId="190F89D4" w14:textId="77777777" w:rsidR="003C12C0" w:rsidRDefault="00000000">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90F89D5"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9D6"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9D7"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9D8"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D9"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DA" w14:textId="77777777" w:rsidR="003C12C0" w:rsidRDefault="00000000">
            <w:pPr>
              <w:pStyle w:val="TableText"/>
            </w:pPr>
            <w:r>
              <w:t>[N/D]</w:t>
            </w:r>
          </w:p>
        </w:tc>
      </w:tr>
      <w:tr w:rsidR="003C12C0" w14:paraId="190F89E4"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9DC" w14:textId="77777777" w:rsidR="003C12C0" w:rsidRDefault="00000000">
            <w:pPr>
              <w:pStyle w:val="TableText"/>
            </w:pPr>
            <w:r>
              <w:t>Régimes spéciaux — dépenses administratives</w:t>
            </w:r>
          </w:p>
        </w:tc>
        <w:tc>
          <w:tcPr>
            <w:tcW w:w="0" w:type="auto"/>
            <w:tcBorders>
              <w:top w:val="single" w:sz="4" w:space="0" w:color="000000"/>
              <w:left w:val="single" w:sz="4" w:space="0" w:color="000000"/>
              <w:bottom w:val="single" w:sz="4" w:space="0" w:color="000000"/>
              <w:right w:val="single" w:sz="4" w:space="0" w:color="000000"/>
            </w:tcBorders>
          </w:tcPr>
          <w:p w14:paraId="190F89DD"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DE"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DF"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E0"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E1"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E2"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E3" w14:textId="77777777" w:rsidR="003C12C0" w:rsidRDefault="00000000">
            <w:pPr>
              <w:pStyle w:val="TableText"/>
            </w:pPr>
            <w:r>
              <w:t>[N/D]</w:t>
            </w:r>
          </w:p>
        </w:tc>
      </w:tr>
    </w:tbl>
    <w:p w14:paraId="190F89E5" w14:textId="77777777" w:rsidR="003C12C0" w:rsidRPr="00DF4DEA" w:rsidRDefault="00000000">
      <w:pPr>
        <w:pStyle w:val="Source-GraphicPicture"/>
        <w:rPr>
          <w:lang w:val="fr-CH"/>
        </w:rPr>
      </w:pPr>
      <w:r w:rsidRPr="00DF4DEA">
        <w:rPr>
          <w:i/>
          <w:iCs/>
          <w:lang w:val="fr-CH"/>
        </w:rPr>
        <w:t>Source : ESS OIT — CNSS et CNSSAP. Le ratio est calculé comme : dépenses administratives / (dépenses de prestations + dépenses administratives). Régimes spéciaux : données non disponibles.</w:t>
      </w:r>
    </w:p>
    <w:p w14:paraId="190F89E6" w14:textId="77777777" w:rsidR="003C12C0" w:rsidRDefault="00000000">
      <w:pPr>
        <w:pStyle w:val="Heading3"/>
      </w:pPr>
      <w:bookmarkStart w:id="97" w:name="depenses-en-proportion-du-pib-non-valide"/>
      <w:bookmarkEnd w:id="95"/>
      <w:r>
        <w:t>Dépenses en proportion du PIB</w:t>
      </w:r>
    </w:p>
    <w:p w14:paraId="190F89E7" w14:textId="77777777" w:rsidR="003C12C0" w:rsidRDefault="00000000">
      <w:r>
        <w:t>Le rapport des dépenses de protection sociale au PIB est calculé pour permettre des comparaisons temporelles et internationales. Les valeurs de référence pour l'Afrique subsaharienne et la moyenne mondiale sont issues du World Social Protection Report de l'OIT.</w:t>
      </w:r>
    </w:p>
    <w:p w14:paraId="190F89E8" w14:textId="77777777" w:rsidR="003C12C0" w:rsidRDefault="00000000">
      <w:pPr>
        <w:pStyle w:val="TableTitle"/>
      </w:pPr>
      <w:bookmarkStart w:id="98" w:name="_Toc234324561"/>
      <w:r>
        <w:t>Tableau 4.19 — Dépenses de protection sociale en proportion du PIB (2019–2025) [src]</w:t>
      </w:r>
      <w:r>
        <w:rPr>
          <w:rStyle w:val="FootnoteReference"/>
        </w:rPr>
        <w:footnoteReference w:id="101"/>
      </w:r>
      <w:bookmarkEnd w:id="98"/>
    </w:p>
    <w:tbl>
      <w:tblPr>
        <w:tblStyle w:val="ILOTable"/>
        <w:tblW w:w="5000" w:type="pct"/>
        <w:tblLook w:val="0020" w:firstRow="1" w:lastRow="0" w:firstColumn="0" w:lastColumn="0" w:noHBand="0" w:noVBand="0"/>
      </w:tblPr>
      <w:tblGrid>
        <w:gridCol w:w="4993"/>
        <w:gridCol w:w="580"/>
        <w:gridCol w:w="580"/>
        <w:gridCol w:w="708"/>
        <w:gridCol w:w="708"/>
        <w:gridCol w:w="497"/>
        <w:gridCol w:w="497"/>
        <w:gridCol w:w="497"/>
      </w:tblGrid>
      <w:tr w:rsidR="003C12C0" w14:paraId="190F89F1"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9E9" w14:textId="77777777" w:rsidR="003C12C0"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90F89EA" w14:textId="77777777" w:rsidR="003C12C0"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90F89EB" w14:textId="77777777" w:rsidR="003C12C0"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90F89EC" w14:textId="77777777" w:rsidR="003C12C0"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90F89ED" w14:textId="77777777" w:rsidR="003C12C0"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90F89EE" w14:textId="77777777" w:rsidR="003C12C0"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90F89EF" w14:textId="77777777" w:rsidR="003C12C0"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90F89F0" w14:textId="77777777" w:rsidR="003C12C0" w:rsidRDefault="00000000">
            <w:pPr>
              <w:pStyle w:val="TableHeader"/>
            </w:pPr>
            <w:r>
              <w:t>2025</w:t>
            </w:r>
          </w:p>
        </w:tc>
      </w:tr>
      <w:tr w:rsidR="003C12C0" w14:paraId="190F89FA"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9F2" w14:textId="77777777" w:rsidR="003C12C0" w:rsidRDefault="00000000">
            <w:pPr>
              <w:pStyle w:val="TableText"/>
            </w:pPr>
            <w:r>
              <w:t>Dépenses PS totales (CNSS + CNSSAP) / PIB (%)</w:t>
            </w:r>
          </w:p>
        </w:tc>
        <w:tc>
          <w:tcPr>
            <w:tcW w:w="0" w:type="auto"/>
            <w:tcBorders>
              <w:top w:val="single" w:sz="4" w:space="0" w:color="000000"/>
              <w:left w:val="single" w:sz="4" w:space="0" w:color="000000"/>
              <w:bottom w:val="single" w:sz="4" w:space="0" w:color="000000"/>
              <w:right w:val="single" w:sz="4" w:space="0" w:color="000000"/>
            </w:tcBorders>
          </w:tcPr>
          <w:p w14:paraId="190F89F3"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9F4"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9F5"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9F6"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9F7"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F8"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F9" w14:textId="77777777" w:rsidR="003C12C0" w:rsidRDefault="00000000">
            <w:pPr>
              <w:pStyle w:val="TableText"/>
            </w:pPr>
            <w:r>
              <w:t>[N/D]</w:t>
            </w:r>
          </w:p>
        </w:tc>
      </w:tr>
      <w:tr w:rsidR="003C12C0" w14:paraId="190F8A03"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9FB" w14:textId="77777777" w:rsidR="003C12C0" w:rsidRDefault="00000000">
            <w:pPr>
              <w:pStyle w:val="TableText"/>
            </w:pPr>
            <w:r>
              <w:t>Dépenses PS (y.c. rég. spéciaux si données disponibles) / PIB (%)</w:t>
            </w:r>
          </w:p>
        </w:tc>
        <w:tc>
          <w:tcPr>
            <w:tcW w:w="0" w:type="auto"/>
            <w:tcBorders>
              <w:top w:val="single" w:sz="4" w:space="0" w:color="000000"/>
              <w:left w:val="single" w:sz="4" w:space="0" w:color="000000"/>
              <w:bottom w:val="single" w:sz="4" w:space="0" w:color="000000"/>
              <w:right w:val="single" w:sz="4" w:space="0" w:color="000000"/>
            </w:tcBorders>
          </w:tcPr>
          <w:p w14:paraId="190F89FC"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FD"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FE"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9FF"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A00"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A01"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A02" w14:textId="77777777" w:rsidR="003C12C0" w:rsidRDefault="00000000">
            <w:pPr>
              <w:pStyle w:val="TableText"/>
            </w:pPr>
            <w:r>
              <w:t>[N/D]</w:t>
            </w:r>
          </w:p>
        </w:tc>
      </w:tr>
      <w:tr w:rsidR="003C12C0" w14:paraId="190F8A0C"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A04" w14:textId="77777777" w:rsidR="003C12C0" w:rsidRDefault="00000000">
            <w:pPr>
              <w:pStyle w:val="TableText"/>
            </w:pPr>
            <w:r>
              <w:t>Moyenne Afrique subsaharienne / PIB (%)</w:t>
            </w:r>
          </w:p>
        </w:tc>
        <w:tc>
          <w:tcPr>
            <w:tcW w:w="0" w:type="auto"/>
            <w:tcBorders>
              <w:top w:val="single" w:sz="4" w:space="0" w:color="000000"/>
              <w:left w:val="single" w:sz="4" w:space="0" w:color="000000"/>
              <w:bottom w:val="single" w:sz="4" w:space="0" w:color="000000"/>
              <w:right w:val="single" w:sz="4" w:space="0" w:color="000000"/>
            </w:tcBorders>
          </w:tcPr>
          <w:p w14:paraId="190F8A05" w14:textId="77777777" w:rsidR="003C12C0"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90F8A06" w14:textId="77777777" w:rsidR="003C12C0"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90F8A07" w14:textId="77777777" w:rsidR="003C12C0" w:rsidRDefault="00000000">
            <w:pPr>
              <w:pStyle w:val="TableText"/>
            </w:pPr>
            <w:r>
              <w:t>[WSPR]</w:t>
            </w:r>
          </w:p>
        </w:tc>
        <w:tc>
          <w:tcPr>
            <w:tcW w:w="0" w:type="auto"/>
            <w:tcBorders>
              <w:top w:val="single" w:sz="4" w:space="0" w:color="000000"/>
              <w:left w:val="single" w:sz="4" w:space="0" w:color="000000"/>
              <w:bottom w:val="single" w:sz="4" w:space="0" w:color="000000"/>
              <w:right w:val="single" w:sz="4" w:space="0" w:color="000000"/>
            </w:tcBorders>
          </w:tcPr>
          <w:p w14:paraId="190F8A08" w14:textId="77777777" w:rsidR="003C12C0" w:rsidRDefault="00000000">
            <w:pPr>
              <w:pStyle w:val="TableText"/>
            </w:pPr>
            <w:r>
              <w:t>[WSPR]</w:t>
            </w:r>
          </w:p>
        </w:tc>
        <w:tc>
          <w:tcPr>
            <w:tcW w:w="0" w:type="auto"/>
            <w:tcBorders>
              <w:top w:val="single" w:sz="4" w:space="0" w:color="000000"/>
              <w:left w:val="single" w:sz="4" w:space="0" w:color="000000"/>
              <w:bottom w:val="single" w:sz="4" w:space="0" w:color="000000"/>
              <w:right w:val="single" w:sz="4" w:space="0" w:color="000000"/>
            </w:tcBorders>
          </w:tcPr>
          <w:p w14:paraId="190F8A09" w14:textId="77777777" w:rsidR="003C12C0"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90F8A0A" w14:textId="77777777" w:rsidR="003C12C0"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90F8A0B" w14:textId="77777777" w:rsidR="003C12C0" w:rsidRDefault="00000000">
            <w:pPr>
              <w:pStyle w:val="TableText"/>
            </w:pPr>
            <w:r>
              <w:t>—</w:t>
            </w:r>
          </w:p>
        </w:tc>
      </w:tr>
      <w:tr w:rsidR="003C12C0" w14:paraId="190F8A15"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A0D" w14:textId="77777777" w:rsidR="003C12C0" w:rsidRDefault="00000000">
            <w:pPr>
              <w:pStyle w:val="TableText"/>
            </w:pPr>
            <w:r>
              <w:t>Moyenne mondiale / PIB (%)</w:t>
            </w:r>
          </w:p>
        </w:tc>
        <w:tc>
          <w:tcPr>
            <w:tcW w:w="0" w:type="auto"/>
            <w:tcBorders>
              <w:top w:val="single" w:sz="4" w:space="0" w:color="000000"/>
              <w:left w:val="single" w:sz="4" w:space="0" w:color="000000"/>
              <w:bottom w:val="single" w:sz="4" w:space="0" w:color="000000"/>
              <w:right w:val="single" w:sz="4" w:space="0" w:color="000000"/>
            </w:tcBorders>
          </w:tcPr>
          <w:p w14:paraId="190F8A0E" w14:textId="77777777" w:rsidR="003C12C0"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90F8A0F" w14:textId="77777777" w:rsidR="003C12C0"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90F8A10" w14:textId="77777777" w:rsidR="003C12C0" w:rsidRDefault="00000000">
            <w:pPr>
              <w:pStyle w:val="TableText"/>
            </w:pPr>
            <w:r>
              <w:t>[WSPR]</w:t>
            </w:r>
          </w:p>
        </w:tc>
        <w:tc>
          <w:tcPr>
            <w:tcW w:w="0" w:type="auto"/>
            <w:tcBorders>
              <w:top w:val="single" w:sz="4" w:space="0" w:color="000000"/>
              <w:left w:val="single" w:sz="4" w:space="0" w:color="000000"/>
              <w:bottom w:val="single" w:sz="4" w:space="0" w:color="000000"/>
              <w:right w:val="single" w:sz="4" w:space="0" w:color="000000"/>
            </w:tcBorders>
          </w:tcPr>
          <w:p w14:paraId="190F8A11" w14:textId="77777777" w:rsidR="003C12C0" w:rsidRDefault="00000000">
            <w:pPr>
              <w:pStyle w:val="TableText"/>
            </w:pPr>
            <w:r>
              <w:t>[WSPR]</w:t>
            </w:r>
          </w:p>
        </w:tc>
        <w:tc>
          <w:tcPr>
            <w:tcW w:w="0" w:type="auto"/>
            <w:tcBorders>
              <w:top w:val="single" w:sz="4" w:space="0" w:color="000000"/>
              <w:left w:val="single" w:sz="4" w:space="0" w:color="000000"/>
              <w:bottom w:val="single" w:sz="4" w:space="0" w:color="000000"/>
              <w:right w:val="single" w:sz="4" w:space="0" w:color="000000"/>
            </w:tcBorders>
          </w:tcPr>
          <w:p w14:paraId="190F8A12" w14:textId="77777777" w:rsidR="003C12C0"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90F8A13" w14:textId="77777777" w:rsidR="003C12C0"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90F8A14" w14:textId="77777777" w:rsidR="003C12C0" w:rsidRDefault="00000000">
            <w:pPr>
              <w:pStyle w:val="TableText"/>
            </w:pPr>
            <w:r>
              <w:t>—</w:t>
            </w:r>
          </w:p>
        </w:tc>
      </w:tr>
    </w:tbl>
    <w:p w14:paraId="190F8A16" w14:textId="77777777" w:rsidR="003C12C0" w:rsidRDefault="00000000">
      <w:pPr>
        <w:pStyle w:val="Source-GraphicPicture"/>
      </w:pPr>
      <w:r>
        <w:rPr>
          <w:i/>
          <w:iCs/>
        </w:rPr>
        <w:t>Source : ESS OIT ; PIB RDC : Banque mondiale WDI ; comparaisons : World Social Protection Report OIT.</w:t>
      </w:r>
    </w:p>
    <w:p w14:paraId="190F8A17" w14:textId="77777777" w:rsidR="003C12C0" w:rsidRDefault="00000000">
      <w:pPr>
        <w:pStyle w:val="Heading1"/>
      </w:pPr>
      <w:bookmarkStart w:id="99" w:name="Xc7cb1a02a7858ae19d58c1c9bd0e60c654533af"/>
      <w:bookmarkEnd w:id="52"/>
      <w:bookmarkEnd w:id="90"/>
      <w:bookmarkEnd w:id="97"/>
      <w:r>
        <w:lastRenderedPageBreak/>
        <w:t>Chapitre 5 — Positionnement de la RDC au regard des indicateurs ODD</w:t>
      </w:r>
    </w:p>
    <w:p w14:paraId="190F8A18" w14:textId="77777777" w:rsidR="003C12C0" w:rsidRDefault="00000000">
      <w:pPr>
        <w:pStyle w:val="Heading2"/>
      </w:pPr>
      <w:bookmarkStart w:id="100" w:name="X8eaf0c5b9fe1bb6ba3e1003181a2719cc2dec11"/>
      <w:r>
        <w:t>5.1 — ODD 1.3.1 : couverture par les régimes de protection sociale</w:t>
      </w:r>
    </w:p>
    <w:p w14:paraId="190F8A19" w14:textId="77777777" w:rsidR="003C12C0" w:rsidRDefault="00000000">
      <w:pPr>
        <w:pStyle w:val="Heading3"/>
      </w:pPr>
      <w:bookmarkStart w:id="101" w:name="definition-et-methodologie-non-valide"/>
      <w:r>
        <w:t>Définition et méthodologie</w:t>
      </w:r>
    </w:p>
    <w:p w14:paraId="190F8A1A" w14:textId="77777777" w:rsidR="003C12C0" w:rsidRDefault="00000000">
      <w:r>
        <w:t>L'indicateur ODD 1.3.1 mesure la proportion de la population effectivement couverte par au moins une prestation de protection sociale. Il est calculé selon la méthodologie de l'OIT, qui distingue la couverture légale (droit formel à une prestation) de la couverture effective (bénéfice réel d'une prestation). Seule la couverture effective est retenue ici.</w:t>
      </w:r>
    </w:p>
    <w:p w14:paraId="190F8A1B" w14:textId="77777777" w:rsidR="003C12C0" w:rsidRDefault="00000000">
      <w:r>
        <w:t>L'indicateur est décomposé par groupe de population conformément aux catégories officielles de l'OIT :</w:t>
      </w:r>
    </w:p>
    <w:p w14:paraId="190F8A1C" w14:textId="77777777" w:rsidR="003C12C0" w:rsidRDefault="00000000">
      <w:pPr>
        <w:pStyle w:val="TableTitle"/>
      </w:pPr>
      <w:bookmarkStart w:id="102" w:name="_Toc234324562"/>
      <w:r>
        <w:t>Tableau 5.1 — Définitions des sous-indicateurs de l'ODD 1.3.1 [src]</w:t>
      </w:r>
      <w:r>
        <w:rPr>
          <w:rStyle w:val="FootnoteReference"/>
        </w:rPr>
        <w:footnoteReference w:id="102"/>
      </w:r>
      <w:bookmarkEnd w:id="102"/>
    </w:p>
    <w:tbl>
      <w:tblPr>
        <w:tblStyle w:val="ILOTable"/>
        <w:tblW w:w="5000" w:type="pct"/>
        <w:tblLook w:val="0020" w:firstRow="1" w:lastRow="0" w:firstColumn="0" w:lastColumn="0" w:noHBand="0" w:noVBand="0"/>
      </w:tblPr>
      <w:tblGrid>
        <w:gridCol w:w="3700"/>
        <w:gridCol w:w="5360"/>
      </w:tblGrid>
      <w:tr w:rsidR="003C12C0" w14:paraId="190F8A1F"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A1D" w14:textId="77777777" w:rsidR="003C12C0" w:rsidRDefault="00000000">
            <w:pPr>
              <w:pStyle w:val="TableHeader"/>
            </w:pPr>
            <w:r>
              <w:t>Sous-indicateur ODD 1.3.1</w:t>
            </w:r>
          </w:p>
        </w:tc>
        <w:tc>
          <w:tcPr>
            <w:tcW w:w="0" w:type="auto"/>
            <w:tcBorders>
              <w:top w:val="single" w:sz="4" w:space="0" w:color="000000"/>
              <w:left w:val="single" w:sz="4" w:space="0" w:color="000000"/>
              <w:bottom w:val="single" w:sz="4" w:space="0" w:color="000000"/>
              <w:right w:val="single" w:sz="4" w:space="0" w:color="000000"/>
            </w:tcBorders>
          </w:tcPr>
          <w:p w14:paraId="190F8A1E" w14:textId="77777777" w:rsidR="003C12C0" w:rsidRDefault="00000000">
            <w:pPr>
              <w:pStyle w:val="TableHeader"/>
            </w:pPr>
            <w:r>
              <w:t>Définition</w:t>
            </w:r>
          </w:p>
        </w:tc>
      </w:tr>
      <w:tr w:rsidR="003C12C0" w14:paraId="190F8A22"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A20" w14:textId="77777777" w:rsidR="003C12C0" w:rsidRDefault="00000000">
            <w:pPr>
              <w:pStyle w:val="TableText"/>
            </w:pPr>
            <w:r>
              <w:t>Population totale</w:t>
            </w:r>
          </w:p>
        </w:tc>
        <w:tc>
          <w:tcPr>
            <w:tcW w:w="0" w:type="auto"/>
            <w:tcBorders>
              <w:top w:val="single" w:sz="4" w:space="0" w:color="000000"/>
              <w:left w:val="single" w:sz="4" w:space="0" w:color="000000"/>
              <w:bottom w:val="single" w:sz="4" w:space="0" w:color="000000"/>
              <w:right w:val="single" w:sz="4" w:space="0" w:color="000000"/>
            </w:tcBorders>
          </w:tcPr>
          <w:p w14:paraId="190F8A21" w14:textId="77777777" w:rsidR="003C12C0" w:rsidRDefault="00000000">
            <w:pPr>
              <w:pStyle w:val="TableText"/>
            </w:pPr>
            <w:r>
              <w:t>% de la population couverte par au moins une prestation</w:t>
            </w:r>
          </w:p>
        </w:tc>
      </w:tr>
      <w:tr w:rsidR="003C12C0" w14:paraId="190F8A25"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A23" w14:textId="77777777" w:rsidR="003C12C0" w:rsidRDefault="00000000">
            <w:pPr>
              <w:pStyle w:val="TableText"/>
            </w:pPr>
            <w:r>
              <w:t>Enfants (0–14 ans)</w:t>
            </w:r>
          </w:p>
        </w:tc>
        <w:tc>
          <w:tcPr>
            <w:tcW w:w="0" w:type="auto"/>
            <w:tcBorders>
              <w:top w:val="single" w:sz="4" w:space="0" w:color="000000"/>
              <w:left w:val="single" w:sz="4" w:space="0" w:color="000000"/>
              <w:bottom w:val="single" w:sz="4" w:space="0" w:color="000000"/>
              <w:right w:val="single" w:sz="4" w:space="0" w:color="000000"/>
            </w:tcBorders>
          </w:tcPr>
          <w:p w14:paraId="190F8A24" w14:textId="77777777" w:rsidR="003C12C0" w:rsidRDefault="00000000">
            <w:pPr>
              <w:pStyle w:val="TableText"/>
            </w:pPr>
            <w:r>
              <w:t>% couverts par une prestation enfance/famille</w:t>
            </w:r>
          </w:p>
        </w:tc>
      </w:tr>
      <w:tr w:rsidR="003C12C0" w14:paraId="190F8A28"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A26" w14:textId="77777777" w:rsidR="003C12C0" w:rsidRDefault="00000000">
            <w:pPr>
              <w:pStyle w:val="TableText"/>
            </w:pPr>
            <w:r>
              <w:t>Femmes ayant accouché</w:t>
            </w:r>
          </w:p>
        </w:tc>
        <w:tc>
          <w:tcPr>
            <w:tcW w:w="0" w:type="auto"/>
            <w:tcBorders>
              <w:top w:val="single" w:sz="4" w:space="0" w:color="000000"/>
              <w:left w:val="single" w:sz="4" w:space="0" w:color="000000"/>
              <w:bottom w:val="single" w:sz="4" w:space="0" w:color="000000"/>
              <w:right w:val="single" w:sz="4" w:space="0" w:color="000000"/>
            </w:tcBorders>
          </w:tcPr>
          <w:p w14:paraId="190F8A27" w14:textId="77777777" w:rsidR="003C12C0" w:rsidRDefault="00000000">
            <w:pPr>
              <w:pStyle w:val="TableText"/>
            </w:pPr>
            <w:r>
              <w:t>% couvertes par une prestation maternité</w:t>
            </w:r>
          </w:p>
        </w:tc>
      </w:tr>
      <w:tr w:rsidR="003C12C0" w14:paraId="190F8A2B"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A29" w14:textId="77777777" w:rsidR="003C12C0" w:rsidRDefault="00000000">
            <w:pPr>
              <w:pStyle w:val="TableText"/>
            </w:pPr>
            <w:r>
              <w:t>Personnes âgées</w:t>
            </w:r>
          </w:p>
        </w:tc>
        <w:tc>
          <w:tcPr>
            <w:tcW w:w="0" w:type="auto"/>
            <w:tcBorders>
              <w:top w:val="single" w:sz="4" w:space="0" w:color="000000"/>
              <w:left w:val="single" w:sz="4" w:space="0" w:color="000000"/>
              <w:bottom w:val="single" w:sz="4" w:space="0" w:color="000000"/>
              <w:right w:val="single" w:sz="4" w:space="0" w:color="000000"/>
            </w:tcBorders>
          </w:tcPr>
          <w:p w14:paraId="190F8A2A" w14:textId="77777777" w:rsidR="003C12C0" w:rsidRDefault="00000000">
            <w:pPr>
              <w:pStyle w:val="TableText"/>
            </w:pPr>
            <w:r>
              <w:t>% recevant une pension de vieillesse</w:t>
            </w:r>
          </w:p>
        </w:tc>
      </w:tr>
      <w:tr w:rsidR="003C12C0" w14:paraId="190F8A2E"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A2C" w14:textId="77777777" w:rsidR="003C12C0" w:rsidRDefault="00000000">
            <w:pPr>
              <w:pStyle w:val="TableText"/>
            </w:pPr>
            <w:r>
              <w:t>Actifs / contributeurs</w:t>
            </w:r>
          </w:p>
        </w:tc>
        <w:tc>
          <w:tcPr>
            <w:tcW w:w="0" w:type="auto"/>
            <w:tcBorders>
              <w:top w:val="single" w:sz="4" w:space="0" w:color="000000"/>
              <w:left w:val="single" w:sz="4" w:space="0" w:color="000000"/>
              <w:bottom w:val="single" w:sz="4" w:space="0" w:color="000000"/>
              <w:right w:val="single" w:sz="4" w:space="0" w:color="000000"/>
            </w:tcBorders>
          </w:tcPr>
          <w:p w14:paraId="190F8A2D" w14:textId="77777777" w:rsidR="003C12C0" w:rsidRDefault="00000000">
            <w:pPr>
              <w:pStyle w:val="TableText"/>
            </w:pPr>
            <w:r>
              <w:t>% cotisant à un régime contributif</w:t>
            </w:r>
          </w:p>
        </w:tc>
      </w:tr>
      <w:tr w:rsidR="003C12C0" w14:paraId="190F8A31"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A2F" w14:textId="77777777" w:rsidR="003C12C0" w:rsidRDefault="00000000">
            <w:pPr>
              <w:pStyle w:val="TableText"/>
            </w:pPr>
            <w:r>
              <w:t>Personnes handicapées</w:t>
            </w:r>
          </w:p>
        </w:tc>
        <w:tc>
          <w:tcPr>
            <w:tcW w:w="0" w:type="auto"/>
            <w:tcBorders>
              <w:top w:val="single" w:sz="4" w:space="0" w:color="000000"/>
              <w:left w:val="single" w:sz="4" w:space="0" w:color="000000"/>
              <w:bottom w:val="single" w:sz="4" w:space="0" w:color="000000"/>
              <w:right w:val="single" w:sz="4" w:space="0" w:color="000000"/>
            </w:tcBorders>
          </w:tcPr>
          <w:p w14:paraId="190F8A30" w14:textId="77777777" w:rsidR="003C12C0" w:rsidRDefault="00000000">
            <w:pPr>
              <w:pStyle w:val="TableText"/>
            </w:pPr>
            <w:r>
              <w:t>% recevant une prestation invalidité</w:t>
            </w:r>
          </w:p>
        </w:tc>
      </w:tr>
      <w:tr w:rsidR="003C12C0" w14:paraId="190F8A34"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A32" w14:textId="77777777" w:rsidR="003C12C0" w:rsidRDefault="00000000">
            <w:pPr>
              <w:pStyle w:val="TableText"/>
            </w:pPr>
            <w:r>
              <w:rPr>
                <w:b/>
                <w:bCs/>
              </w:rPr>
              <w:t>Accidents du travail et maladies professionnelles</w:t>
            </w:r>
          </w:p>
        </w:tc>
        <w:tc>
          <w:tcPr>
            <w:tcW w:w="0" w:type="auto"/>
            <w:tcBorders>
              <w:top w:val="single" w:sz="4" w:space="0" w:color="000000"/>
              <w:left w:val="single" w:sz="4" w:space="0" w:color="000000"/>
              <w:bottom w:val="single" w:sz="4" w:space="0" w:color="000000"/>
              <w:right w:val="single" w:sz="4" w:space="0" w:color="000000"/>
            </w:tcBorders>
          </w:tcPr>
          <w:p w14:paraId="190F8A33" w14:textId="77777777" w:rsidR="003C12C0" w:rsidRDefault="00000000">
            <w:pPr>
              <w:pStyle w:val="TableText"/>
            </w:pPr>
            <w:r>
              <w:rPr>
                <w:b/>
                <w:bCs/>
              </w:rPr>
              <w:t>% de la population en emploi couverte contre les risques professionnels</w:t>
            </w:r>
          </w:p>
        </w:tc>
      </w:tr>
    </w:tbl>
    <w:p w14:paraId="190F8A35" w14:textId="77777777" w:rsidR="003C12C0" w:rsidRDefault="00000000">
      <w:pPr>
        <w:pStyle w:val="Heading3"/>
      </w:pPr>
      <w:bookmarkStart w:id="103" w:name="resultats-pour-la-rdc-non-valide"/>
      <w:bookmarkEnd w:id="101"/>
      <w:r>
        <w:t>Résultats pour la RDC</w:t>
      </w:r>
    </w:p>
    <w:p w14:paraId="190F8A36" w14:textId="77777777" w:rsidR="003C12C0" w:rsidRDefault="00000000">
      <w:r>
        <w:rPr>
          <w:b/>
          <w:bCs/>
        </w:rPr>
        <w:t>Note méthodologique :</w:t>
      </w:r>
      <w:r>
        <w:t xml:space="preserve"> À partir de la présente édition, le sous-indicateur AT/MP (accidents du travail et maladies professionnelles) est calculé selon la méthodologie révisée du BIT : le numérateur (assurés actifs AT/MP) est rapporté à la population en emploi (et non à la population active), et le résultat est exprimé en % de la population totale (conformément aux standards ODD 1.3.1). Cette correction assure la comparabilité avec d'autres indicateurs de couverture et exclut les chômeurs, qui ne courent aucun risque professionnel. Pour plus de détails, voir l'encadré méthodologique à la fin de la section 4.3.</w:t>
      </w:r>
    </w:p>
    <w:p w14:paraId="190F8A37" w14:textId="77777777" w:rsidR="003C12C0" w:rsidRDefault="00000000">
      <w:pPr>
        <w:pStyle w:val="TableTitle"/>
      </w:pPr>
      <w:bookmarkStart w:id="104" w:name="_Toc234324563"/>
      <w:r>
        <w:t>Tableau 5.2 — Valeurs de l'ODD 1.3.1 pour la RDC par groupe de population (2019–2025) [src]</w:t>
      </w:r>
      <w:r>
        <w:rPr>
          <w:rStyle w:val="FootnoteReference"/>
        </w:rPr>
        <w:footnoteReference w:id="103"/>
      </w:r>
      <w:bookmarkEnd w:id="104"/>
    </w:p>
    <w:tbl>
      <w:tblPr>
        <w:tblStyle w:val="ILOTable"/>
        <w:tblW w:w="5000" w:type="pct"/>
        <w:tblLook w:val="0020" w:firstRow="1" w:lastRow="0" w:firstColumn="0" w:lastColumn="0" w:noHBand="0" w:noVBand="0"/>
      </w:tblPr>
      <w:tblGrid>
        <w:gridCol w:w="4035"/>
        <w:gridCol w:w="717"/>
        <w:gridCol w:w="718"/>
        <w:gridCol w:w="718"/>
        <w:gridCol w:w="718"/>
        <w:gridCol w:w="718"/>
        <w:gridCol w:w="718"/>
        <w:gridCol w:w="718"/>
      </w:tblGrid>
      <w:tr w:rsidR="003C12C0" w14:paraId="190F8A40"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A38" w14:textId="77777777" w:rsidR="003C12C0" w:rsidRDefault="00000000">
            <w:pPr>
              <w:pStyle w:val="TableHeader"/>
            </w:pPr>
            <w:r>
              <w:t>Sous-indicateur ODD 1.3.1</w:t>
            </w:r>
          </w:p>
        </w:tc>
        <w:tc>
          <w:tcPr>
            <w:tcW w:w="0" w:type="auto"/>
            <w:tcBorders>
              <w:top w:val="single" w:sz="4" w:space="0" w:color="000000"/>
              <w:left w:val="single" w:sz="4" w:space="0" w:color="000000"/>
              <w:bottom w:val="single" w:sz="4" w:space="0" w:color="000000"/>
              <w:right w:val="single" w:sz="4" w:space="0" w:color="000000"/>
            </w:tcBorders>
          </w:tcPr>
          <w:p w14:paraId="190F8A39" w14:textId="77777777" w:rsidR="003C12C0"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90F8A3A" w14:textId="77777777" w:rsidR="003C12C0"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90F8A3B" w14:textId="77777777" w:rsidR="003C12C0"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90F8A3C" w14:textId="77777777" w:rsidR="003C12C0"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90F8A3D" w14:textId="77777777" w:rsidR="003C12C0"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90F8A3E" w14:textId="77777777" w:rsidR="003C12C0"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90F8A3F" w14:textId="77777777" w:rsidR="003C12C0" w:rsidRDefault="00000000">
            <w:pPr>
              <w:pStyle w:val="TableHeader"/>
            </w:pPr>
            <w:r>
              <w:t>2025</w:t>
            </w:r>
          </w:p>
        </w:tc>
      </w:tr>
      <w:tr w:rsidR="003C12C0" w14:paraId="190F8A49"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A41" w14:textId="77777777" w:rsidR="003C12C0" w:rsidRDefault="00000000">
            <w:pPr>
              <w:pStyle w:val="TableText"/>
            </w:pPr>
            <w:r>
              <w:t>Population totale (%)</w:t>
            </w:r>
          </w:p>
        </w:tc>
        <w:tc>
          <w:tcPr>
            <w:tcW w:w="0" w:type="auto"/>
            <w:tcBorders>
              <w:top w:val="single" w:sz="4" w:space="0" w:color="000000"/>
              <w:left w:val="single" w:sz="4" w:space="0" w:color="000000"/>
              <w:bottom w:val="single" w:sz="4" w:space="0" w:color="000000"/>
              <w:right w:val="single" w:sz="4" w:space="0" w:color="000000"/>
            </w:tcBorders>
          </w:tcPr>
          <w:p w14:paraId="190F8A42"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43"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44"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45"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46"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47"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48" w14:textId="77777777" w:rsidR="003C12C0" w:rsidRDefault="00000000">
            <w:pPr>
              <w:pStyle w:val="TableText"/>
            </w:pPr>
            <w:r>
              <w:t>[EST.]</w:t>
            </w:r>
          </w:p>
        </w:tc>
      </w:tr>
      <w:tr w:rsidR="003C12C0" w14:paraId="190F8A52"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A4A" w14:textId="77777777" w:rsidR="003C12C0" w:rsidRDefault="00000000">
            <w:pPr>
              <w:pStyle w:val="TableText"/>
            </w:pPr>
            <w:r>
              <w:t>Enfants 0–14 ans (%)</w:t>
            </w:r>
          </w:p>
        </w:tc>
        <w:tc>
          <w:tcPr>
            <w:tcW w:w="0" w:type="auto"/>
            <w:tcBorders>
              <w:top w:val="single" w:sz="4" w:space="0" w:color="000000"/>
              <w:left w:val="single" w:sz="4" w:space="0" w:color="000000"/>
              <w:bottom w:val="single" w:sz="4" w:space="0" w:color="000000"/>
              <w:right w:val="single" w:sz="4" w:space="0" w:color="000000"/>
            </w:tcBorders>
          </w:tcPr>
          <w:p w14:paraId="190F8A4B"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4C"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4D"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4E"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4F"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50"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51" w14:textId="77777777" w:rsidR="003C12C0" w:rsidRDefault="00000000">
            <w:pPr>
              <w:pStyle w:val="TableText"/>
            </w:pPr>
            <w:r>
              <w:t>[EST.]</w:t>
            </w:r>
          </w:p>
        </w:tc>
      </w:tr>
      <w:tr w:rsidR="003C12C0" w14:paraId="190F8A5B"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A53" w14:textId="77777777" w:rsidR="003C12C0" w:rsidRDefault="00000000">
            <w:pPr>
              <w:pStyle w:val="TableText"/>
            </w:pPr>
            <w:r>
              <w:t>Femmes ayant accouché — maternité (%)</w:t>
            </w:r>
          </w:p>
        </w:tc>
        <w:tc>
          <w:tcPr>
            <w:tcW w:w="0" w:type="auto"/>
            <w:tcBorders>
              <w:top w:val="single" w:sz="4" w:space="0" w:color="000000"/>
              <w:left w:val="single" w:sz="4" w:space="0" w:color="000000"/>
              <w:bottom w:val="single" w:sz="4" w:space="0" w:color="000000"/>
              <w:right w:val="single" w:sz="4" w:space="0" w:color="000000"/>
            </w:tcBorders>
          </w:tcPr>
          <w:p w14:paraId="190F8A54"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55"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56"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57"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58"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59"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5A" w14:textId="77777777" w:rsidR="003C12C0" w:rsidRDefault="00000000">
            <w:pPr>
              <w:pStyle w:val="TableText"/>
            </w:pPr>
            <w:r>
              <w:t>[EST.]</w:t>
            </w:r>
          </w:p>
        </w:tc>
      </w:tr>
      <w:tr w:rsidR="003C12C0" w14:paraId="190F8A64"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A5C" w14:textId="77777777" w:rsidR="003C12C0" w:rsidRDefault="00000000">
            <w:pPr>
              <w:pStyle w:val="TableText"/>
            </w:pPr>
            <w:r>
              <w:lastRenderedPageBreak/>
              <w:t>Personnes âgées — pension vieillesse (%)</w:t>
            </w:r>
          </w:p>
        </w:tc>
        <w:tc>
          <w:tcPr>
            <w:tcW w:w="0" w:type="auto"/>
            <w:tcBorders>
              <w:top w:val="single" w:sz="4" w:space="0" w:color="000000"/>
              <w:left w:val="single" w:sz="4" w:space="0" w:color="000000"/>
              <w:bottom w:val="single" w:sz="4" w:space="0" w:color="000000"/>
              <w:right w:val="single" w:sz="4" w:space="0" w:color="000000"/>
            </w:tcBorders>
          </w:tcPr>
          <w:p w14:paraId="190F8A5D"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5E"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5F"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60"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61"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62"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63" w14:textId="77777777" w:rsidR="003C12C0" w:rsidRDefault="00000000">
            <w:pPr>
              <w:pStyle w:val="TableText"/>
            </w:pPr>
            <w:r>
              <w:t>[EST.]</w:t>
            </w:r>
          </w:p>
        </w:tc>
      </w:tr>
      <w:tr w:rsidR="003C12C0" w14:paraId="190F8A6D"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A65" w14:textId="77777777" w:rsidR="003C12C0" w:rsidRDefault="00000000">
            <w:pPr>
              <w:pStyle w:val="TableText"/>
            </w:pPr>
            <w:r>
              <w:t>Actifs — contributeurs (%)</w:t>
            </w:r>
          </w:p>
        </w:tc>
        <w:tc>
          <w:tcPr>
            <w:tcW w:w="0" w:type="auto"/>
            <w:tcBorders>
              <w:top w:val="single" w:sz="4" w:space="0" w:color="000000"/>
              <w:left w:val="single" w:sz="4" w:space="0" w:color="000000"/>
              <w:bottom w:val="single" w:sz="4" w:space="0" w:color="000000"/>
              <w:right w:val="single" w:sz="4" w:space="0" w:color="000000"/>
            </w:tcBorders>
          </w:tcPr>
          <w:p w14:paraId="190F8A66"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67"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68"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69"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6A"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6B"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6C" w14:textId="77777777" w:rsidR="003C12C0" w:rsidRDefault="00000000">
            <w:pPr>
              <w:pStyle w:val="TableText"/>
            </w:pPr>
            <w:r>
              <w:t>[EST.]</w:t>
            </w:r>
          </w:p>
        </w:tc>
      </w:tr>
      <w:tr w:rsidR="003C12C0" w14:paraId="190F8A76"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A6E" w14:textId="77777777" w:rsidR="003C12C0" w:rsidRDefault="00000000">
            <w:pPr>
              <w:pStyle w:val="TableText"/>
            </w:pPr>
            <w:r>
              <w:t>Personnes handicapées — invalidité (%)</w:t>
            </w:r>
          </w:p>
        </w:tc>
        <w:tc>
          <w:tcPr>
            <w:tcW w:w="0" w:type="auto"/>
            <w:tcBorders>
              <w:top w:val="single" w:sz="4" w:space="0" w:color="000000"/>
              <w:left w:val="single" w:sz="4" w:space="0" w:color="000000"/>
              <w:bottom w:val="single" w:sz="4" w:space="0" w:color="000000"/>
              <w:right w:val="single" w:sz="4" w:space="0" w:color="000000"/>
            </w:tcBorders>
          </w:tcPr>
          <w:p w14:paraId="190F8A6F"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70"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71"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72"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73"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74"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75" w14:textId="77777777" w:rsidR="003C12C0" w:rsidRDefault="00000000">
            <w:pPr>
              <w:pStyle w:val="TableText"/>
            </w:pPr>
            <w:r>
              <w:t>[EST.]</w:t>
            </w:r>
          </w:p>
        </w:tc>
      </w:tr>
      <w:tr w:rsidR="003C12C0" w14:paraId="190F8A7F"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A77" w14:textId="77777777" w:rsidR="003C12C0" w:rsidRDefault="00000000">
            <w:pPr>
              <w:pStyle w:val="TableText"/>
            </w:pPr>
            <w:r>
              <w:t>Personnes en emploi — AT/MP (%)</w:t>
            </w:r>
          </w:p>
        </w:tc>
        <w:tc>
          <w:tcPr>
            <w:tcW w:w="0" w:type="auto"/>
            <w:tcBorders>
              <w:top w:val="single" w:sz="4" w:space="0" w:color="000000"/>
              <w:left w:val="single" w:sz="4" w:space="0" w:color="000000"/>
              <w:bottom w:val="single" w:sz="4" w:space="0" w:color="000000"/>
              <w:right w:val="single" w:sz="4" w:space="0" w:color="000000"/>
            </w:tcBorders>
          </w:tcPr>
          <w:p w14:paraId="190F8A78"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79"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7A"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7B"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7C"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7D"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7E" w14:textId="77777777" w:rsidR="003C12C0" w:rsidRDefault="00000000">
            <w:pPr>
              <w:pStyle w:val="TableText"/>
            </w:pPr>
            <w:r>
              <w:t>[EST.]</w:t>
            </w:r>
          </w:p>
        </w:tc>
      </w:tr>
    </w:tbl>
    <w:p w14:paraId="190F8A80" w14:textId="77777777" w:rsidR="003C12C0" w:rsidRPr="00DF4DEA" w:rsidRDefault="00000000">
      <w:pPr>
        <w:pStyle w:val="Source-GraphicPicture"/>
        <w:rPr>
          <w:lang w:val="fr-CH"/>
        </w:rPr>
      </w:pPr>
      <w:r w:rsidRPr="00DF4DEA">
        <w:rPr>
          <w:i/>
          <w:iCs/>
          <w:lang w:val="fr-CH"/>
        </w:rPr>
        <w:t>Source : calculs à partir des ESS OIT (CNSS 2019–2022, CNSSAP 2020–2022) et des données démographiques ONU WPP. Les estimations [EST.] seront calculées par le script generer_figures_ch4.py depuis la base.</w:t>
      </w:r>
    </w:p>
    <w:p w14:paraId="190F8A81" w14:textId="77777777" w:rsidR="003C12C0" w:rsidRDefault="00000000">
      <w:pPr>
        <w:pStyle w:val="Heading3"/>
      </w:pPr>
      <w:bookmarkStart w:id="105" w:name="X6932b8d256f9439e268579d1891c1dcaf17140c"/>
      <w:bookmarkEnd w:id="103"/>
      <w:r>
        <w:t>Comparaison régionale et internationale</w:t>
      </w:r>
    </w:p>
    <w:p w14:paraId="190F8A82" w14:textId="77777777" w:rsidR="003C12C0" w:rsidRDefault="00000000">
      <w:pPr>
        <w:pStyle w:val="TableTitle"/>
      </w:pPr>
      <w:bookmarkStart w:id="106" w:name="_Toc234324564"/>
      <w:r>
        <w:t>Tableau 5.3 — Comparaison régionale et internationale de l'ODD 1.3.1 [src]</w:t>
      </w:r>
      <w:r>
        <w:rPr>
          <w:rStyle w:val="FootnoteReference"/>
        </w:rPr>
        <w:footnoteReference w:id="104"/>
      </w:r>
      <w:bookmarkEnd w:id="106"/>
    </w:p>
    <w:tbl>
      <w:tblPr>
        <w:tblStyle w:val="ILOTable"/>
        <w:tblW w:w="5000" w:type="pct"/>
        <w:tblLook w:val="0020" w:firstRow="1" w:lastRow="0" w:firstColumn="0" w:lastColumn="0" w:noHBand="0" w:noVBand="0"/>
      </w:tblPr>
      <w:tblGrid>
        <w:gridCol w:w="2709"/>
        <w:gridCol w:w="2898"/>
        <w:gridCol w:w="650"/>
        <w:gridCol w:w="2803"/>
      </w:tblGrid>
      <w:tr w:rsidR="003C12C0" w14:paraId="190F8A87"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A83" w14:textId="77777777" w:rsidR="003C12C0" w:rsidRDefault="00000000">
            <w:pPr>
              <w:pStyle w:val="TableHeader"/>
            </w:pPr>
            <w:r>
              <w:t>Pays / Région</w:t>
            </w:r>
          </w:p>
        </w:tc>
        <w:tc>
          <w:tcPr>
            <w:tcW w:w="0" w:type="auto"/>
            <w:tcBorders>
              <w:top w:val="single" w:sz="4" w:space="0" w:color="000000"/>
              <w:left w:val="single" w:sz="4" w:space="0" w:color="000000"/>
              <w:bottom w:val="single" w:sz="4" w:space="0" w:color="000000"/>
              <w:right w:val="single" w:sz="4" w:space="0" w:color="000000"/>
            </w:tcBorders>
          </w:tcPr>
          <w:p w14:paraId="190F8A84" w14:textId="77777777" w:rsidR="003C12C0" w:rsidRDefault="00000000">
            <w:pPr>
              <w:pStyle w:val="TableHeader"/>
            </w:pPr>
            <w:r>
              <w:t>ODD 1.3.1 — population totale (%)</w:t>
            </w:r>
          </w:p>
        </w:tc>
        <w:tc>
          <w:tcPr>
            <w:tcW w:w="0" w:type="auto"/>
            <w:tcBorders>
              <w:top w:val="single" w:sz="4" w:space="0" w:color="000000"/>
              <w:left w:val="single" w:sz="4" w:space="0" w:color="000000"/>
              <w:bottom w:val="single" w:sz="4" w:space="0" w:color="000000"/>
              <w:right w:val="single" w:sz="4" w:space="0" w:color="000000"/>
            </w:tcBorders>
          </w:tcPr>
          <w:p w14:paraId="190F8A85" w14:textId="77777777" w:rsidR="003C12C0" w:rsidRDefault="00000000">
            <w:pPr>
              <w:pStyle w:val="TableHeader"/>
            </w:pPr>
            <w:r>
              <w:t>Année</w:t>
            </w:r>
          </w:p>
        </w:tc>
        <w:tc>
          <w:tcPr>
            <w:tcW w:w="0" w:type="auto"/>
            <w:tcBorders>
              <w:top w:val="single" w:sz="4" w:space="0" w:color="000000"/>
              <w:left w:val="single" w:sz="4" w:space="0" w:color="000000"/>
              <w:bottom w:val="single" w:sz="4" w:space="0" w:color="000000"/>
              <w:right w:val="single" w:sz="4" w:space="0" w:color="000000"/>
            </w:tcBorders>
          </w:tcPr>
          <w:p w14:paraId="190F8A86" w14:textId="77777777" w:rsidR="003C12C0" w:rsidRDefault="00000000">
            <w:pPr>
              <w:pStyle w:val="TableHeader"/>
            </w:pPr>
            <w:r>
              <w:t>Source</w:t>
            </w:r>
          </w:p>
        </w:tc>
      </w:tr>
      <w:tr w:rsidR="003C12C0" w14:paraId="190F8A8C"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A88" w14:textId="77777777" w:rsidR="003C12C0" w:rsidRDefault="00000000">
            <w:pPr>
              <w:pStyle w:val="TableText"/>
            </w:pPr>
            <w:r>
              <w:t>RDC</w:t>
            </w:r>
          </w:p>
        </w:tc>
        <w:tc>
          <w:tcPr>
            <w:tcW w:w="0" w:type="auto"/>
            <w:tcBorders>
              <w:top w:val="single" w:sz="4" w:space="0" w:color="000000"/>
              <w:left w:val="single" w:sz="4" w:space="0" w:color="000000"/>
              <w:bottom w:val="single" w:sz="4" w:space="0" w:color="000000"/>
              <w:right w:val="single" w:sz="4" w:space="0" w:color="000000"/>
            </w:tcBorders>
          </w:tcPr>
          <w:p w14:paraId="190F8A89"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8A" w14:textId="77777777" w:rsidR="003C12C0" w:rsidRDefault="00000000">
            <w:pPr>
              <w:pStyle w:val="TableText"/>
            </w:pPr>
            <w:r>
              <w:t>2022</w:t>
            </w:r>
          </w:p>
        </w:tc>
        <w:tc>
          <w:tcPr>
            <w:tcW w:w="0" w:type="auto"/>
            <w:tcBorders>
              <w:top w:val="single" w:sz="4" w:space="0" w:color="000000"/>
              <w:left w:val="single" w:sz="4" w:space="0" w:color="000000"/>
              <w:bottom w:val="single" w:sz="4" w:space="0" w:color="000000"/>
              <w:right w:val="single" w:sz="4" w:space="0" w:color="000000"/>
            </w:tcBorders>
          </w:tcPr>
          <w:p w14:paraId="190F8A8B" w14:textId="77777777" w:rsidR="003C12C0" w:rsidRDefault="00000000">
            <w:pPr>
              <w:pStyle w:val="TableText"/>
            </w:pPr>
            <w:r>
              <w:t>ESS OIT / calcul</w:t>
            </w:r>
          </w:p>
        </w:tc>
      </w:tr>
      <w:tr w:rsidR="003C12C0" w:rsidRPr="00DF4DEA" w14:paraId="190F8A91"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A8D" w14:textId="77777777" w:rsidR="003C12C0" w:rsidRDefault="00000000">
            <w:pPr>
              <w:pStyle w:val="TableText"/>
            </w:pPr>
            <w:r>
              <w:t>Angola</w:t>
            </w:r>
          </w:p>
        </w:tc>
        <w:tc>
          <w:tcPr>
            <w:tcW w:w="0" w:type="auto"/>
            <w:tcBorders>
              <w:top w:val="single" w:sz="4" w:space="0" w:color="000000"/>
              <w:left w:val="single" w:sz="4" w:space="0" w:color="000000"/>
              <w:bottom w:val="single" w:sz="4" w:space="0" w:color="000000"/>
              <w:right w:val="single" w:sz="4" w:space="0" w:color="000000"/>
            </w:tcBorders>
          </w:tcPr>
          <w:p w14:paraId="190F8A8E" w14:textId="77777777" w:rsidR="003C12C0" w:rsidRDefault="00000000">
            <w:pPr>
              <w:pStyle w:val="TableText"/>
            </w:pPr>
            <w:r>
              <w:t>[WSPR]</w:t>
            </w:r>
          </w:p>
        </w:tc>
        <w:tc>
          <w:tcPr>
            <w:tcW w:w="0" w:type="auto"/>
            <w:tcBorders>
              <w:top w:val="single" w:sz="4" w:space="0" w:color="000000"/>
              <w:left w:val="single" w:sz="4" w:space="0" w:color="000000"/>
              <w:bottom w:val="single" w:sz="4" w:space="0" w:color="000000"/>
              <w:right w:val="single" w:sz="4" w:space="0" w:color="000000"/>
            </w:tcBorders>
          </w:tcPr>
          <w:p w14:paraId="190F8A8F" w14:textId="77777777" w:rsidR="003C12C0"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90F8A90" w14:textId="77777777" w:rsidR="003C12C0" w:rsidRPr="00DF4DEA" w:rsidRDefault="00000000">
            <w:pPr>
              <w:pStyle w:val="TableText"/>
              <w:rPr>
                <w:lang w:val="en-GB"/>
              </w:rPr>
            </w:pPr>
            <w:r w:rsidRPr="00DF4DEA">
              <w:rPr>
                <w:lang w:val="en-GB"/>
              </w:rPr>
              <w:t>World Social Protection Report OIT</w:t>
            </w:r>
          </w:p>
        </w:tc>
      </w:tr>
      <w:tr w:rsidR="003C12C0" w:rsidRPr="00DF4DEA" w14:paraId="190F8A96"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A92" w14:textId="77777777" w:rsidR="003C12C0" w:rsidRDefault="00000000">
            <w:pPr>
              <w:pStyle w:val="TableText"/>
            </w:pPr>
            <w:r>
              <w:t>Mozambique</w:t>
            </w:r>
          </w:p>
        </w:tc>
        <w:tc>
          <w:tcPr>
            <w:tcW w:w="0" w:type="auto"/>
            <w:tcBorders>
              <w:top w:val="single" w:sz="4" w:space="0" w:color="000000"/>
              <w:left w:val="single" w:sz="4" w:space="0" w:color="000000"/>
              <w:bottom w:val="single" w:sz="4" w:space="0" w:color="000000"/>
              <w:right w:val="single" w:sz="4" w:space="0" w:color="000000"/>
            </w:tcBorders>
          </w:tcPr>
          <w:p w14:paraId="190F8A93" w14:textId="77777777" w:rsidR="003C12C0" w:rsidRDefault="00000000">
            <w:pPr>
              <w:pStyle w:val="TableText"/>
            </w:pPr>
            <w:r>
              <w:t>[WSPR]</w:t>
            </w:r>
          </w:p>
        </w:tc>
        <w:tc>
          <w:tcPr>
            <w:tcW w:w="0" w:type="auto"/>
            <w:tcBorders>
              <w:top w:val="single" w:sz="4" w:space="0" w:color="000000"/>
              <w:left w:val="single" w:sz="4" w:space="0" w:color="000000"/>
              <w:bottom w:val="single" w:sz="4" w:space="0" w:color="000000"/>
              <w:right w:val="single" w:sz="4" w:space="0" w:color="000000"/>
            </w:tcBorders>
          </w:tcPr>
          <w:p w14:paraId="190F8A94" w14:textId="77777777" w:rsidR="003C12C0"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90F8A95" w14:textId="77777777" w:rsidR="003C12C0" w:rsidRPr="00DF4DEA" w:rsidRDefault="00000000">
            <w:pPr>
              <w:pStyle w:val="TableText"/>
              <w:rPr>
                <w:lang w:val="en-GB"/>
              </w:rPr>
            </w:pPr>
            <w:r w:rsidRPr="00DF4DEA">
              <w:rPr>
                <w:lang w:val="en-GB"/>
              </w:rPr>
              <w:t>World Social Protection Report OIT</w:t>
            </w:r>
          </w:p>
        </w:tc>
      </w:tr>
      <w:tr w:rsidR="003C12C0" w:rsidRPr="00DF4DEA" w14:paraId="190F8A9B"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A97" w14:textId="77777777" w:rsidR="003C12C0" w:rsidRDefault="00000000">
            <w:pPr>
              <w:pStyle w:val="TableText"/>
            </w:pPr>
            <w:r>
              <w:t>Afrique subsaharienne (moyenne)</w:t>
            </w:r>
          </w:p>
        </w:tc>
        <w:tc>
          <w:tcPr>
            <w:tcW w:w="0" w:type="auto"/>
            <w:tcBorders>
              <w:top w:val="single" w:sz="4" w:space="0" w:color="000000"/>
              <w:left w:val="single" w:sz="4" w:space="0" w:color="000000"/>
              <w:bottom w:val="single" w:sz="4" w:space="0" w:color="000000"/>
              <w:right w:val="single" w:sz="4" w:space="0" w:color="000000"/>
            </w:tcBorders>
          </w:tcPr>
          <w:p w14:paraId="190F8A98" w14:textId="77777777" w:rsidR="003C12C0" w:rsidRDefault="00000000">
            <w:pPr>
              <w:pStyle w:val="TableText"/>
            </w:pPr>
            <w:r>
              <w:t>[WSPR]</w:t>
            </w:r>
          </w:p>
        </w:tc>
        <w:tc>
          <w:tcPr>
            <w:tcW w:w="0" w:type="auto"/>
            <w:tcBorders>
              <w:top w:val="single" w:sz="4" w:space="0" w:color="000000"/>
              <w:left w:val="single" w:sz="4" w:space="0" w:color="000000"/>
              <w:bottom w:val="single" w:sz="4" w:space="0" w:color="000000"/>
              <w:right w:val="single" w:sz="4" w:space="0" w:color="000000"/>
            </w:tcBorders>
          </w:tcPr>
          <w:p w14:paraId="190F8A99" w14:textId="77777777" w:rsidR="003C12C0"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90F8A9A" w14:textId="77777777" w:rsidR="003C12C0" w:rsidRPr="00DF4DEA" w:rsidRDefault="00000000">
            <w:pPr>
              <w:pStyle w:val="TableText"/>
              <w:rPr>
                <w:lang w:val="en-GB"/>
              </w:rPr>
            </w:pPr>
            <w:r w:rsidRPr="00DF4DEA">
              <w:rPr>
                <w:lang w:val="en-GB"/>
              </w:rPr>
              <w:t>World Social Protection Report OIT</w:t>
            </w:r>
          </w:p>
        </w:tc>
      </w:tr>
      <w:tr w:rsidR="003C12C0" w:rsidRPr="00DF4DEA" w14:paraId="190F8AA0"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A9C" w14:textId="77777777" w:rsidR="003C12C0" w:rsidRDefault="00000000">
            <w:pPr>
              <w:pStyle w:val="TableText"/>
            </w:pPr>
            <w:r>
              <w:t>Monde (moyenne)</w:t>
            </w:r>
          </w:p>
        </w:tc>
        <w:tc>
          <w:tcPr>
            <w:tcW w:w="0" w:type="auto"/>
            <w:tcBorders>
              <w:top w:val="single" w:sz="4" w:space="0" w:color="000000"/>
              <w:left w:val="single" w:sz="4" w:space="0" w:color="000000"/>
              <w:bottom w:val="single" w:sz="4" w:space="0" w:color="000000"/>
              <w:right w:val="single" w:sz="4" w:space="0" w:color="000000"/>
            </w:tcBorders>
          </w:tcPr>
          <w:p w14:paraId="190F8A9D" w14:textId="77777777" w:rsidR="003C12C0" w:rsidRDefault="00000000">
            <w:pPr>
              <w:pStyle w:val="TableText"/>
            </w:pPr>
            <w:r>
              <w:t>[WSPR]</w:t>
            </w:r>
          </w:p>
        </w:tc>
        <w:tc>
          <w:tcPr>
            <w:tcW w:w="0" w:type="auto"/>
            <w:tcBorders>
              <w:top w:val="single" w:sz="4" w:space="0" w:color="000000"/>
              <w:left w:val="single" w:sz="4" w:space="0" w:color="000000"/>
              <w:bottom w:val="single" w:sz="4" w:space="0" w:color="000000"/>
              <w:right w:val="single" w:sz="4" w:space="0" w:color="000000"/>
            </w:tcBorders>
          </w:tcPr>
          <w:p w14:paraId="190F8A9E" w14:textId="77777777" w:rsidR="003C12C0"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90F8A9F" w14:textId="77777777" w:rsidR="003C12C0" w:rsidRPr="00DF4DEA" w:rsidRDefault="00000000">
            <w:pPr>
              <w:pStyle w:val="TableText"/>
              <w:rPr>
                <w:lang w:val="en-GB"/>
              </w:rPr>
            </w:pPr>
            <w:r w:rsidRPr="00DF4DEA">
              <w:rPr>
                <w:lang w:val="en-GB"/>
              </w:rPr>
              <w:t>World Social Protection Report OIT</w:t>
            </w:r>
          </w:p>
        </w:tc>
      </w:tr>
    </w:tbl>
    <w:p w14:paraId="190F8AA1" w14:textId="77777777" w:rsidR="003C12C0" w:rsidRDefault="00000000">
      <w:pPr>
        <w:pStyle w:val="Source-GraphicPicture"/>
      </w:pPr>
      <w:proofErr w:type="gramStart"/>
      <w:r>
        <w:rPr>
          <w:i/>
          <w:iCs/>
        </w:rPr>
        <w:t>Source :</w:t>
      </w:r>
      <w:proofErr w:type="gramEnd"/>
      <w:r>
        <w:rPr>
          <w:i/>
          <w:iCs/>
        </w:rPr>
        <w:t xml:space="preserve"> World Social Protection Report OIT (2024–26</w:t>
      </w:r>
      <w:proofErr w:type="gramStart"/>
      <w:r>
        <w:rPr>
          <w:i/>
          <w:iCs/>
        </w:rPr>
        <w:t>) ;</w:t>
      </w:r>
      <w:proofErr w:type="gramEnd"/>
      <w:r>
        <w:rPr>
          <w:i/>
          <w:iCs/>
        </w:rPr>
        <w:t xml:space="preserve"> ILOSTAT.</w:t>
      </w:r>
    </w:p>
    <w:p w14:paraId="190F8AA2" w14:textId="77777777" w:rsidR="003C12C0" w:rsidRDefault="00000000">
      <w:pPr>
        <w:pStyle w:val="Heading3"/>
      </w:pPr>
      <w:bookmarkStart w:id="107" w:name="trajectoire-et-objectifs-non-valide"/>
      <w:bookmarkEnd w:id="105"/>
      <w:r>
        <w:t>Trajectoire et objectifs</w:t>
      </w:r>
    </w:p>
    <w:p w14:paraId="190F8AA3" w14:textId="77777777" w:rsidR="003C12C0" w:rsidRDefault="00000000">
      <w:pPr>
        <w:pStyle w:val="TableTitle"/>
      </w:pPr>
      <w:bookmarkStart w:id="108" w:name="_Toc234324565"/>
      <w:r>
        <w:t>Tableau 5.4 — Trajectoire et objectifs de l'indicateur ODD 1.3.1 pour la RDC [src]</w:t>
      </w:r>
      <w:r>
        <w:rPr>
          <w:rStyle w:val="FootnoteReference"/>
        </w:rPr>
        <w:footnoteReference w:id="105"/>
      </w:r>
      <w:bookmarkEnd w:id="108"/>
    </w:p>
    <w:tbl>
      <w:tblPr>
        <w:tblStyle w:val="ILOTable"/>
        <w:tblW w:w="5000" w:type="pct"/>
        <w:tblLook w:val="0020" w:firstRow="1" w:lastRow="0" w:firstColumn="0" w:lastColumn="0" w:noHBand="0" w:noVBand="0"/>
      </w:tblPr>
      <w:tblGrid>
        <w:gridCol w:w="3006"/>
        <w:gridCol w:w="1561"/>
        <w:gridCol w:w="2881"/>
        <w:gridCol w:w="1612"/>
      </w:tblGrid>
      <w:tr w:rsidR="003C12C0" w14:paraId="190F8AA8"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AA4" w14:textId="77777777" w:rsidR="003C12C0"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90F8AA5" w14:textId="77777777" w:rsidR="003C12C0" w:rsidRDefault="00000000">
            <w:pPr>
              <w:pStyle w:val="TableHeader"/>
            </w:pPr>
            <w:r>
              <w:t>2022 (référence)</w:t>
            </w:r>
          </w:p>
        </w:tc>
        <w:tc>
          <w:tcPr>
            <w:tcW w:w="0" w:type="auto"/>
            <w:tcBorders>
              <w:top w:val="single" w:sz="4" w:space="0" w:color="000000"/>
              <w:left w:val="single" w:sz="4" w:space="0" w:color="000000"/>
              <w:bottom w:val="single" w:sz="4" w:space="0" w:color="000000"/>
              <w:right w:val="single" w:sz="4" w:space="0" w:color="000000"/>
            </w:tcBorders>
          </w:tcPr>
          <w:p w14:paraId="190F8AA6" w14:textId="77777777" w:rsidR="003C12C0" w:rsidRDefault="00000000">
            <w:pPr>
              <w:pStyle w:val="TableHeader"/>
            </w:pPr>
            <w:r>
              <w:t>2025 (cible PNPS)</w:t>
            </w:r>
          </w:p>
        </w:tc>
        <w:tc>
          <w:tcPr>
            <w:tcW w:w="0" w:type="auto"/>
            <w:tcBorders>
              <w:top w:val="single" w:sz="4" w:space="0" w:color="000000"/>
              <w:left w:val="single" w:sz="4" w:space="0" w:color="000000"/>
              <w:bottom w:val="single" w:sz="4" w:space="0" w:color="000000"/>
              <w:right w:val="single" w:sz="4" w:space="0" w:color="000000"/>
            </w:tcBorders>
          </w:tcPr>
          <w:p w14:paraId="190F8AA7" w14:textId="77777777" w:rsidR="003C12C0" w:rsidRDefault="00000000">
            <w:pPr>
              <w:pStyle w:val="TableHeader"/>
            </w:pPr>
            <w:r>
              <w:t>2030 (cible ODD)</w:t>
            </w:r>
          </w:p>
        </w:tc>
      </w:tr>
      <w:tr w:rsidR="003C12C0" w14:paraId="190F8AAD"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AA9" w14:textId="77777777" w:rsidR="003C12C0" w:rsidRDefault="00000000">
            <w:pPr>
              <w:pStyle w:val="TableText"/>
            </w:pPr>
            <w:r>
              <w:t>ODD 1.3.1 — population totale (%)</w:t>
            </w:r>
          </w:p>
        </w:tc>
        <w:tc>
          <w:tcPr>
            <w:tcW w:w="0" w:type="auto"/>
            <w:tcBorders>
              <w:top w:val="single" w:sz="4" w:space="0" w:color="000000"/>
              <w:left w:val="single" w:sz="4" w:space="0" w:color="000000"/>
              <w:bottom w:val="single" w:sz="4" w:space="0" w:color="000000"/>
              <w:right w:val="single" w:sz="4" w:space="0" w:color="000000"/>
            </w:tcBorders>
          </w:tcPr>
          <w:p w14:paraId="190F8AAA" w14:textId="77777777" w:rsidR="003C12C0"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0F8AAB" w14:textId="77777777" w:rsidR="003C12C0" w:rsidRDefault="00000000">
            <w:pPr>
              <w:pStyle w:val="TableText"/>
            </w:pPr>
            <w:r>
              <w:t>[N/D — cible PNPS à rechercher]</w:t>
            </w:r>
          </w:p>
        </w:tc>
        <w:tc>
          <w:tcPr>
            <w:tcW w:w="0" w:type="auto"/>
            <w:tcBorders>
              <w:top w:val="single" w:sz="4" w:space="0" w:color="000000"/>
              <w:left w:val="single" w:sz="4" w:space="0" w:color="000000"/>
              <w:bottom w:val="single" w:sz="4" w:space="0" w:color="000000"/>
              <w:right w:val="single" w:sz="4" w:space="0" w:color="000000"/>
            </w:tcBorders>
          </w:tcPr>
          <w:p w14:paraId="190F8AAC" w14:textId="77777777" w:rsidR="003C12C0" w:rsidRDefault="00000000">
            <w:pPr>
              <w:pStyle w:val="TableText"/>
            </w:pPr>
            <w:r>
              <w:t>—</w:t>
            </w:r>
          </w:p>
        </w:tc>
      </w:tr>
    </w:tbl>
    <w:p w14:paraId="190F8AAE" w14:textId="77777777" w:rsidR="003C12C0" w:rsidRDefault="00000000">
      <w:pPr>
        <w:pStyle w:val="Heading2"/>
      </w:pPr>
      <w:bookmarkStart w:id="109" w:name="X9c806c3db245e708af4f2088f4beda0e23eeb36"/>
      <w:bookmarkEnd w:id="100"/>
      <w:bookmarkEnd w:id="107"/>
      <w:r>
        <w:t>5.2 — ODD 3.8.1 : couverture sanitaire universelle</w:t>
      </w:r>
    </w:p>
    <w:p w14:paraId="190F8AAF" w14:textId="77777777" w:rsidR="003C12C0" w:rsidRDefault="00000000">
      <w:pPr>
        <w:pStyle w:val="Heading3"/>
      </w:pPr>
      <w:bookmarkStart w:id="110" w:name="definition-et-methodologie-non-valide_1"/>
      <w:r>
        <w:t>Définition et méthodologie</w:t>
      </w:r>
    </w:p>
    <w:p w14:paraId="190F8AB0" w14:textId="77777777" w:rsidR="003C12C0" w:rsidRDefault="00000000">
      <w:r>
        <w:t>L'indicateur ODD 3.8.1 mesure l'indice de couverture des services de santé essentiels, calculé par l'OMS à partir d'une sélection de services traceurs couvrant la santé reproductive, maternelle, néonatale et infantile, les maladies infectieuses, les maladies non transmissibles et la capacité d'accès aux soins. Il est exprimé sur une échelle de 0 à 100. Il complète l'ODD 1.3.1 : là où ce dernier mesure la couverture par les régimes de protection sociale, l'ODD 3.8.1 mesure l'accès effectif aux services de santé, indépendamment du mécanisme de financement.</w:t>
      </w:r>
    </w:p>
    <w:p w14:paraId="190F8AB1" w14:textId="77777777" w:rsidR="003C12C0" w:rsidRDefault="00000000">
      <w:pPr>
        <w:pStyle w:val="Heading3"/>
      </w:pPr>
      <w:bookmarkStart w:id="111" w:name="resultats-pour-la-rdc-non-valide_1"/>
      <w:bookmarkEnd w:id="110"/>
      <w:r>
        <w:t>Résultats pour la RDC</w:t>
      </w:r>
    </w:p>
    <w:p w14:paraId="190F8AB2" w14:textId="77777777" w:rsidR="003C12C0" w:rsidRDefault="00000000">
      <w:pPr>
        <w:pStyle w:val="TableTitle"/>
      </w:pPr>
      <w:bookmarkStart w:id="112" w:name="_Toc234324566"/>
      <w:r>
        <w:t>Tableau 5.5 — Évolution de l'indice ODD 3.8.1 pour la RDC (2015–2023) [src]</w:t>
      </w:r>
      <w:r>
        <w:rPr>
          <w:rStyle w:val="FootnoteReference"/>
        </w:rPr>
        <w:footnoteReference w:id="106"/>
      </w:r>
      <w:bookmarkEnd w:id="112"/>
    </w:p>
    <w:tbl>
      <w:tblPr>
        <w:tblStyle w:val="ILOTable"/>
        <w:tblW w:w="5000" w:type="pct"/>
        <w:tblLook w:val="0020" w:firstRow="1" w:lastRow="0" w:firstColumn="0" w:lastColumn="0" w:noHBand="0" w:noVBand="0"/>
      </w:tblPr>
      <w:tblGrid>
        <w:gridCol w:w="4649"/>
        <w:gridCol w:w="883"/>
        <w:gridCol w:w="882"/>
        <w:gridCol w:w="882"/>
        <w:gridCol w:w="882"/>
        <w:gridCol w:w="882"/>
      </w:tblGrid>
      <w:tr w:rsidR="003C12C0" w14:paraId="190F8AB9"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AB3" w14:textId="77777777" w:rsidR="003C12C0"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90F8AB4" w14:textId="77777777" w:rsidR="003C12C0" w:rsidRDefault="00000000">
            <w:pPr>
              <w:pStyle w:val="TableHeader"/>
            </w:pPr>
            <w:r>
              <w:t>2015</w:t>
            </w:r>
          </w:p>
        </w:tc>
        <w:tc>
          <w:tcPr>
            <w:tcW w:w="0" w:type="auto"/>
            <w:tcBorders>
              <w:top w:val="single" w:sz="4" w:space="0" w:color="000000"/>
              <w:left w:val="single" w:sz="4" w:space="0" w:color="000000"/>
              <w:bottom w:val="single" w:sz="4" w:space="0" w:color="000000"/>
              <w:right w:val="single" w:sz="4" w:space="0" w:color="000000"/>
            </w:tcBorders>
          </w:tcPr>
          <w:p w14:paraId="190F8AB5" w14:textId="77777777" w:rsidR="003C12C0" w:rsidRDefault="00000000">
            <w:pPr>
              <w:pStyle w:val="TableHeader"/>
            </w:pPr>
            <w:r>
              <w:t>2017</w:t>
            </w:r>
          </w:p>
        </w:tc>
        <w:tc>
          <w:tcPr>
            <w:tcW w:w="0" w:type="auto"/>
            <w:tcBorders>
              <w:top w:val="single" w:sz="4" w:space="0" w:color="000000"/>
              <w:left w:val="single" w:sz="4" w:space="0" w:color="000000"/>
              <w:bottom w:val="single" w:sz="4" w:space="0" w:color="000000"/>
              <w:right w:val="single" w:sz="4" w:space="0" w:color="000000"/>
            </w:tcBorders>
          </w:tcPr>
          <w:p w14:paraId="190F8AB6" w14:textId="77777777" w:rsidR="003C12C0"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90F8AB7" w14:textId="77777777" w:rsidR="003C12C0"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90F8AB8" w14:textId="77777777" w:rsidR="003C12C0" w:rsidRDefault="00000000">
            <w:pPr>
              <w:pStyle w:val="TableHeader"/>
            </w:pPr>
            <w:r>
              <w:t>2023</w:t>
            </w:r>
          </w:p>
        </w:tc>
      </w:tr>
      <w:tr w:rsidR="003C12C0" w14:paraId="190F8AC0"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ABA" w14:textId="77777777" w:rsidR="003C12C0" w:rsidRDefault="00000000">
            <w:pPr>
              <w:pStyle w:val="TableText"/>
            </w:pPr>
            <w:r>
              <w:t>Indice ODD 3.8.1 — RDC (0–100)</w:t>
            </w:r>
          </w:p>
        </w:tc>
        <w:tc>
          <w:tcPr>
            <w:tcW w:w="0" w:type="auto"/>
            <w:tcBorders>
              <w:top w:val="single" w:sz="4" w:space="0" w:color="000000"/>
              <w:left w:val="single" w:sz="4" w:space="0" w:color="000000"/>
              <w:bottom w:val="single" w:sz="4" w:space="0" w:color="000000"/>
              <w:right w:val="single" w:sz="4" w:space="0" w:color="000000"/>
            </w:tcBorders>
          </w:tcPr>
          <w:p w14:paraId="190F8ABB"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ABC"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ABD"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ABE"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ABF" w14:textId="77777777" w:rsidR="003C12C0" w:rsidRDefault="00000000">
            <w:pPr>
              <w:pStyle w:val="TableText"/>
            </w:pPr>
            <w:r>
              <w:t>[N/D]</w:t>
            </w:r>
          </w:p>
        </w:tc>
      </w:tr>
    </w:tbl>
    <w:p w14:paraId="190F8AC1" w14:textId="77777777" w:rsidR="003C12C0" w:rsidRDefault="00000000">
      <w:pPr>
        <w:pStyle w:val="Source-GraphicPicture"/>
      </w:pPr>
      <w:r>
        <w:rPr>
          <w:i/>
          <w:iCs/>
        </w:rPr>
        <w:t>Source : OMS, Global Health Observatory, indicateur UHC Service Coverage Index (SDG 3.8.1) — données à collecter sur data.who.int.</w:t>
      </w:r>
    </w:p>
    <w:p w14:paraId="190F8AC2" w14:textId="77777777" w:rsidR="003C12C0" w:rsidRDefault="00000000">
      <w:pPr>
        <w:pStyle w:val="Heading3"/>
      </w:pPr>
      <w:bookmarkStart w:id="113" w:name="Xe319dce0a6a1d870ad5a659b75c268678b1c93e"/>
      <w:bookmarkEnd w:id="111"/>
      <w:r>
        <w:lastRenderedPageBreak/>
        <w:t>Comparaison régionale et internationale</w:t>
      </w:r>
    </w:p>
    <w:p w14:paraId="190F8AC3" w14:textId="77777777" w:rsidR="003C12C0" w:rsidRDefault="00000000">
      <w:pPr>
        <w:pStyle w:val="TableTitle"/>
      </w:pPr>
      <w:bookmarkStart w:id="114" w:name="_Toc234324567"/>
      <w:r>
        <w:t>Tableau 5.6 — Comparaison régionale et internationale de l'ODD 3.8.1 [src]</w:t>
      </w:r>
      <w:r>
        <w:rPr>
          <w:rStyle w:val="FootnoteReference"/>
        </w:rPr>
        <w:footnoteReference w:id="107"/>
      </w:r>
      <w:bookmarkEnd w:id="114"/>
    </w:p>
    <w:tbl>
      <w:tblPr>
        <w:tblStyle w:val="ILOTable"/>
        <w:tblW w:w="5000" w:type="pct"/>
        <w:tblLook w:val="0020" w:firstRow="1" w:lastRow="0" w:firstColumn="0" w:lastColumn="0" w:noHBand="0" w:noVBand="0"/>
      </w:tblPr>
      <w:tblGrid>
        <w:gridCol w:w="3816"/>
        <w:gridCol w:w="2983"/>
        <w:gridCol w:w="916"/>
        <w:gridCol w:w="1345"/>
      </w:tblGrid>
      <w:tr w:rsidR="003C12C0" w14:paraId="190F8AC8"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AC4" w14:textId="77777777" w:rsidR="003C12C0" w:rsidRDefault="00000000">
            <w:pPr>
              <w:pStyle w:val="TableHeader"/>
            </w:pPr>
            <w:r>
              <w:t>Pays / Région</w:t>
            </w:r>
          </w:p>
        </w:tc>
        <w:tc>
          <w:tcPr>
            <w:tcW w:w="0" w:type="auto"/>
            <w:tcBorders>
              <w:top w:val="single" w:sz="4" w:space="0" w:color="000000"/>
              <w:left w:val="single" w:sz="4" w:space="0" w:color="000000"/>
              <w:bottom w:val="single" w:sz="4" w:space="0" w:color="000000"/>
              <w:right w:val="single" w:sz="4" w:space="0" w:color="000000"/>
            </w:tcBorders>
          </w:tcPr>
          <w:p w14:paraId="190F8AC5" w14:textId="77777777" w:rsidR="003C12C0" w:rsidRDefault="00000000">
            <w:pPr>
              <w:pStyle w:val="TableHeader"/>
            </w:pPr>
            <w:r>
              <w:t>Indice ODD 3.8.1 (0–100)</w:t>
            </w:r>
          </w:p>
        </w:tc>
        <w:tc>
          <w:tcPr>
            <w:tcW w:w="0" w:type="auto"/>
            <w:tcBorders>
              <w:top w:val="single" w:sz="4" w:space="0" w:color="000000"/>
              <w:left w:val="single" w:sz="4" w:space="0" w:color="000000"/>
              <w:bottom w:val="single" w:sz="4" w:space="0" w:color="000000"/>
              <w:right w:val="single" w:sz="4" w:space="0" w:color="000000"/>
            </w:tcBorders>
          </w:tcPr>
          <w:p w14:paraId="190F8AC6" w14:textId="77777777" w:rsidR="003C12C0" w:rsidRDefault="00000000">
            <w:pPr>
              <w:pStyle w:val="TableHeader"/>
            </w:pPr>
            <w:r>
              <w:t>Année</w:t>
            </w:r>
          </w:p>
        </w:tc>
        <w:tc>
          <w:tcPr>
            <w:tcW w:w="0" w:type="auto"/>
            <w:tcBorders>
              <w:top w:val="single" w:sz="4" w:space="0" w:color="000000"/>
              <w:left w:val="single" w:sz="4" w:space="0" w:color="000000"/>
              <w:bottom w:val="single" w:sz="4" w:space="0" w:color="000000"/>
              <w:right w:val="single" w:sz="4" w:space="0" w:color="000000"/>
            </w:tcBorders>
          </w:tcPr>
          <w:p w14:paraId="190F8AC7" w14:textId="77777777" w:rsidR="003C12C0" w:rsidRDefault="00000000">
            <w:pPr>
              <w:pStyle w:val="TableHeader"/>
            </w:pPr>
            <w:r>
              <w:t>Source</w:t>
            </w:r>
          </w:p>
        </w:tc>
      </w:tr>
      <w:tr w:rsidR="003C12C0" w14:paraId="190F8ACD"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AC9" w14:textId="77777777" w:rsidR="003C12C0" w:rsidRDefault="00000000">
            <w:pPr>
              <w:pStyle w:val="TableText"/>
            </w:pPr>
            <w:r>
              <w:t>RDC</w:t>
            </w:r>
          </w:p>
        </w:tc>
        <w:tc>
          <w:tcPr>
            <w:tcW w:w="0" w:type="auto"/>
            <w:tcBorders>
              <w:top w:val="single" w:sz="4" w:space="0" w:color="000000"/>
              <w:left w:val="single" w:sz="4" w:space="0" w:color="000000"/>
              <w:bottom w:val="single" w:sz="4" w:space="0" w:color="000000"/>
              <w:right w:val="single" w:sz="4" w:space="0" w:color="000000"/>
            </w:tcBorders>
          </w:tcPr>
          <w:p w14:paraId="190F8ACA"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ACB" w14:textId="77777777" w:rsidR="003C12C0"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90F8ACC" w14:textId="77777777" w:rsidR="003C12C0" w:rsidRDefault="00000000">
            <w:pPr>
              <w:pStyle w:val="TableText"/>
            </w:pPr>
            <w:r>
              <w:t>OMS GHO</w:t>
            </w:r>
          </w:p>
        </w:tc>
      </w:tr>
      <w:tr w:rsidR="003C12C0" w14:paraId="190F8AD2"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ACE" w14:textId="77777777" w:rsidR="003C12C0" w:rsidRDefault="00000000">
            <w:pPr>
              <w:pStyle w:val="TableText"/>
            </w:pPr>
            <w:r>
              <w:t>Angola</w:t>
            </w:r>
          </w:p>
        </w:tc>
        <w:tc>
          <w:tcPr>
            <w:tcW w:w="0" w:type="auto"/>
            <w:tcBorders>
              <w:top w:val="single" w:sz="4" w:space="0" w:color="000000"/>
              <w:left w:val="single" w:sz="4" w:space="0" w:color="000000"/>
              <w:bottom w:val="single" w:sz="4" w:space="0" w:color="000000"/>
              <w:right w:val="single" w:sz="4" w:space="0" w:color="000000"/>
            </w:tcBorders>
          </w:tcPr>
          <w:p w14:paraId="190F8ACF"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AD0" w14:textId="77777777" w:rsidR="003C12C0"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90F8AD1" w14:textId="77777777" w:rsidR="003C12C0" w:rsidRDefault="00000000">
            <w:pPr>
              <w:pStyle w:val="TableText"/>
            </w:pPr>
            <w:r>
              <w:t>OMS GHO</w:t>
            </w:r>
          </w:p>
        </w:tc>
      </w:tr>
      <w:tr w:rsidR="003C12C0" w14:paraId="190F8AD7"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AD3" w14:textId="77777777" w:rsidR="003C12C0" w:rsidRDefault="00000000">
            <w:pPr>
              <w:pStyle w:val="TableText"/>
            </w:pPr>
            <w:r>
              <w:t>Mozambique</w:t>
            </w:r>
          </w:p>
        </w:tc>
        <w:tc>
          <w:tcPr>
            <w:tcW w:w="0" w:type="auto"/>
            <w:tcBorders>
              <w:top w:val="single" w:sz="4" w:space="0" w:color="000000"/>
              <w:left w:val="single" w:sz="4" w:space="0" w:color="000000"/>
              <w:bottom w:val="single" w:sz="4" w:space="0" w:color="000000"/>
              <w:right w:val="single" w:sz="4" w:space="0" w:color="000000"/>
            </w:tcBorders>
          </w:tcPr>
          <w:p w14:paraId="190F8AD4"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AD5" w14:textId="77777777" w:rsidR="003C12C0"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90F8AD6" w14:textId="77777777" w:rsidR="003C12C0" w:rsidRDefault="00000000">
            <w:pPr>
              <w:pStyle w:val="TableText"/>
            </w:pPr>
            <w:r>
              <w:t>OMS GHO</w:t>
            </w:r>
          </w:p>
        </w:tc>
      </w:tr>
      <w:tr w:rsidR="003C12C0" w14:paraId="190F8ADC"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AD8" w14:textId="77777777" w:rsidR="003C12C0" w:rsidRDefault="00000000">
            <w:pPr>
              <w:pStyle w:val="TableText"/>
            </w:pPr>
            <w:r>
              <w:t>Afrique subsaharienne (moyenne)</w:t>
            </w:r>
          </w:p>
        </w:tc>
        <w:tc>
          <w:tcPr>
            <w:tcW w:w="0" w:type="auto"/>
            <w:tcBorders>
              <w:top w:val="single" w:sz="4" w:space="0" w:color="000000"/>
              <w:left w:val="single" w:sz="4" w:space="0" w:color="000000"/>
              <w:bottom w:val="single" w:sz="4" w:space="0" w:color="000000"/>
              <w:right w:val="single" w:sz="4" w:space="0" w:color="000000"/>
            </w:tcBorders>
          </w:tcPr>
          <w:p w14:paraId="190F8AD9"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ADA" w14:textId="77777777" w:rsidR="003C12C0"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90F8ADB" w14:textId="77777777" w:rsidR="003C12C0" w:rsidRDefault="00000000">
            <w:pPr>
              <w:pStyle w:val="TableText"/>
            </w:pPr>
            <w:r>
              <w:t>OMS GHO</w:t>
            </w:r>
          </w:p>
        </w:tc>
      </w:tr>
      <w:tr w:rsidR="003C12C0" w14:paraId="190F8AE1"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ADD" w14:textId="77777777" w:rsidR="003C12C0" w:rsidRDefault="00000000">
            <w:pPr>
              <w:pStyle w:val="TableText"/>
            </w:pPr>
            <w:r>
              <w:t>Monde (moyenne)</w:t>
            </w:r>
          </w:p>
        </w:tc>
        <w:tc>
          <w:tcPr>
            <w:tcW w:w="0" w:type="auto"/>
            <w:tcBorders>
              <w:top w:val="single" w:sz="4" w:space="0" w:color="000000"/>
              <w:left w:val="single" w:sz="4" w:space="0" w:color="000000"/>
              <w:bottom w:val="single" w:sz="4" w:space="0" w:color="000000"/>
              <w:right w:val="single" w:sz="4" w:space="0" w:color="000000"/>
            </w:tcBorders>
          </w:tcPr>
          <w:p w14:paraId="190F8ADE"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ADF" w14:textId="77777777" w:rsidR="003C12C0"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90F8AE0" w14:textId="77777777" w:rsidR="003C12C0" w:rsidRDefault="00000000">
            <w:pPr>
              <w:pStyle w:val="TableText"/>
            </w:pPr>
            <w:r>
              <w:t>OMS GHO</w:t>
            </w:r>
          </w:p>
        </w:tc>
      </w:tr>
    </w:tbl>
    <w:p w14:paraId="190F8AE2" w14:textId="77777777" w:rsidR="003C12C0" w:rsidRDefault="00000000">
      <w:pPr>
        <w:pStyle w:val="Source-GraphicPicture"/>
      </w:pPr>
      <w:r>
        <w:rPr>
          <w:i/>
          <w:iCs/>
        </w:rPr>
        <w:t>Source : OMS, Global Health Observatory.</w:t>
      </w:r>
    </w:p>
    <w:p w14:paraId="190F8AE3" w14:textId="77777777" w:rsidR="003C12C0" w:rsidRDefault="00000000">
      <w:pPr>
        <w:pStyle w:val="Heading3"/>
      </w:pPr>
      <w:bookmarkStart w:id="115" w:name="trajectoire-et-objectifs-non-valide_1"/>
      <w:bookmarkEnd w:id="113"/>
      <w:r>
        <w:t>Trajectoire et objectifs</w:t>
      </w:r>
    </w:p>
    <w:p w14:paraId="190F8AE4" w14:textId="77777777" w:rsidR="003C12C0" w:rsidRDefault="00000000">
      <w:pPr>
        <w:pStyle w:val="TableTitle"/>
      </w:pPr>
      <w:bookmarkStart w:id="116" w:name="_Toc234324568"/>
      <w:r>
        <w:t>Tableau 5.7 — Trajectoire et objectifs de l'indicateur ODD 3.8.1 pour la RDC [src]</w:t>
      </w:r>
      <w:r>
        <w:rPr>
          <w:rStyle w:val="FootnoteReference"/>
        </w:rPr>
        <w:footnoteReference w:id="108"/>
      </w:r>
      <w:bookmarkEnd w:id="116"/>
    </w:p>
    <w:tbl>
      <w:tblPr>
        <w:tblStyle w:val="ILOTable"/>
        <w:tblW w:w="5000" w:type="pct"/>
        <w:tblLook w:val="0020" w:firstRow="1" w:lastRow="0" w:firstColumn="0" w:lastColumn="0" w:noHBand="0" w:noVBand="0"/>
      </w:tblPr>
      <w:tblGrid>
        <w:gridCol w:w="4156"/>
        <w:gridCol w:w="2627"/>
        <w:gridCol w:w="2277"/>
      </w:tblGrid>
      <w:tr w:rsidR="003C12C0" w14:paraId="190F8AE8"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AE5" w14:textId="77777777" w:rsidR="003C12C0"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90F8AE6" w14:textId="77777777" w:rsidR="003C12C0" w:rsidRDefault="00000000">
            <w:pPr>
              <w:pStyle w:val="TableHeader"/>
            </w:pPr>
            <w:r>
              <w:t>Valeur de référence</w:t>
            </w:r>
          </w:p>
        </w:tc>
        <w:tc>
          <w:tcPr>
            <w:tcW w:w="0" w:type="auto"/>
            <w:tcBorders>
              <w:top w:val="single" w:sz="4" w:space="0" w:color="000000"/>
              <w:left w:val="single" w:sz="4" w:space="0" w:color="000000"/>
              <w:bottom w:val="single" w:sz="4" w:space="0" w:color="000000"/>
              <w:right w:val="single" w:sz="4" w:space="0" w:color="000000"/>
            </w:tcBorders>
          </w:tcPr>
          <w:p w14:paraId="190F8AE7" w14:textId="77777777" w:rsidR="003C12C0" w:rsidRDefault="00000000">
            <w:pPr>
              <w:pStyle w:val="TableHeader"/>
            </w:pPr>
            <w:r>
              <w:t>2030 (cible ODD)</w:t>
            </w:r>
          </w:p>
        </w:tc>
      </w:tr>
      <w:tr w:rsidR="003C12C0" w14:paraId="190F8AEC"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AE9" w14:textId="77777777" w:rsidR="003C12C0" w:rsidRDefault="00000000">
            <w:pPr>
              <w:pStyle w:val="TableText"/>
            </w:pPr>
            <w:r>
              <w:t>Indice ODD 3.8.1 — RDC (0–100)</w:t>
            </w:r>
          </w:p>
        </w:tc>
        <w:tc>
          <w:tcPr>
            <w:tcW w:w="0" w:type="auto"/>
            <w:tcBorders>
              <w:top w:val="single" w:sz="4" w:space="0" w:color="000000"/>
              <w:left w:val="single" w:sz="4" w:space="0" w:color="000000"/>
              <w:bottom w:val="single" w:sz="4" w:space="0" w:color="000000"/>
              <w:right w:val="single" w:sz="4" w:space="0" w:color="000000"/>
            </w:tcBorders>
          </w:tcPr>
          <w:p w14:paraId="190F8AEA" w14:textId="77777777" w:rsidR="003C12C0"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90F8AEB" w14:textId="77777777" w:rsidR="003C12C0" w:rsidRDefault="00000000">
            <w:pPr>
              <w:pStyle w:val="TableText"/>
            </w:pPr>
            <w:r>
              <w:t>80</w:t>
            </w:r>
          </w:p>
        </w:tc>
      </w:tr>
    </w:tbl>
    <w:p w14:paraId="190F8AED" w14:textId="77777777" w:rsidR="003C12C0" w:rsidRDefault="00000000">
      <w:pPr>
        <w:pStyle w:val="TableNoteSource"/>
      </w:pPr>
      <w:r>
        <w:rPr>
          <w:i/>
          <w:iCs/>
        </w:rPr>
        <w:t>Note : la cible ODD 3.8.1 est fixée à 80 (sur 100) pour 2030. La valeur nationale de référence sera renseignée à partir des données OMS GHO.</w:t>
      </w:r>
    </w:p>
    <w:p w14:paraId="190F8AEE" w14:textId="77777777" w:rsidR="003C12C0" w:rsidRDefault="00000000">
      <w:pPr>
        <w:pStyle w:val="Heading1"/>
      </w:pPr>
      <w:bookmarkStart w:id="117" w:name="Xd81cddf1c039cc4c9483a04a2819bdc0081b78d"/>
      <w:bookmarkEnd w:id="99"/>
      <w:bookmarkEnd w:id="109"/>
      <w:bookmarkEnd w:id="115"/>
      <w:r>
        <w:lastRenderedPageBreak/>
        <w:t>Chapitre 6 — Qualité, disponibilité et perspectives</w:t>
      </w:r>
    </w:p>
    <w:p w14:paraId="190F8AEF" w14:textId="77777777" w:rsidR="003C12C0" w:rsidRDefault="00000000">
      <w:pPr>
        <w:pStyle w:val="Heading1"/>
      </w:pPr>
      <w:bookmarkStart w:id="118" w:name="annexe-a-notes-methodologiques"/>
      <w:bookmarkEnd w:id="117"/>
      <w:r>
        <w:lastRenderedPageBreak/>
        <w:t>Annexe A — Notes méthodologiques</w:t>
      </w:r>
    </w:p>
    <w:p w14:paraId="190F8AF0" w14:textId="77777777" w:rsidR="003C12C0" w:rsidRDefault="00000000">
      <w:pPr>
        <w:pStyle w:val="Heading2"/>
      </w:pPr>
      <w:bookmarkStart w:id="119" w:name="X42b617378bec5354531358bfc3d9cbf12c182b0"/>
      <w:r>
        <w:t>A.1 — Champ de la protection sociale et critères d'inclusion statistique</w:t>
      </w:r>
    </w:p>
    <w:p w14:paraId="190F8AF1" w14:textId="77777777" w:rsidR="003C12C0" w:rsidRDefault="00000000">
      <w:pPr>
        <w:pStyle w:val="Heading3"/>
      </w:pPr>
      <w:bookmarkStart w:id="120" w:name="Xffeb76f4524aa6632e00306a575010223cae386"/>
      <w:r>
        <w:t>Un périmètre défini par la finalité protectrice et la mesurabilité</w:t>
      </w:r>
    </w:p>
    <w:p w14:paraId="190F8AF2" w14:textId="77777777" w:rsidR="003C12C0" w:rsidRDefault="00000000">
      <w:r>
        <w:t xml:space="preserve">Le champ statistique du bulletin est délimité à partir de deux critères cumulatifs : la </w:t>
      </w:r>
      <w:r>
        <w:rPr>
          <w:b/>
          <w:bCs/>
        </w:rPr>
        <w:t>finalité protectrice</w:t>
      </w:r>
      <w:r>
        <w:t xml:space="preserve"> du dispositif et la </w:t>
      </w:r>
      <w:r>
        <w:rPr>
          <w:b/>
          <w:bCs/>
        </w:rPr>
        <w:t>mesurabilité statistique</w:t>
      </w:r>
      <w:r>
        <w:t xml:space="preserve"> des données qu'il produit.</w:t>
      </w:r>
    </w:p>
    <w:p w14:paraId="190F8AF3" w14:textId="77777777" w:rsidR="003C12C0" w:rsidRDefault="00000000">
      <w:r>
        <w:t>Le critère de finalité protectrice exige que le dispositif ait pour objet principal de couvrir une personne ou un ménage contre un risque social identifié — maternité, maladie, accident du travail, invalidité, vieillesse, décès du soutien de famille, chômage, pauvreté ou vulnérabilité de revenu</w:t>
      </w:r>
      <w:r>
        <w:rPr>
          <w:rStyle w:val="FootnoteReference"/>
        </w:rPr>
        <w:footnoteReference w:id="109"/>
      </w:r>
      <w:r>
        <w:t>. Ce critère écarte les dispositifs dont l'effet protecteur est indirect, accessoire ou non garanti, tels que certaines politiques d'investissement public ou d'accès aux infrastructures.</w:t>
      </w:r>
    </w:p>
    <w:p w14:paraId="190F8AF4" w14:textId="77777777" w:rsidR="003C12C0" w:rsidRDefault="00000000">
      <w:r>
        <w:t>Le critère de mesurabilité exige qu'il soit possible d'identifier, à partir des données disponibles, au moins l'une des grandeurs statistiques suivantes : des personnes couvertes ou affiliées, des cotisants actifs, des bénéficiaires, des prestations servies ou des dépenses. Ce critère écarte les dispositifs pour lesquels aucune donnée individuelle ou agrégée ne permet de quantifier la couverture réelle, même si leur finalité protectrice est indéniable.</w:t>
      </w:r>
    </w:p>
    <w:p w14:paraId="190F8AF5" w14:textId="77777777" w:rsidR="003C12C0" w:rsidRDefault="00000000">
      <w:r>
        <w:t>Ces deux critères ne constituent pas une liste fermée de dispositifs admis ou exclus. Ils définissent une règle opérationnelle permettant de statuer sur chaque dispositif de façon cohérente et documentée.</w:t>
      </w:r>
    </w:p>
    <w:p w14:paraId="190F8AF6" w14:textId="77777777" w:rsidR="003C12C0" w:rsidRDefault="00000000">
      <w:pPr>
        <w:pStyle w:val="Heading3"/>
      </w:pPr>
      <w:bookmarkStart w:id="121" w:name="Xb73b1bebfc2a4d61bf86bef76579253c28b1782"/>
      <w:bookmarkEnd w:id="120"/>
      <w:r>
        <w:t>Trois niveaux de traitement dans le bulletin</w:t>
      </w:r>
    </w:p>
    <w:p w14:paraId="190F8AF7" w14:textId="77777777" w:rsidR="003C12C0" w:rsidRDefault="00000000">
      <w:r>
        <w:t>Sur la base de ces critères, le bulletin distingue trois niveaux de traitement des dispositifs.</w:t>
      </w:r>
    </w:p>
    <w:p w14:paraId="190F8AF8" w14:textId="77777777" w:rsidR="003C12C0" w:rsidRDefault="00000000">
      <w:r>
        <w:rPr>
          <w:b/>
          <w:bCs/>
        </w:rPr>
        <w:t>Niveau 1 — Dispositifs intégrés dans les indicateurs statistiques.</w:t>
      </w:r>
      <w:r>
        <w:t xml:space="preserve"> Sont classés à ce niveau les régimes et programmes pour lesquels les deux critères sont satisfaits : finalité protectrice établie et données disponibles permettant de mesurer la couverture. Entrent notamment dans ce groupe les régimes contributifs de sécurité sociale gérés par des institutions formelles </w:t>
      </w:r>
      <w:r>
        <w:rPr>
          <w:i/>
          <w:iCs/>
        </w:rPr>
        <w:t>(CNSS, CNSSAP, régimes spéciaux)</w:t>
      </w:r>
      <w:r>
        <w:t xml:space="preserve"> et les programmes non contributifs disposant de données de ciblage, d'enregistrement ou de paiement documentées</w:t>
      </w:r>
      <w:r>
        <w:rPr>
          <w:rStyle w:val="FootnoteReference"/>
        </w:rPr>
        <w:footnoteReference w:id="110"/>
      </w:r>
      <w:r>
        <w:t>.</w:t>
      </w:r>
    </w:p>
    <w:p w14:paraId="190F8AF9" w14:textId="77777777" w:rsidR="003C12C0" w:rsidRDefault="00000000">
      <w:r>
        <w:rPr>
          <w:b/>
          <w:bCs/>
        </w:rPr>
        <w:t>Niveau 2 — Dispositifs traités séparément.</w:t>
      </w:r>
      <w:r>
        <w:t xml:space="preserve"> Sont classés à ce niveau les dispositifs dont la finalité protectrice est établie mais pour lesquels les données ne permettent pas encore de produire des indicateurs comparables. Ils sont présentés de façon descriptive, avec les données disponibles, sans être agrégés dans les indicateurs globaux de couverture. La couverture sanitaire universelle entre, selon l'état d'avancement des données, dans cette catégorie.</w:t>
      </w:r>
    </w:p>
    <w:p w14:paraId="190F8AFA" w14:textId="77777777" w:rsidR="003C12C0" w:rsidRDefault="00000000">
      <w:r>
        <w:rPr>
          <w:b/>
          <w:bCs/>
        </w:rPr>
        <w:t>Niveau 3 — Dispositifs mentionnés à titre contextuel.</w:t>
      </w:r>
      <w:r>
        <w:t xml:space="preserve"> Sont classés à ce niveau les dispositifs dont la finalité protectrice est reconnue mais qui ne donnent pas lieu à des prestations individualisables ou à des données de couverture. Ils sont mentionnés pour la complétude du tableau institutionnel, sans influer sur les indicateurs. C'est le cas de certains services sociaux, </w:t>
      </w:r>
      <w:r>
        <w:lastRenderedPageBreak/>
        <w:t>gratuités sectorielles, dispositifs d'urgence ou programmes d'accompagnement social dont le périmètre et les bénéficiaires ne sont pas documentés de façon consolidée.</w:t>
      </w:r>
    </w:p>
    <w:p w14:paraId="190F8AFB" w14:textId="77777777" w:rsidR="003C12C0" w:rsidRDefault="00000000">
      <w:pPr>
        <w:pStyle w:val="Heading3"/>
      </w:pPr>
      <w:bookmarkStart w:id="122" w:name="un-perimetre-evolutif"/>
      <w:bookmarkEnd w:id="121"/>
      <w:r>
        <w:t>Un périmètre évolutif</w:t>
      </w:r>
    </w:p>
    <w:p w14:paraId="190F8AFC" w14:textId="77777777" w:rsidR="003C12C0" w:rsidRDefault="00000000">
      <w:r>
        <w:t>La classification d'un dispositif dans l'un de ces trois niveaux n'est pas définitive. Elle reflète l'état des données disponibles au moment de la préparation du bulletin et est susceptible d'évoluer à mesure que les systèmes d'information des institutions s'améliorent et que de nouvelles données deviennent accessibles. Le passage d'un dispositif du niveau 2 au niveau 1, ou du niveau 3 au niveau 2, constitue en soi un indicateur de progrès dans la gouvernance statistique de la protection sociale en RDC.</w:t>
      </w:r>
    </w:p>
    <w:p w14:paraId="190F8AFD" w14:textId="77777777" w:rsidR="003C12C0" w:rsidRDefault="00000000">
      <w:pPr>
        <w:pStyle w:val="Heading2"/>
      </w:pPr>
      <w:bookmarkStart w:id="123" w:name="X442c38441c59a4af2c1b7f694baafea97c21e0c"/>
      <w:bookmarkEnd w:id="119"/>
      <w:bookmarkEnd w:id="122"/>
      <w:r>
        <w:t>A.2 — Classification des régimes, programmes et prestations</w:t>
      </w:r>
    </w:p>
    <w:p w14:paraId="190F8AFE" w14:textId="77777777" w:rsidR="003C12C0" w:rsidRDefault="00000000">
      <w:pPr>
        <w:pStyle w:val="Heading3"/>
      </w:pPr>
      <w:bookmarkStart w:id="124" w:name="Xad0251def910ae3312458c2e1f0798289998728"/>
      <w:r>
        <w:t>Couverture légale et couverture effective</w:t>
      </w:r>
    </w:p>
    <w:p w14:paraId="190F8AFF" w14:textId="77777777" w:rsidR="003C12C0" w:rsidRDefault="00000000">
      <w:r>
        <w:t>Le bulletin articule deux notions hiérarchiquement liées, non interchangeables.</w:t>
      </w:r>
    </w:p>
    <w:p w14:paraId="190F8B00" w14:textId="77777777" w:rsidR="003C12C0" w:rsidRDefault="00000000">
      <w:r>
        <w:t xml:space="preserve">La </w:t>
      </w:r>
      <w:r>
        <w:rPr>
          <w:b/>
          <w:bCs/>
        </w:rPr>
        <w:t>couverture légale</w:t>
      </w:r>
      <w:r>
        <w:t xml:space="preserve"> désigne les personnes ou catégories de personnes auxquelles un régime ou un programme est applicable selon les textes juridiques, réglementaires ou statutaires en vigueur. Elle est une condition nécessaire : on ne peut bénéficier d'une protection effective sans que celle-ci soit d'abord prévue par un texte. Elle n'est pas suffisante : un dispositif peut être légalement prévu sans être effectivement mis en œuvre, faute d'affiliation systématique, de ressources, ou de données disponibles.</w:t>
      </w:r>
    </w:p>
    <w:p w14:paraId="190F8B01" w14:textId="77777777" w:rsidR="003C12C0" w:rsidRDefault="00000000">
      <w:r>
        <w:t xml:space="preserve">La </w:t>
      </w:r>
      <w:r>
        <w:rPr>
          <w:b/>
          <w:bCs/>
        </w:rPr>
        <w:t>couverture effective</w:t>
      </w:r>
      <w:r>
        <w:t xml:space="preserve"> désigne les personnes réellement protégées : affiliées et cotisantes, ou ayant effectivement reçu une prestation au cours de la période de référence, selon des données administratives ou d'enquête. Une couverture effective est nécessairement aussi légale : elle en est le sous-ensemble mis en œuvre. C'est cet angle statistique qui constitue le principal objet de mesure du présent bulletin.</w:t>
      </w:r>
    </w:p>
    <w:p w14:paraId="190F8B02" w14:textId="77777777" w:rsidR="003C12C0" w:rsidRDefault="00000000">
      <w:pPr>
        <w:pStyle w:val="Heading3"/>
      </w:pPr>
      <w:bookmarkStart w:id="125" w:name="nature-des-regimes-et-programmes"/>
      <w:bookmarkEnd w:id="124"/>
      <w:r>
        <w:t>Nature des régimes et programmes</w:t>
      </w:r>
    </w:p>
    <w:p w14:paraId="190F8B03" w14:textId="77777777" w:rsidR="003C12C0" w:rsidRDefault="00000000">
      <w:r>
        <w:t>Les dispositifs de protection sociale se différencient selon plusieurs dimensions de classification.</w:t>
      </w:r>
    </w:p>
    <w:p w14:paraId="190F8B04" w14:textId="77777777" w:rsidR="003C12C0" w:rsidRDefault="00000000">
      <w:r>
        <w:rPr>
          <w:b/>
          <w:bCs/>
        </w:rPr>
        <w:t>Selon le caractère obligatoire ou volontaire de l'affiliation.</w:t>
      </w:r>
      <w:r>
        <w:t xml:space="preserve"> Les régimes légalement obligatoires concernent des catégories de travailleurs ou de résidents définis par la loi et gèrent une affiliation de droit. Les dispositifs à adhésion volontaire — mutuelles, assurances privées, épargne retraite individuelle — fonctionnent sur la base d'un consentement individuel ou collectif. [C102, art. 6]</w:t>
      </w:r>
      <w:r>
        <w:rPr>
          <w:rStyle w:val="FootnoteReference"/>
        </w:rPr>
        <w:footnoteReference w:id="111"/>
      </w:r>
    </w:p>
    <w:p w14:paraId="190F8B05" w14:textId="77777777" w:rsidR="003C12C0" w:rsidRDefault="00000000">
      <w:r>
        <w:rPr>
          <w:b/>
          <w:bCs/>
        </w:rPr>
        <w:t>Selon la nature du financement.</w:t>
      </w:r>
      <w:r>
        <w:t xml:space="preserve"> Les régimes </w:t>
      </w:r>
      <w:r>
        <w:rPr>
          <w:b/>
          <w:bCs/>
        </w:rPr>
        <w:t>contributifs</w:t>
      </w:r>
      <w:r>
        <w:t xml:space="preserve"> sont financés principalement par des cotisations de l'employeur et du travailleur, proportionnelles aux revenus d'activité. Les dispositifs </w:t>
      </w:r>
      <w:r>
        <w:rPr>
          <w:b/>
          <w:bCs/>
        </w:rPr>
        <w:t>non contributifs</w:t>
      </w:r>
      <w:r>
        <w:t xml:space="preserve"> sont financés par l'État ou par des partenaires extérieurs, sans cotisation préalable de la personne protégée. Ces deux modes de financement peuvent coexister au sein d'un même système national et doivent être traités comme complémentaires. [R202, par. 5]</w:t>
      </w:r>
      <w:r>
        <w:rPr>
          <w:rStyle w:val="FootnoteReference"/>
        </w:rPr>
        <w:footnoteReference w:id="112"/>
      </w:r>
    </w:p>
    <w:p w14:paraId="190F8B06" w14:textId="77777777" w:rsidR="003C12C0" w:rsidRDefault="00000000">
      <w:r>
        <w:rPr>
          <w:b/>
          <w:bCs/>
        </w:rPr>
        <w:lastRenderedPageBreak/>
        <w:t>Selon le statut réglementaire.</w:t>
      </w:r>
      <w:r>
        <w:t xml:space="preserve"> Les régimes </w:t>
      </w:r>
      <w:r>
        <w:rPr>
          <w:b/>
          <w:bCs/>
        </w:rPr>
        <w:t>statutaires</w:t>
      </w:r>
      <w:r>
        <w:t xml:space="preserve"> sont créés et régis par des textes législatifs ou réglementaires formels. Les dispositifs </w:t>
      </w:r>
      <w:r>
        <w:rPr>
          <w:b/>
          <w:bCs/>
        </w:rPr>
        <w:t>non statutaires</w:t>
      </w:r>
      <w:r>
        <w:t xml:space="preserve"> — programmes sociaux à durée limitée, transferts conditionnels, projets d'appui — opèrent dans un cadre plus souple, souvent sans base légale permanente. Cette distinction est pertinente pour apprécier la pérennité institutionnelle d'un dispositif. [OIT 2021]</w:t>
      </w:r>
      <w:r>
        <w:rPr>
          <w:rStyle w:val="FootnoteReference"/>
        </w:rPr>
        <w:footnoteReference w:id="113"/>
      </w:r>
    </w:p>
    <w:p w14:paraId="190F8B07" w14:textId="77777777" w:rsidR="003C12C0" w:rsidRDefault="00000000">
      <w:r>
        <w:rPr>
          <w:b/>
          <w:bCs/>
        </w:rPr>
        <w:t>Selon la nature des prestations.</w:t>
      </w:r>
      <w:r>
        <w:t xml:space="preserve"> Les prestations </w:t>
      </w:r>
      <w:r>
        <w:rPr>
          <w:b/>
          <w:bCs/>
        </w:rPr>
        <w:t>en espèces</w:t>
      </w:r>
      <w:r>
        <w:t xml:space="preserve"> (pensions, indemnités, allocations) procurent un revenu ou compensent une perte de revenu. Les prestations </w:t>
      </w:r>
      <w:r>
        <w:rPr>
          <w:b/>
          <w:bCs/>
        </w:rPr>
        <w:t>en nature</w:t>
      </w:r>
      <w:r>
        <w:t xml:space="preserve"> (soins de santé, équipements, services) procurent directement un bien ou un service. Cette distinction est importante pour la lecture des indicateurs de dépenses et de bénéficiaires. [C102, art. 1]</w:t>
      </w:r>
      <w:r>
        <w:rPr>
          <w:rStyle w:val="FootnoteReference"/>
        </w:rPr>
        <w:footnoteReference w:id="114"/>
      </w:r>
    </w:p>
    <w:p w14:paraId="190F8B08" w14:textId="77777777" w:rsidR="003C12C0" w:rsidRDefault="00000000">
      <w:pPr>
        <w:pStyle w:val="Heading3"/>
      </w:pPr>
      <w:bookmarkStart w:id="126" w:name="conditions-dacces-aux-prestations"/>
      <w:bookmarkEnd w:id="125"/>
      <w:r>
        <w:t>Conditions d'accès aux prestations</w:t>
      </w:r>
    </w:p>
    <w:p w14:paraId="190F8B09" w14:textId="77777777" w:rsidR="003C12C0" w:rsidRDefault="00000000">
      <w:r>
        <w:t>Les conditions d'accès varient selon la nature du dispositif et structurent la répartition réelle de la couverture. Le bulletin distingue les principaux modes d'accès suivants :</w:t>
      </w:r>
    </w:p>
    <w:p w14:paraId="190F8B0A" w14:textId="77777777" w:rsidR="003C12C0" w:rsidRDefault="00000000">
      <w:pPr>
        <w:numPr>
          <w:ilvl w:val="0"/>
          <w:numId w:val="25"/>
        </w:numPr>
      </w:pPr>
      <w:r>
        <w:rPr>
          <w:b/>
          <w:bCs/>
        </w:rPr>
        <w:t>Affiliation et cotisation</w:t>
      </w:r>
      <w:r>
        <w:t xml:space="preserve"> : accès subordonné à l'enregistrement préalable dans un régime et au versement de cotisations sur une durée minimale. Applicable aux régimes contributifs obligatoires (CNSS, CNSSAP).</w:t>
      </w:r>
    </w:p>
    <w:p w14:paraId="190F8B0B" w14:textId="77777777" w:rsidR="003C12C0" w:rsidRDefault="00000000">
      <w:pPr>
        <w:numPr>
          <w:ilvl w:val="0"/>
          <w:numId w:val="25"/>
        </w:numPr>
      </w:pPr>
      <w:r>
        <w:rPr>
          <w:b/>
          <w:bCs/>
        </w:rPr>
        <w:t>Statut professionnel ou catégoriel</w:t>
      </w:r>
      <w:r>
        <w:t xml:space="preserve"> : accès réservé à une catégorie définie de travailleurs (agents publics, militaires, policiers, magistrats, enseignants). Applicable aux régimes spéciaux.</w:t>
      </w:r>
    </w:p>
    <w:p w14:paraId="190F8B0C" w14:textId="77777777" w:rsidR="003C12C0" w:rsidRDefault="00000000">
      <w:pPr>
        <w:numPr>
          <w:ilvl w:val="0"/>
          <w:numId w:val="25"/>
        </w:numPr>
      </w:pPr>
      <w:r>
        <w:rPr>
          <w:b/>
          <w:bCs/>
        </w:rPr>
        <w:t>Condition de ressources</w:t>
      </w:r>
      <w:r>
        <w:t xml:space="preserve"> : accès subordonné à un niveau de revenu ou à une situation de pauvreté documentée. Applicable aux programmes sociaux ciblés.</w:t>
      </w:r>
    </w:p>
    <w:p w14:paraId="190F8B0D" w14:textId="77777777" w:rsidR="003C12C0" w:rsidRDefault="00000000">
      <w:pPr>
        <w:numPr>
          <w:ilvl w:val="0"/>
          <w:numId w:val="25"/>
        </w:numPr>
      </w:pPr>
      <w:r>
        <w:rPr>
          <w:b/>
          <w:bCs/>
        </w:rPr>
        <w:t>Ciblage catégoriel</w:t>
      </w:r>
      <w:r>
        <w:t xml:space="preserve"> : accès réservé à une catégorie démographique ou de vulnérabilité définie sans condition de revenu explicite.</w:t>
      </w:r>
    </w:p>
    <w:p w14:paraId="190F8B0E" w14:textId="77777777" w:rsidR="003C12C0" w:rsidRDefault="00000000">
      <w:pPr>
        <w:numPr>
          <w:ilvl w:val="0"/>
          <w:numId w:val="25"/>
        </w:numPr>
      </w:pPr>
      <w:r>
        <w:rPr>
          <w:b/>
          <w:bCs/>
        </w:rPr>
        <w:t>Résidence</w:t>
      </w:r>
      <w:r>
        <w:t xml:space="preserve"> : accès lié au fait de résider sur un territoire donné, indépendamment du statut professionnel ou économique.</w:t>
      </w:r>
    </w:p>
    <w:p w14:paraId="190F8B0F" w14:textId="77777777" w:rsidR="003C12C0" w:rsidRDefault="00000000">
      <w:pPr>
        <w:numPr>
          <w:ilvl w:val="0"/>
          <w:numId w:val="25"/>
        </w:numPr>
      </w:pPr>
      <w:r>
        <w:rPr>
          <w:b/>
          <w:bCs/>
        </w:rPr>
        <w:t>Accès universel ou quasi universel</w:t>
      </w:r>
      <w:r>
        <w:t xml:space="preserve"> : accès non conditionné, ouvert à l'ensemble de la population ou d'un groupe très large, sans critère d'éligibilité restrictif.</w:t>
      </w:r>
    </w:p>
    <w:p w14:paraId="190F8B10" w14:textId="77777777" w:rsidR="003C12C0" w:rsidRDefault="00000000">
      <w:r>
        <w:t>Ces conditions d'accès ont une incidence directe sur les indicateurs de couverture : deux régimes couvrant formellement le même risque peuvent produire des taux de couverture très différents selon les conditions qu'ils imposent et la capacité institutionnelle à les faire respecter.</w:t>
      </w:r>
    </w:p>
    <w:p w14:paraId="190F8B11" w14:textId="77777777" w:rsidR="003C12C0" w:rsidRDefault="00000000">
      <w:pPr>
        <w:pStyle w:val="Heading1"/>
      </w:pPr>
      <w:bookmarkStart w:id="127" w:name="Xd9552ae2030b60331a35179a9b1c8ef8a02f308"/>
      <w:bookmarkEnd w:id="118"/>
      <w:bookmarkEnd w:id="123"/>
      <w:bookmarkEnd w:id="126"/>
      <w:r>
        <w:lastRenderedPageBreak/>
        <w:t>Annexe B — Fiches institutionnelles détaillées</w:t>
      </w:r>
    </w:p>
    <w:p w14:paraId="190F8B12" w14:textId="77777777" w:rsidR="003C12C0" w:rsidRDefault="00000000">
      <w:pPr>
        <w:pStyle w:val="Heading1"/>
      </w:pPr>
      <w:bookmarkStart w:id="128" w:name="X18093ea093160aba48812e82b724d5cfad27884"/>
      <w:bookmarkEnd w:id="127"/>
      <w:r>
        <w:lastRenderedPageBreak/>
        <w:t>B.1 Caisse Nationale de Sécurité Sociale (CNSS)</w:t>
      </w:r>
    </w:p>
    <w:p w14:paraId="190F8B13" w14:textId="77777777" w:rsidR="003C12C0" w:rsidRDefault="00000000">
      <w:pPr>
        <w:pStyle w:val="Heading2"/>
      </w:pPr>
      <w:bookmarkStart w:id="129" w:name="cadre-juridique-et-institutionnel"/>
      <w:r>
        <w:t>Cadre juridique et institutionnel</w:t>
      </w:r>
    </w:p>
    <w:tbl>
      <w:tblPr>
        <w:tblStyle w:val="ILOTable"/>
        <w:tblW w:w="5000" w:type="pct"/>
        <w:tblLook w:val="0020" w:firstRow="1" w:lastRow="0" w:firstColumn="0" w:lastColumn="0" w:noHBand="0" w:noVBand="0"/>
      </w:tblPr>
      <w:tblGrid>
        <w:gridCol w:w="1883"/>
        <w:gridCol w:w="7177"/>
      </w:tblGrid>
      <w:tr w:rsidR="003C12C0" w14:paraId="190F8B16"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B14" w14:textId="77777777" w:rsidR="003C12C0" w:rsidRDefault="00000000">
            <w:pPr>
              <w:pStyle w:val="TableHeader"/>
            </w:pPr>
            <w:r>
              <w:t>Élément</w:t>
            </w:r>
          </w:p>
        </w:tc>
        <w:tc>
          <w:tcPr>
            <w:tcW w:w="0" w:type="auto"/>
            <w:tcBorders>
              <w:top w:val="single" w:sz="4" w:space="0" w:color="000000"/>
              <w:left w:val="single" w:sz="4" w:space="0" w:color="000000"/>
              <w:bottom w:val="single" w:sz="4" w:space="0" w:color="000000"/>
              <w:right w:val="single" w:sz="4" w:space="0" w:color="000000"/>
            </w:tcBorders>
          </w:tcPr>
          <w:p w14:paraId="190F8B15" w14:textId="77777777" w:rsidR="003C12C0" w:rsidRDefault="00000000">
            <w:pPr>
              <w:pStyle w:val="TableHeader"/>
            </w:pPr>
            <w:r>
              <w:t>Détail</w:t>
            </w:r>
          </w:p>
        </w:tc>
      </w:tr>
      <w:tr w:rsidR="003C12C0" w14:paraId="190F8B19"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17" w14:textId="77777777" w:rsidR="003C12C0" w:rsidRDefault="00000000">
            <w:pPr>
              <w:pStyle w:val="TableText"/>
            </w:pPr>
            <w:r>
              <w:t>Texte fondateur</w:t>
            </w:r>
          </w:p>
        </w:tc>
        <w:tc>
          <w:tcPr>
            <w:tcW w:w="0" w:type="auto"/>
            <w:tcBorders>
              <w:top w:val="single" w:sz="4" w:space="0" w:color="000000"/>
              <w:left w:val="single" w:sz="4" w:space="0" w:color="000000"/>
              <w:bottom w:val="single" w:sz="4" w:space="0" w:color="000000"/>
              <w:right w:val="single" w:sz="4" w:space="0" w:color="000000"/>
            </w:tcBorders>
          </w:tcPr>
          <w:p w14:paraId="190F8B18" w14:textId="77777777" w:rsidR="003C12C0" w:rsidRDefault="00000000">
            <w:pPr>
              <w:pStyle w:val="TableText"/>
            </w:pPr>
            <w:r>
              <w:t>Décret-loi n° 87-021 du 5 août 1987 portant organisation de la sécurité sociale</w:t>
            </w:r>
          </w:p>
        </w:tc>
      </w:tr>
      <w:tr w:rsidR="003C12C0" w14:paraId="190F8B1C"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1A" w14:textId="77777777" w:rsidR="003C12C0" w:rsidRDefault="00000000">
            <w:pPr>
              <w:pStyle w:val="TableText"/>
            </w:pPr>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190F8B1B" w14:textId="77777777" w:rsidR="003C12C0" w:rsidRDefault="00000000">
            <w:pPr>
              <w:pStyle w:val="TableText"/>
            </w:pPr>
            <w:r>
              <w:t>Ministère de la Santé Publique, Hygiène et Prévoyance Sociale</w:t>
            </w:r>
          </w:p>
        </w:tc>
      </w:tr>
      <w:tr w:rsidR="003C12C0" w14:paraId="190F8B1F"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1D" w14:textId="77777777" w:rsidR="003C12C0" w:rsidRDefault="00000000">
            <w:pPr>
              <w:pStyle w:val="TableText"/>
            </w:pPr>
            <w:r>
              <w:t>Statut juridique</w:t>
            </w:r>
          </w:p>
        </w:tc>
        <w:tc>
          <w:tcPr>
            <w:tcW w:w="0" w:type="auto"/>
            <w:tcBorders>
              <w:top w:val="single" w:sz="4" w:space="0" w:color="000000"/>
              <w:left w:val="single" w:sz="4" w:space="0" w:color="000000"/>
              <w:bottom w:val="single" w:sz="4" w:space="0" w:color="000000"/>
              <w:right w:val="single" w:sz="4" w:space="0" w:color="000000"/>
            </w:tcBorders>
          </w:tcPr>
          <w:p w14:paraId="190F8B1E" w14:textId="77777777" w:rsidR="003C12C0" w:rsidRDefault="00000000">
            <w:pPr>
              <w:pStyle w:val="TableText"/>
            </w:pPr>
            <w:r>
              <w:t>Établissement public à caractère social</w:t>
            </w:r>
          </w:p>
        </w:tc>
      </w:tr>
      <w:tr w:rsidR="003C12C0" w14:paraId="190F8B22"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20" w14:textId="77777777" w:rsidR="003C12C0" w:rsidRDefault="00000000">
            <w:pPr>
              <w:pStyle w:val="TableText"/>
            </w:pPr>
            <w:r>
              <w:t>Année de création</w:t>
            </w:r>
          </w:p>
        </w:tc>
        <w:tc>
          <w:tcPr>
            <w:tcW w:w="0" w:type="auto"/>
            <w:tcBorders>
              <w:top w:val="single" w:sz="4" w:space="0" w:color="000000"/>
              <w:left w:val="single" w:sz="4" w:space="0" w:color="000000"/>
              <w:bottom w:val="single" w:sz="4" w:space="0" w:color="000000"/>
              <w:right w:val="single" w:sz="4" w:space="0" w:color="000000"/>
            </w:tcBorders>
          </w:tcPr>
          <w:p w14:paraId="190F8B21" w14:textId="77777777" w:rsidR="003C12C0" w:rsidRDefault="00000000">
            <w:pPr>
              <w:pStyle w:val="TableText"/>
            </w:pPr>
            <w:r>
              <w:t>1987 (refonte du régime de sécurité sociale)</w:t>
            </w:r>
          </w:p>
        </w:tc>
      </w:tr>
    </w:tbl>
    <w:p w14:paraId="190F8B23" w14:textId="77777777" w:rsidR="003C12C0" w:rsidRDefault="00000000">
      <w:pPr>
        <w:pStyle w:val="Heading2"/>
      </w:pPr>
      <w:bookmarkStart w:id="130" w:name="mission-et-branches-couvertes"/>
      <w:bookmarkEnd w:id="129"/>
      <w:r>
        <w:t>Mission et branches couvertes</w:t>
      </w:r>
    </w:p>
    <w:p w14:paraId="190F8B24" w14:textId="77777777" w:rsidR="003C12C0" w:rsidRDefault="00000000">
      <w:r>
        <w:t>La CNSS a pour mission de coordonner et d'administrer les prestations de sécurité sociale pour les travailleurs du secteur privé formel et leurs ayants droit.</w:t>
      </w:r>
    </w:p>
    <w:tbl>
      <w:tblPr>
        <w:tblStyle w:val="ILOTable"/>
        <w:tblW w:w="5000" w:type="pct"/>
        <w:tblLook w:val="0020" w:firstRow="1" w:lastRow="0" w:firstColumn="0" w:lastColumn="0" w:noHBand="0" w:noVBand="0"/>
      </w:tblPr>
      <w:tblGrid>
        <w:gridCol w:w="3236"/>
        <w:gridCol w:w="1578"/>
        <w:gridCol w:w="4246"/>
      </w:tblGrid>
      <w:tr w:rsidR="003C12C0" w14:paraId="190F8B28" w14:textId="77777777" w:rsidTr="00DF4DEA">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B25" w14:textId="77777777" w:rsidR="003C12C0" w:rsidRDefault="00000000">
            <w:pPr>
              <w:pStyle w:val="TableHeader"/>
            </w:pPr>
            <w:r>
              <w:t>Branche</w:t>
            </w:r>
          </w:p>
        </w:tc>
        <w:tc>
          <w:tcPr>
            <w:tcW w:w="871" w:type="pct"/>
            <w:tcBorders>
              <w:top w:val="single" w:sz="4" w:space="0" w:color="000000"/>
              <w:left w:val="single" w:sz="4" w:space="0" w:color="000000"/>
              <w:bottom w:val="single" w:sz="4" w:space="0" w:color="000000"/>
              <w:right w:val="single" w:sz="4" w:space="0" w:color="000000"/>
            </w:tcBorders>
          </w:tcPr>
          <w:p w14:paraId="190F8B26" w14:textId="77777777" w:rsidR="003C12C0" w:rsidRDefault="00000000">
            <w:pPr>
              <w:pStyle w:val="TableHeader"/>
            </w:pPr>
            <w:r>
              <w:t>Couverte ?</w:t>
            </w:r>
          </w:p>
        </w:tc>
        <w:tc>
          <w:tcPr>
            <w:tcW w:w="2343" w:type="pct"/>
            <w:tcBorders>
              <w:top w:val="single" w:sz="4" w:space="0" w:color="000000"/>
              <w:left w:val="single" w:sz="4" w:space="0" w:color="000000"/>
              <w:bottom w:val="single" w:sz="4" w:space="0" w:color="000000"/>
              <w:right w:val="single" w:sz="4" w:space="0" w:color="000000"/>
            </w:tcBorders>
          </w:tcPr>
          <w:p w14:paraId="190F8B27" w14:textId="77777777" w:rsidR="003C12C0" w:rsidRDefault="00000000">
            <w:pPr>
              <w:pStyle w:val="TableHeader"/>
            </w:pPr>
            <w:r>
              <w:t>Note</w:t>
            </w:r>
          </w:p>
        </w:tc>
      </w:tr>
      <w:tr w:rsidR="003C12C0" w14:paraId="190F8B2C" w14:textId="77777777" w:rsidTr="00DF4DEA">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29" w14:textId="77777777" w:rsidR="003C12C0" w:rsidRDefault="00000000">
            <w:pPr>
              <w:pStyle w:val="TableText"/>
            </w:pPr>
            <w:r>
              <w:t>Vieillesse, invalidité, décès</w:t>
            </w:r>
          </w:p>
        </w:tc>
        <w:tc>
          <w:tcPr>
            <w:tcW w:w="871" w:type="pct"/>
            <w:tcBorders>
              <w:top w:val="single" w:sz="4" w:space="0" w:color="000000"/>
              <w:left w:val="single" w:sz="4" w:space="0" w:color="000000"/>
              <w:bottom w:val="single" w:sz="4" w:space="0" w:color="000000"/>
              <w:right w:val="single" w:sz="4" w:space="0" w:color="000000"/>
            </w:tcBorders>
          </w:tcPr>
          <w:p w14:paraId="190F8B2A" w14:textId="77777777" w:rsidR="003C12C0" w:rsidRDefault="003C12C0"/>
        </w:tc>
        <w:tc>
          <w:tcPr>
            <w:tcW w:w="2343" w:type="pct"/>
            <w:tcBorders>
              <w:top w:val="single" w:sz="4" w:space="0" w:color="000000"/>
              <w:left w:val="single" w:sz="4" w:space="0" w:color="000000"/>
              <w:bottom w:val="single" w:sz="4" w:space="0" w:color="000000"/>
              <w:right w:val="single" w:sz="4" w:space="0" w:color="000000"/>
            </w:tcBorders>
          </w:tcPr>
          <w:p w14:paraId="190F8B2B" w14:textId="77777777" w:rsidR="003C12C0" w:rsidRDefault="00000000">
            <w:pPr>
              <w:pStyle w:val="TableText"/>
            </w:pPr>
            <w:r>
              <w:t>Pension de vieillesse normale, proportionnelle, anticipée, de survivant ; allocation de décès</w:t>
            </w:r>
          </w:p>
        </w:tc>
      </w:tr>
      <w:tr w:rsidR="003C12C0" w14:paraId="190F8B30" w14:textId="77777777" w:rsidTr="00DF4DEA">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2D" w14:textId="77777777" w:rsidR="003C12C0" w:rsidRDefault="00000000">
            <w:pPr>
              <w:pStyle w:val="TableText"/>
            </w:pPr>
            <w:r>
              <w:t>Accidents du travail / maladies professionnelles (AT/MP)</w:t>
            </w:r>
          </w:p>
        </w:tc>
        <w:tc>
          <w:tcPr>
            <w:tcW w:w="871" w:type="pct"/>
            <w:tcBorders>
              <w:top w:val="single" w:sz="4" w:space="0" w:color="000000"/>
              <w:left w:val="single" w:sz="4" w:space="0" w:color="000000"/>
              <w:bottom w:val="single" w:sz="4" w:space="0" w:color="000000"/>
              <w:right w:val="single" w:sz="4" w:space="0" w:color="000000"/>
            </w:tcBorders>
          </w:tcPr>
          <w:p w14:paraId="190F8B2E" w14:textId="77777777" w:rsidR="003C12C0" w:rsidRDefault="003C12C0"/>
        </w:tc>
        <w:tc>
          <w:tcPr>
            <w:tcW w:w="2343" w:type="pct"/>
            <w:tcBorders>
              <w:top w:val="single" w:sz="4" w:space="0" w:color="000000"/>
              <w:left w:val="single" w:sz="4" w:space="0" w:color="000000"/>
              <w:bottom w:val="single" w:sz="4" w:space="0" w:color="000000"/>
              <w:right w:val="single" w:sz="4" w:space="0" w:color="000000"/>
            </w:tcBorders>
          </w:tcPr>
          <w:p w14:paraId="190F8B2F" w14:textId="77777777" w:rsidR="003C12C0" w:rsidRDefault="00000000">
            <w:pPr>
              <w:pStyle w:val="TableText"/>
            </w:pPr>
            <w:r>
              <w:t>Rentes d'incapacité, rentes de survivant</w:t>
            </w:r>
          </w:p>
        </w:tc>
      </w:tr>
      <w:tr w:rsidR="003C12C0" w14:paraId="190F8B34" w14:textId="77777777" w:rsidTr="00DF4DEA">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31" w14:textId="77777777" w:rsidR="003C12C0" w:rsidRDefault="00000000">
            <w:pPr>
              <w:pStyle w:val="TableText"/>
            </w:pPr>
            <w:r>
              <w:t>Prestations familiales</w:t>
            </w:r>
          </w:p>
        </w:tc>
        <w:tc>
          <w:tcPr>
            <w:tcW w:w="871" w:type="pct"/>
            <w:tcBorders>
              <w:top w:val="single" w:sz="4" w:space="0" w:color="000000"/>
              <w:left w:val="single" w:sz="4" w:space="0" w:color="000000"/>
              <w:bottom w:val="single" w:sz="4" w:space="0" w:color="000000"/>
              <w:right w:val="single" w:sz="4" w:space="0" w:color="000000"/>
            </w:tcBorders>
          </w:tcPr>
          <w:p w14:paraId="190F8B32" w14:textId="77777777" w:rsidR="003C12C0" w:rsidRDefault="003C12C0"/>
        </w:tc>
        <w:tc>
          <w:tcPr>
            <w:tcW w:w="2343" w:type="pct"/>
            <w:tcBorders>
              <w:top w:val="single" w:sz="4" w:space="0" w:color="000000"/>
              <w:left w:val="single" w:sz="4" w:space="0" w:color="000000"/>
              <w:bottom w:val="single" w:sz="4" w:space="0" w:color="000000"/>
              <w:right w:val="single" w:sz="4" w:space="0" w:color="000000"/>
            </w:tcBorders>
          </w:tcPr>
          <w:p w14:paraId="190F8B33" w14:textId="77777777" w:rsidR="003C12C0" w:rsidRDefault="00000000">
            <w:pPr>
              <w:pStyle w:val="TableText"/>
            </w:pPr>
            <w:r>
              <w:t>Allocations familiales</w:t>
            </w:r>
          </w:p>
        </w:tc>
      </w:tr>
      <w:tr w:rsidR="003C12C0" w14:paraId="190F8B38" w14:textId="77777777" w:rsidTr="00DF4DEA">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35" w14:textId="77777777" w:rsidR="003C12C0" w:rsidRDefault="00000000">
            <w:pPr>
              <w:pStyle w:val="TableText"/>
            </w:pPr>
            <w:r>
              <w:t>Maternité</w:t>
            </w:r>
          </w:p>
        </w:tc>
        <w:tc>
          <w:tcPr>
            <w:tcW w:w="871" w:type="pct"/>
            <w:tcBorders>
              <w:top w:val="single" w:sz="4" w:space="0" w:color="000000"/>
              <w:left w:val="single" w:sz="4" w:space="0" w:color="000000"/>
              <w:bottom w:val="single" w:sz="4" w:space="0" w:color="000000"/>
              <w:right w:val="single" w:sz="4" w:space="0" w:color="000000"/>
            </w:tcBorders>
          </w:tcPr>
          <w:p w14:paraId="190F8B36" w14:textId="77777777" w:rsidR="003C12C0" w:rsidRDefault="003C12C0"/>
        </w:tc>
        <w:tc>
          <w:tcPr>
            <w:tcW w:w="2343" w:type="pct"/>
            <w:tcBorders>
              <w:top w:val="single" w:sz="4" w:space="0" w:color="000000"/>
              <w:left w:val="single" w:sz="4" w:space="0" w:color="000000"/>
              <w:bottom w:val="single" w:sz="4" w:space="0" w:color="000000"/>
              <w:right w:val="single" w:sz="4" w:space="0" w:color="000000"/>
            </w:tcBorders>
          </w:tcPr>
          <w:p w14:paraId="190F8B37" w14:textId="77777777" w:rsidR="003C12C0" w:rsidRDefault="00000000">
            <w:pPr>
              <w:pStyle w:val="TableText"/>
            </w:pPr>
            <w:r>
              <w:t>Indemnités de maternité</w:t>
            </w:r>
          </w:p>
        </w:tc>
      </w:tr>
      <w:tr w:rsidR="003C12C0" w14:paraId="190F8B3C" w14:textId="77777777" w:rsidTr="00DF4DEA">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39" w14:textId="77777777" w:rsidR="003C12C0" w:rsidRDefault="00000000">
            <w:pPr>
              <w:pStyle w:val="TableText"/>
            </w:pPr>
            <w:r>
              <w:t>Soins de santé</w:t>
            </w:r>
          </w:p>
        </w:tc>
        <w:tc>
          <w:tcPr>
            <w:tcW w:w="871" w:type="pct"/>
            <w:tcBorders>
              <w:top w:val="single" w:sz="4" w:space="0" w:color="000000"/>
              <w:left w:val="single" w:sz="4" w:space="0" w:color="000000"/>
              <w:bottom w:val="single" w:sz="4" w:space="0" w:color="000000"/>
              <w:right w:val="single" w:sz="4" w:space="0" w:color="000000"/>
            </w:tcBorders>
          </w:tcPr>
          <w:p w14:paraId="190F8B3A" w14:textId="77777777" w:rsidR="003C12C0" w:rsidRDefault="003C12C0"/>
        </w:tc>
        <w:tc>
          <w:tcPr>
            <w:tcW w:w="2343" w:type="pct"/>
            <w:tcBorders>
              <w:top w:val="single" w:sz="4" w:space="0" w:color="000000"/>
              <w:left w:val="single" w:sz="4" w:space="0" w:color="000000"/>
              <w:bottom w:val="single" w:sz="4" w:space="0" w:color="000000"/>
              <w:right w:val="single" w:sz="4" w:space="0" w:color="000000"/>
            </w:tcBorders>
          </w:tcPr>
          <w:p w14:paraId="190F8B3B" w14:textId="77777777" w:rsidR="003C12C0" w:rsidRDefault="00000000">
            <w:pPr>
              <w:pStyle w:val="TableText"/>
            </w:pPr>
            <w:r>
              <w:t>Non gérée directement par la CNSS</w:t>
            </w:r>
          </w:p>
        </w:tc>
      </w:tr>
      <w:tr w:rsidR="003C12C0" w14:paraId="190F8B40" w14:textId="77777777" w:rsidTr="00DF4DEA">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3D" w14:textId="77777777" w:rsidR="003C12C0" w:rsidRDefault="00000000">
            <w:pPr>
              <w:pStyle w:val="TableText"/>
            </w:pPr>
            <w:r>
              <w:t>Chômage</w:t>
            </w:r>
          </w:p>
        </w:tc>
        <w:tc>
          <w:tcPr>
            <w:tcW w:w="871" w:type="pct"/>
            <w:tcBorders>
              <w:top w:val="single" w:sz="4" w:space="0" w:color="000000"/>
              <w:left w:val="single" w:sz="4" w:space="0" w:color="000000"/>
              <w:bottom w:val="single" w:sz="4" w:space="0" w:color="000000"/>
              <w:right w:val="single" w:sz="4" w:space="0" w:color="000000"/>
            </w:tcBorders>
          </w:tcPr>
          <w:p w14:paraId="190F8B3E" w14:textId="77777777" w:rsidR="003C12C0" w:rsidRDefault="003C12C0"/>
        </w:tc>
        <w:tc>
          <w:tcPr>
            <w:tcW w:w="2343" w:type="pct"/>
            <w:tcBorders>
              <w:top w:val="single" w:sz="4" w:space="0" w:color="000000"/>
              <w:left w:val="single" w:sz="4" w:space="0" w:color="000000"/>
              <w:bottom w:val="single" w:sz="4" w:space="0" w:color="000000"/>
              <w:right w:val="single" w:sz="4" w:space="0" w:color="000000"/>
            </w:tcBorders>
          </w:tcPr>
          <w:p w14:paraId="190F8B3F" w14:textId="77777777" w:rsidR="003C12C0" w:rsidRDefault="00000000">
            <w:pPr>
              <w:pStyle w:val="TableText"/>
            </w:pPr>
            <w:r>
              <w:t>Non couverte</w:t>
            </w:r>
          </w:p>
        </w:tc>
      </w:tr>
    </w:tbl>
    <w:p w14:paraId="190F8B41" w14:textId="77777777" w:rsidR="003C12C0" w:rsidRDefault="00000000">
      <w:r>
        <w:rPr>
          <w:b/>
          <w:bCs/>
        </w:rPr>
        <w:t>Population assujettie :</w:t>
      </w:r>
      <w:r>
        <w:t xml:space="preserve"> travailleurs salariés du secteur privé (formel), congolais et étrangers, exerçant sur le territoire national.</w:t>
      </w:r>
    </w:p>
    <w:p w14:paraId="190F8B42" w14:textId="77777777" w:rsidR="003C12C0" w:rsidRDefault="00000000">
      <w:pPr>
        <w:pStyle w:val="Heading2"/>
      </w:pPr>
      <w:bookmarkStart w:id="131" w:name="donnees-de-couverture"/>
      <w:bookmarkEnd w:id="130"/>
      <w:r>
        <w:t>Données de couverture</w:t>
      </w:r>
    </w:p>
    <w:tbl>
      <w:tblPr>
        <w:tblStyle w:val="ILOTable"/>
        <w:tblW w:w="5000" w:type="pct"/>
        <w:tblLook w:val="0020" w:firstRow="1" w:lastRow="0" w:firstColumn="0" w:lastColumn="0" w:noHBand="0" w:noVBand="0"/>
      </w:tblPr>
      <w:tblGrid>
        <w:gridCol w:w="4722"/>
        <w:gridCol w:w="927"/>
        <w:gridCol w:w="927"/>
        <w:gridCol w:w="927"/>
        <w:gridCol w:w="927"/>
        <w:gridCol w:w="630"/>
      </w:tblGrid>
      <w:tr w:rsidR="003C12C0" w14:paraId="190F8B49"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B43" w14:textId="77777777" w:rsidR="003C12C0"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90F8B44" w14:textId="77777777" w:rsidR="003C12C0"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90F8B45" w14:textId="77777777" w:rsidR="003C12C0"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90F8B46" w14:textId="77777777" w:rsidR="003C12C0"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90F8B47" w14:textId="77777777" w:rsidR="003C12C0"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90F8B48" w14:textId="77777777" w:rsidR="003C12C0" w:rsidRDefault="00000000">
            <w:pPr>
              <w:pStyle w:val="TableHeader"/>
            </w:pPr>
            <w:r>
              <w:t>2023</w:t>
            </w:r>
          </w:p>
        </w:tc>
      </w:tr>
      <w:tr w:rsidR="003C12C0" w14:paraId="190F8B50"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4A" w14:textId="77777777" w:rsidR="003C12C0" w:rsidRDefault="00000000">
            <w:pPr>
              <w:pStyle w:val="TableText"/>
            </w:pPr>
            <w:r>
              <w:t>Affiliés enregistrés</w:t>
            </w:r>
          </w:p>
        </w:tc>
        <w:tc>
          <w:tcPr>
            <w:tcW w:w="0" w:type="auto"/>
            <w:tcBorders>
              <w:top w:val="single" w:sz="4" w:space="0" w:color="000000"/>
              <w:left w:val="single" w:sz="4" w:space="0" w:color="000000"/>
              <w:bottom w:val="single" w:sz="4" w:space="0" w:color="000000"/>
              <w:right w:val="single" w:sz="4" w:space="0" w:color="000000"/>
            </w:tcBorders>
          </w:tcPr>
          <w:p w14:paraId="190F8B4B"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B4C"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B4D"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B4E"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B4F" w14:textId="77777777" w:rsidR="003C12C0" w:rsidRDefault="003C12C0"/>
        </w:tc>
      </w:tr>
      <w:tr w:rsidR="003C12C0" w14:paraId="190F8B57"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51" w14:textId="77777777" w:rsidR="003C12C0" w:rsidRDefault="00000000">
            <w:pPr>
              <w:pStyle w:val="TableText"/>
            </w:pPr>
            <w:r>
              <w:t>Cotisants actifs (contributeurs)</w:t>
            </w:r>
          </w:p>
        </w:tc>
        <w:tc>
          <w:tcPr>
            <w:tcW w:w="0" w:type="auto"/>
            <w:tcBorders>
              <w:top w:val="single" w:sz="4" w:space="0" w:color="000000"/>
              <w:left w:val="single" w:sz="4" w:space="0" w:color="000000"/>
              <w:bottom w:val="single" w:sz="4" w:space="0" w:color="000000"/>
              <w:right w:val="single" w:sz="4" w:space="0" w:color="000000"/>
            </w:tcBorders>
          </w:tcPr>
          <w:p w14:paraId="190F8B52" w14:textId="77777777" w:rsidR="003C12C0" w:rsidRDefault="00000000">
            <w:pPr>
              <w:pStyle w:val="TableText"/>
            </w:pPr>
            <w:r>
              <w:t>676 179</w:t>
            </w:r>
          </w:p>
        </w:tc>
        <w:tc>
          <w:tcPr>
            <w:tcW w:w="0" w:type="auto"/>
            <w:tcBorders>
              <w:top w:val="single" w:sz="4" w:space="0" w:color="000000"/>
              <w:left w:val="single" w:sz="4" w:space="0" w:color="000000"/>
              <w:bottom w:val="single" w:sz="4" w:space="0" w:color="000000"/>
              <w:right w:val="single" w:sz="4" w:space="0" w:color="000000"/>
            </w:tcBorders>
          </w:tcPr>
          <w:p w14:paraId="190F8B53" w14:textId="77777777" w:rsidR="003C12C0" w:rsidRDefault="00000000">
            <w:pPr>
              <w:pStyle w:val="TableText"/>
            </w:pPr>
            <w:r>
              <w:t>508 708</w:t>
            </w:r>
          </w:p>
        </w:tc>
        <w:tc>
          <w:tcPr>
            <w:tcW w:w="0" w:type="auto"/>
            <w:tcBorders>
              <w:top w:val="single" w:sz="4" w:space="0" w:color="000000"/>
              <w:left w:val="single" w:sz="4" w:space="0" w:color="000000"/>
              <w:bottom w:val="single" w:sz="4" w:space="0" w:color="000000"/>
              <w:right w:val="single" w:sz="4" w:space="0" w:color="000000"/>
            </w:tcBorders>
          </w:tcPr>
          <w:p w14:paraId="190F8B54" w14:textId="77777777" w:rsidR="003C12C0" w:rsidRDefault="00000000">
            <w:pPr>
              <w:pStyle w:val="TableText"/>
            </w:pPr>
            <w:r>
              <w:t>591 130</w:t>
            </w:r>
          </w:p>
        </w:tc>
        <w:tc>
          <w:tcPr>
            <w:tcW w:w="0" w:type="auto"/>
            <w:tcBorders>
              <w:top w:val="single" w:sz="4" w:space="0" w:color="000000"/>
              <w:left w:val="single" w:sz="4" w:space="0" w:color="000000"/>
              <w:bottom w:val="single" w:sz="4" w:space="0" w:color="000000"/>
              <w:right w:val="single" w:sz="4" w:space="0" w:color="000000"/>
            </w:tcBorders>
          </w:tcPr>
          <w:p w14:paraId="190F8B55" w14:textId="77777777" w:rsidR="003C12C0" w:rsidRDefault="00000000">
            <w:pPr>
              <w:pStyle w:val="TableText"/>
            </w:pPr>
            <w:r>
              <w:t>613 761</w:t>
            </w:r>
          </w:p>
        </w:tc>
        <w:tc>
          <w:tcPr>
            <w:tcW w:w="0" w:type="auto"/>
            <w:tcBorders>
              <w:top w:val="single" w:sz="4" w:space="0" w:color="000000"/>
              <w:left w:val="single" w:sz="4" w:space="0" w:color="000000"/>
              <w:bottom w:val="single" w:sz="4" w:space="0" w:color="000000"/>
              <w:right w:val="single" w:sz="4" w:space="0" w:color="000000"/>
            </w:tcBorders>
          </w:tcPr>
          <w:p w14:paraId="190F8B56" w14:textId="77777777" w:rsidR="003C12C0" w:rsidRDefault="003C12C0"/>
        </w:tc>
      </w:tr>
      <w:tr w:rsidR="003C12C0" w14:paraId="190F8B5E"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58" w14:textId="77777777" w:rsidR="003C12C0" w:rsidRDefault="00000000">
            <w:pPr>
              <w:pStyle w:val="TableText"/>
            </w:pPr>
            <w:r>
              <w:t>Bénéficiaires de pensions (vieillesse + invalidité)</w:t>
            </w:r>
          </w:p>
        </w:tc>
        <w:tc>
          <w:tcPr>
            <w:tcW w:w="0" w:type="auto"/>
            <w:tcBorders>
              <w:top w:val="single" w:sz="4" w:space="0" w:color="000000"/>
              <w:left w:val="single" w:sz="4" w:space="0" w:color="000000"/>
              <w:bottom w:val="single" w:sz="4" w:space="0" w:color="000000"/>
              <w:right w:val="single" w:sz="4" w:space="0" w:color="000000"/>
            </w:tcBorders>
          </w:tcPr>
          <w:p w14:paraId="190F8B59"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B5A"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B5B"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B5C"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B5D" w14:textId="77777777" w:rsidR="003C12C0" w:rsidRDefault="003C12C0"/>
        </w:tc>
      </w:tr>
      <w:tr w:rsidR="003C12C0" w14:paraId="190F8B65"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5F" w14:textId="77777777" w:rsidR="003C12C0" w:rsidRDefault="00000000">
            <w:pPr>
              <w:pStyle w:val="TableText"/>
            </w:pPr>
            <w:r>
              <w:t>Bénéficiaires AT/MP (rentes d'incapacité)</w:t>
            </w:r>
          </w:p>
        </w:tc>
        <w:tc>
          <w:tcPr>
            <w:tcW w:w="0" w:type="auto"/>
            <w:tcBorders>
              <w:top w:val="single" w:sz="4" w:space="0" w:color="000000"/>
              <w:left w:val="single" w:sz="4" w:space="0" w:color="000000"/>
              <w:bottom w:val="single" w:sz="4" w:space="0" w:color="000000"/>
              <w:right w:val="single" w:sz="4" w:space="0" w:color="000000"/>
            </w:tcBorders>
          </w:tcPr>
          <w:p w14:paraId="190F8B60" w14:textId="77777777" w:rsidR="003C12C0" w:rsidRDefault="00000000">
            <w:pPr>
              <w:pStyle w:val="TableText"/>
            </w:pPr>
            <w:r>
              <w:t>1 082</w:t>
            </w:r>
          </w:p>
        </w:tc>
        <w:tc>
          <w:tcPr>
            <w:tcW w:w="0" w:type="auto"/>
            <w:tcBorders>
              <w:top w:val="single" w:sz="4" w:space="0" w:color="000000"/>
              <w:left w:val="single" w:sz="4" w:space="0" w:color="000000"/>
              <w:bottom w:val="single" w:sz="4" w:space="0" w:color="000000"/>
              <w:right w:val="single" w:sz="4" w:space="0" w:color="000000"/>
            </w:tcBorders>
          </w:tcPr>
          <w:p w14:paraId="190F8B61" w14:textId="77777777" w:rsidR="003C12C0" w:rsidRDefault="00000000">
            <w:pPr>
              <w:pStyle w:val="TableText"/>
            </w:pPr>
            <w:r>
              <w:t>1 020</w:t>
            </w:r>
          </w:p>
        </w:tc>
        <w:tc>
          <w:tcPr>
            <w:tcW w:w="0" w:type="auto"/>
            <w:tcBorders>
              <w:top w:val="single" w:sz="4" w:space="0" w:color="000000"/>
              <w:left w:val="single" w:sz="4" w:space="0" w:color="000000"/>
              <w:bottom w:val="single" w:sz="4" w:space="0" w:color="000000"/>
              <w:right w:val="single" w:sz="4" w:space="0" w:color="000000"/>
            </w:tcBorders>
          </w:tcPr>
          <w:p w14:paraId="190F8B62" w14:textId="77777777" w:rsidR="003C12C0" w:rsidRDefault="00000000">
            <w:pPr>
              <w:pStyle w:val="TableText"/>
            </w:pPr>
            <w:r>
              <w:t>955</w:t>
            </w:r>
          </w:p>
        </w:tc>
        <w:tc>
          <w:tcPr>
            <w:tcW w:w="0" w:type="auto"/>
            <w:tcBorders>
              <w:top w:val="single" w:sz="4" w:space="0" w:color="000000"/>
              <w:left w:val="single" w:sz="4" w:space="0" w:color="000000"/>
              <w:bottom w:val="single" w:sz="4" w:space="0" w:color="000000"/>
              <w:right w:val="single" w:sz="4" w:space="0" w:color="000000"/>
            </w:tcBorders>
          </w:tcPr>
          <w:p w14:paraId="190F8B63" w14:textId="77777777" w:rsidR="003C12C0" w:rsidRDefault="00000000">
            <w:pPr>
              <w:pStyle w:val="TableText"/>
            </w:pPr>
            <w:r>
              <w:t>1 053</w:t>
            </w:r>
          </w:p>
        </w:tc>
        <w:tc>
          <w:tcPr>
            <w:tcW w:w="0" w:type="auto"/>
            <w:tcBorders>
              <w:top w:val="single" w:sz="4" w:space="0" w:color="000000"/>
              <w:left w:val="single" w:sz="4" w:space="0" w:color="000000"/>
              <w:bottom w:val="single" w:sz="4" w:space="0" w:color="000000"/>
              <w:right w:val="single" w:sz="4" w:space="0" w:color="000000"/>
            </w:tcBorders>
          </w:tcPr>
          <w:p w14:paraId="190F8B64" w14:textId="77777777" w:rsidR="003C12C0" w:rsidRDefault="003C12C0"/>
        </w:tc>
      </w:tr>
      <w:tr w:rsidR="003C12C0" w14:paraId="190F8B6C"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66" w14:textId="77777777" w:rsidR="003C12C0" w:rsidRDefault="00000000">
            <w:pPr>
              <w:pStyle w:val="TableText"/>
            </w:pPr>
            <w:r>
              <w:t>Bénéficiaires AT/MP (rentes de survivant)</w:t>
            </w:r>
          </w:p>
        </w:tc>
        <w:tc>
          <w:tcPr>
            <w:tcW w:w="0" w:type="auto"/>
            <w:tcBorders>
              <w:top w:val="single" w:sz="4" w:space="0" w:color="000000"/>
              <w:left w:val="single" w:sz="4" w:space="0" w:color="000000"/>
              <w:bottom w:val="single" w:sz="4" w:space="0" w:color="000000"/>
              <w:right w:val="single" w:sz="4" w:space="0" w:color="000000"/>
            </w:tcBorders>
          </w:tcPr>
          <w:p w14:paraId="190F8B67" w14:textId="77777777" w:rsidR="003C12C0" w:rsidRDefault="00000000">
            <w:pPr>
              <w:pStyle w:val="TableText"/>
            </w:pPr>
            <w:r>
              <w:t>1 476</w:t>
            </w:r>
          </w:p>
        </w:tc>
        <w:tc>
          <w:tcPr>
            <w:tcW w:w="0" w:type="auto"/>
            <w:tcBorders>
              <w:top w:val="single" w:sz="4" w:space="0" w:color="000000"/>
              <w:left w:val="single" w:sz="4" w:space="0" w:color="000000"/>
              <w:bottom w:val="single" w:sz="4" w:space="0" w:color="000000"/>
              <w:right w:val="single" w:sz="4" w:space="0" w:color="000000"/>
            </w:tcBorders>
          </w:tcPr>
          <w:p w14:paraId="190F8B68" w14:textId="77777777" w:rsidR="003C12C0" w:rsidRDefault="00000000">
            <w:pPr>
              <w:pStyle w:val="TableText"/>
            </w:pPr>
            <w:r>
              <w:t>1 608</w:t>
            </w:r>
          </w:p>
        </w:tc>
        <w:tc>
          <w:tcPr>
            <w:tcW w:w="0" w:type="auto"/>
            <w:tcBorders>
              <w:top w:val="single" w:sz="4" w:space="0" w:color="000000"/>
              <w:left w:val="single" w:sz="4" w:space="0" w:color="000000"/>
              <w:bottom w:val="single" w:sz="4" w:space="0" w:color="000000"/>
              <w:right w:val="single" w:sz="4" w:space="0" w:color="000000"/>
            </w:tcBorders>
          </w:tcPr>
          <w:p w14:paraId="190F8B69" w14:textId="77777777" w:rsidR="003C12C0" w:rsidRDefault="00000000">
            <w:pPr>
              <w:pStyle w:val="TableText"/>
            </w:pPr>
            <w:r>
              <w:t>1 845</w:t>
            </w:r>
          </w:p>
        </w:tc>
        <w:tc>
          <w:tcPr>
            <w:tcW w:w="0" w:type="auto"/>
            <w:tcBorders>
              <w:top w:val="single" w:sz="4" w:space="0" w:color="000000"/>
              <w:left w:val="single" w:sz="4" w:space="0" w:color="000000"/>
              <w:bottom w:val="single" w:sz="4" w:space="0" w:color="000000"/>
              <w:right w:val="single" w:sz="4" w:space="0" w:color="000000"/>
            </w:tcBorders>
          </w:tcPr>
          <w:p w14:paraId="190F8B6A" w14:textId="77777777" w:rsidR="003C12C0" w:rsidRDefault="00000000">
            <w:pPr>
              <w:pStyle w:val="TableText"/>
            </w:pPr>
            <w:r>
              <w:t>1 781</w:t>
            </w:r>
          </w:p>
        </w:tc>
        <w:tc>
          <w:tcPr>
            <w:tcW w:w="0" w:type="auto"/>
            <w:tcBorders>
              <w:top w:val="single" w:sz="4" w:space="0" w:color="000000"/>
              <w:left w:val="single" w:sz="4" w:space="0" w:color="000000"/>
              <w:bottom w:val="single" w:sz="4" w:space="0" w:color="000000"/>
              <w:right w:val="single" w:sz="4" w:space="0" w:color="000000"/>
            </w:tcBorders>
          </w:tcPr>
          <w:p w14:paraId="190F8B6B" w14:textId="77777777" w:rsidR="003C12C0" w:rsidRDefault="003C12C0"/>
        </w:tc>
      </w:tr>
      <w:tr w:rsidR="003C12C0" w14:paraId="190F8B73"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6D" w14:textId="77777777" w:rsidR="003C12C0" w:rsidRDefault="00000000">
            <w:pPr>
              <w:pStyle w:val="TableText"/>
            </w:pPr>
            <w:r>
              <w:lastRenderedPageBreak/>
              <w:t>Bénéficiaires d'allocations familiales</w:t>
            </w:r>
          </w:p>
        </w:tc>
        <w:tc>
          <w:tcPr>
            <w:tcW w:w="0" w:type="auto"/>
            <w:tcBorders>
              <w:top w:val="single" w:sz="4" w:space="0" w:color="000000"/>
              <w:left w:val="single" w:sz="4" w:space="0" w:color="000000"/>
              <w:bottom w:val="single" w:sz="4" w:space="0" w:color="000000"/>
              <w:right w:val="single" w:sz="4" w:space="0" w:color="000000"/>
            </w:tcBorders>
          </w:tcPr>
          <w:p w14:paraId="190F8B6E"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B6F"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B70"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B71"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B72" w14:textId="77777777" w:rsidR="003C12C0" w:rsidRDefault="003C12C0"/>
        </w:tc>
      </w:tr>
    </w:tbl>
    <w:p w14:paraId="190F8B74" w14:textId="77777777" w:rsidR="003C12C0" w:rsidRDefault="00000000">
      <w:r>
        <w:rPr>
          <w:i/>
          <w:iCs/>
        </w:rPr>
        <w:t>Sources : premier Bulletin statistique RDC (2023) pour 20192022. Données 2023 à transmettre par la CNSS.</w:t>
      </w:r>
    </w:p>
    <w:p w14:paraId="190F8B75" w14:textId="77777777" w:rsidR="003C12C0" w:rsidRDefault="00000000">
      <w:pPr>
        <w:pStyle w:val="Heading2"/>
      </w:pPr>
      <w:bookmarkStart w:id="132" w:name="evolutions-et-reformes-en-cours"/>
      <w:bookmarkEnd w:id="131"/>
      <w:r>
        <w:t>Évolutions et réformes en cours</w:t>
      </w:r>
    </w:p>
    <w:p w14:paraId="190F8B76" w14:textId="77777777" w:rsidR="003C12C0" w:rsidRDefault="00000000">
      <w:r>
        <w:t>Le nombre de cotisants actifs à la CNSS a enregistré une baisse significative en 2020 (24,7 %), passant de 676 179 à 508 708, sous l'effet de la pandémie de COVID-19. Une reprise progressive a été observée dès 2021 (+16,2 %), puis en 2022 (+3,8 %), portant le total à 613 761 cotisants. La couverture n'a cependant pas encore retrouvé son niveau d'avant-crise.</w:t>
      </w:r>
    </w:p>
    <w:p w14:paraId="190F8B77" w14:textId="77777777" w:rsidR="003C12C0" w:rsidRDefault="00000000">
      <w:r>
        <w:rPr>
          <w:i/>
          <w:iCs/>
        </w:rPr>
        <w:t>[À compléter : réformes législatives récentes, extension géographique, informatisation du registre, etc.]</w:t>
      </w:r>
    </w:p>
    <w:p w14:paraId="190F8B78" w14:textId="77777777" w:rsidR="003C12C0" w:rsidRDefault="00000000">
      <w:pPr>
        <w:pStyle w:val="Heading1"/>
      </w:pPr>
      <w:bookmarkStart w:id="133" w:name="X3f03b1681aa93e593fecf9568ba9c9c3c6dbef6"/>
      <w:bookmarkEnd w:id="128"/>
      <w:bookmarkEnd w:id="132"/>
      <w:r>
        <w:lastRenderedPageBreak/>
        <w:t>B.2 Caisse Nationale de Sécurité Sociale des Agents Publics de l'État (CNSSAP)</w:t>
      </w:r>
    </w:p>
    <w:p w14:paraId="190F8B79" w14:textId="77777777" w:rsidR="003C12C0" w:rsidRDefault="00000000">
      <w:pPr>
        <w:pStyle w:val="Heading2"/>
      </w:pPr>
      <w:bookmarkStart w:id="134" w:name="cadre-juridique-et-institutionnel_1"/>
      <w:r>
        <w:t>Cadre juridique et institutionnel</w:t>
      </w:r>
    </w:p>
    <w:tbl>
      <w:tblPr>
        <w:tblStyle w:val="ILOTable"/>
        <w:tblW w:w="5000" w:type="pct"/>
        <w:tblLook w:val="0020" w:firstRow="1" w:lastRow="0" w:firstColumn="0" w:lastColumn="0" w:noHBand="0" w:noVBand="0"/>
      </w:tblPr>
      <w:tblGrid>
        <w:gridCol w:w="2213"/>
        <w:gridCol w:w="6847"/>
      </w:tblGrid>
      <w:tr w:rsidR="003C12C0" w14:paraId="190F8B7C"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B7A" w14:textId="77777777" w:rsidR="003C12C0" w:rsidRDefault="00000000">
            <w:pPr>
              <w:pStyle w:val="TableHeader"/>
            </w:pPr>
            <w:r>
              <w:t>Élément</w:t>
            </w:r>
          </w:p>
        </w:tc>
        <w:tc>
          <w:tcPr>
            <w:tcW w:w="0" w:type="auto"/>
            <w:tcBorders>
              <w:top w:val="single" w:sz="4" w:space="0" w:color="000000"/>
              <w:left w:val="single" w:sz="4" w:space="0" w:color="000000"/>
              <w:bottom w:val="single" w:sz="4" w:space="0" w:color="000000"/>
              <w:right w:val="single" w:sz="4" w:space="0" w:color="000000"/>
            </w:tcBorders>
          </w:tcPr>
          <w:p w14:paraId="190F8B7B" w14:textId="77777777" w:rsidR="003C12C0" w:rsidRDefault="00000000">
            <w:pPr>
              <w:pStyle w:val="TableHeader"/>
            </w:pPr>
            <w:r>
              <w:t>Détail</w:t>
            </w:r>
          </w:p>
        </w:tc>
      </w:tr>
      <w:tr w:rsidR="003C12C0" w14:paraId="190F8B7F"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7D" w14:textId="77777777" w:rsidR="003C12C0" w:rsidRDefault="00000000">
            <w:pPr>
              <w:pStyle w:val="TableText"/>
            </w:pPr>
            <w:r>
              <w:t>Texte fondateur</w:t>
            </w:r>
          </w:p>
        </w:tc>
        <w:tc>
          <w:tcPr>
            <w:tcW w:w="0" w:type="auto"/>
            <w:tcBorders>
              <w:top w:val="single" w:sz="4" w:space="0" w:color="000000"/>
              <w:left w:val="single" w:sz="4" w:space="0" w:color="000000"/>
              <w:bottom w:val="single" w:sz="4" w:space="0" w:color="000000"/>
              <w:right w:val="single" w:sz="4" w:space="0" w:color="000000"/>
            </w:tcBorders>
          </w:tcPr>
          <w:p w14:paraId="190F8B7E" w14:textId="77777777" w:rsidR="003C12C0" w:rsidRDefault="00000000">
            <w:pPr>
              <w:pStyle w:val="TableText"/>
            </w:pPr>
            <w:r>
              <w:t>Décret n° 15/031 du 14 décembre 2015</w:t>
            </w:r>
          </w:p>
        </w:tc>
      </w:tr>
      <w:tr w:rsidR="003C12C0" w14:paraId="190F8B82"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80" w14:textId="77777777" w:rsidR="003C12C0" w:rsidRDefault="00000000">
            <w:pPr>
              <w:pStyle w:val="TableText"/>
            </w:pPr>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190F8B81" w14:textId="77777777" w:rsidR="003C12C0" w:rsidRDefault="00000000">
            <w:pPr>
              <w:pStyle w:val="TableText"/>
            </w:pPr>
            <w:r>
              <w:t>Ministère de la Santé Publique, Hygiène et Prévoyance Sociale</w:t>
            </w:r>
          </w:p>
        </w:tc>
      </w:tr>
      <w:tr w:rsidR="003C12C0" w14:paraId="190F8B85"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83" w14:textId="77777777" w:rsidR="003C12C0" w:rsidRDefault="00000000">
            <w:pPr>
              <w:pStyle w:val="TableText"/>
            </w:pPr>
            <w:r>
              <w:t>Statut juridique</w:t>
            </w:r>
          </w:p>
        </w:tc>
        <w:tc>
          <w:tcPr>
            <w:tcW w:w="0" w:type="auto"/>
            <w:tcBorders>
              <w:top w:val="single" w:sz="4" w:space="0" w:color="000000"/>
              <w:left w:val="single" w:sz="4" w:space="0" w:color="000000"/>
              <w:bottom w:val="single" w:sz="4" w:space="0" w:color="000000"/>
              <w:right w:val="single" w:sz="4" w:space="0" w:color="000000"/>
            </w:tcBorders>
          </w:tcPr>
          <w:p w14:paraId="190F8B84" w14:textId="77777777" w:rsidR="003C12C0" w:rsidRDefault="00000000">
            <w:pPr>
              <w:pStyle w:val="TableText"/>
            </w:pPr>
            <w:r>
              <w:t>Établissement public à caractère administratif</w:t>
            </w:r>
          </w:p>
        </w:tc>
      </w:tr>
      <w:tr w:rsidR="003C12C0" w14:paraId="190F8B88"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86" w14:textId="77777777" w:rsidR="003C12C0" w:rsidRDefault="00000000">
            <w:pPr>
              <w:pStyle w:val="TableText"/>
            </w:pPr>
            <w:r>
              <w:t>Année de création</w:t>
            </w:r>
          </w:p>
        </w:tc>
        <w:tc>
          <w:tcPr>
            <w:tcW w:w="0" w:type="auto"/>
            <w:tcBorders>
              <w:top w:val="single" w:sz="4" w:space="0" w:color="000000"/>
              <w:left w:val="single" w:sz="4" w:space="0" w:color="000000"/>
              <w:bottom w:val="single" w:sz="4" w:space="0" w:color="000000"/>
              <w:right w:val="single" w:sz="4" w:space="0" w:color="000000"/>
            </w:tcBorders>
          </w:tcPr>
          <w:p w14:paraId="190F8B87" w14:textId="77777777" w:rsidR="003C12C0" w:rsidRDefault="00000000">
            <w:pPr>
              <w:pStyle w:val="TableText"/>
            </w:pPr>
            <w:r>
              <w:t>2015</w:t>
            </w:r>
          </w:p>
        </w:tc>
      </w:tr>
    </w:tbl>
    <w:p w14:paraId="190F8B89" w14:textId="77777777" w:rsidR="003C12C0" w:rsidRDefault="00000000">
      <w:pPr>
        <w:pStyle w:val="Heading2"/>
      </w:pPr>
      <w:bookmarkStart w:id="135" w:name="mission-et-branches-couvertes_1"/>
      <w:bookmarkEnd w:id="134"/>
      <w:r>
        <w:t>Mission et branches couvertes</w:t>
      </w:r>
    </w:p>
    <w:p w14:paraId="190F8B8A" w14:textId="77777777" w:rsidR="003C12C0" w:rsidRDefault="00000000">
      <w:r>
        <w:t>La CNSSAP a pour mission de coordonner et d'administrer les prestations de sécurité sociale pour les agents publics de l'État et leurs ayants droit.</w:t>
      </w:r>
    </w:p>
    <w:tbl>
      <w:tblPr>
        <w:tblStyle w:val="ILOTable"/>
        <w:tblW w:w="5000" w:type="pct"/>
        <w:tblLook w:val="0020" w:firstRow="1" w:lastRow="0" w:firstColumn="0" w:lastColumn="0" w:noHBand="0" w:noVBand="0"/>
      </w:tblPr>
      <w:tblGrid>
        <w:gridCol w:w="4549"/>
        <w:gridCol w:w="1052"/>
        <w:gridCol w:w="3459"/>
      </w:tblGrid>
      <w:tr w:rsidR="003C12C0" w14:paraId="190F8B8E"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B8B" w14:textId="77777777" w:rsidR="003C12C0" w:rsidRDefault="00000000">
            <w:pPr>
              <w:pStyle w:val="TableHeader"/>
            </w:pPr>
            <w:r>
              <w:t>Branche</w:t>
            </w:r>
          </w:p>
        </w:tc>
        <w:tc>
          <w:tcPr>
            <w:tcW w:w="0" w:type="auto"/>
            <w:tcBorders>
              <w:top w:val="single" w:sz="4" w:space="0" w:color="000000"/>
              <w:left w:val="single" w:sz="4" w:space="0" w:color="000000"/>
              <w:bottom w:val="single" w:sz="4" w:space="0" w:color="000000"/>
              <w:right w:val="single" w:sz="4" w:space="0" w:color="000000"/>
            </w:tcBorders>
          </w:tcPr>
          <w:p w14:paraId="190F8B8C" w14:textId="77777777" w:rsidR="003C12C0" w:rsidRDefault="00000000">
            <w:pPr>
              <w:pStyle w:val="TableHeader"/>
            </w:pPr>
            <w:r>
              <w:t>Couverte ?</w:t>
            </w:r>
          </w:p>
        </w:tc>
        <w:tc>
          <w:tcPr>
            <w:tcW w:w="0" w:type="auto"/>
            <w:tcBorders>
              <w:top w:val="single" w:sz="4" w:space="0" w:color="000000"/>
              <w:left w:val="single" w:sz="4" w:space="0" w:color="000000"/>
              <w:bottom w:val="single" w:sz="4" w:space="0" w:color="000000"/>
              <w:right w:val="single" w:sz="4" w:space="0" w:color="000000"/>
            </w:tcBorders>
          </w:tcPr>
          <w:p w14:paraId="190F8B8D" w14:textId="77777777" w:rsidR="003C12C0" w:rsidRDefault="00000000">
            <w:pPr>
              <w:pStyle w:val="TableHeader"/>
            </w:pPr>
            <w:r>
              <w:t>Note</w:t>
            </w:r>
          </w:p>
        </w:tc>
      </w:tr>
      <w:tr w:rsidR="003C12C0" w14:paraId="190F8B92"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8F" w14:textId="77777777" w:rsidR="003C12C0" w:rsidRDefault="00000000">
            <w:pPr>
              <w:pStyle w:val="TableText"/>
            </w:pPr>
            <w:r>
              <w:t>Vieillesse, invalidité, décès</w:t>
            </w:r>
          </w:p>
        </w:tc>
        <w:tc>
          <w:tcPr>
            <w:tcW w:w="0" w:type="auto"/>
            <w:tcBorders>
              <w:top w:val="single" w:sz="4" w:space="0" w:color="000000"/>
              <w:left w:val="single" w:sz="4" w:space="0" w:color="000000"/>
              <w:bottom w:val="single" w:sz="4" w:space="0" w:color="000000"/>
              <w:right w:val="single" w:sz="4" w:space="0" w:color="000000"/>
            </w:tcBorders>
          </w:tcPr>
          <w:p w14:paraId="190F8B90"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B91" w14:textId="77777777" w:rsidR="003C12C0" w:rsidRDefault="00000000">
            <w:pPr>
              <w:pStyle w:val="TableText"/>
            </w:pPr>
            <w:r>
              <w:t>En cours de déploiement</w:t>
            </w:r>
          </w:p>
        </w:tc>
      </w:tr>
      <w:tr w:rsidR="003C12C0" w14:paraId="190F8B96"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93" w14:textId="77777777" w:rsidR="003C12C0" w:rsidRDefault="00000000">
            <w:pPr>
              <w:pStyle w:val="TableText"/>
            </w:pPr>
            <w:r>
              <w:t>Accidents du travail / maladies professionnelles (AT/MP)</w:t>
            </w:r>
          </w:p>
        </w:tc>
        <w:tc>
          <w:tcPr>
            <w:tcW w:w="0" w:type="auto"/>
            <w:tcBorders>
              <w:top w:val="single" w:sz="4" w:space="0" w:color="000000"/>
              <w:left w:val="single" w:sz="4" w:space="0" w:color="000000"/>
              <w:bottom w:val="single" w:sz="4" w:space="0" w:color="000000"/>
              <w:right w:val="single" w:sz="4" w:space="0" w:color="000000"/>
            </w:tcBorders>
          </w:tcPr>
          <w:p w14:paraId="190F8B94"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B95" w14:textId="77777777" w:rsidR="003C12C0" w:rsidRDefault="00000000">
            <w:pPr>
              <w:pStyle w:val="TableText"/>
            </w:pPr>
            <w:r>
              <w:t>Branche officiellement lancée en mai 2023</w:t>
            </w:r>
          </w:p>
        </w:tc>
      </w:tr>
      <w:tr w:rsidR="003C12C0" w14:paraId="190F8B9A"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97" w14:textId="77777777" w:rsidR="003C12C0" w:rsidRDefault="00000000">
            <w:pPr>
              <w:pStyle w:val="TableText"/>
            </w:pPr>
            <w:r>
              <w:t>Prestations familiales</w:t>
            </w:r>
          </w:p>
        </w:tc>
        <w:tc>
          <w:tcPr>
            <w:tcW w:w="0" w:type="auto"/>
            <w:tcBorders>
              <w:top w:val="single" w:sz="4" w:space="0" w:color="000000"/>
              <w:left w:val="single" w:sz="4" w:space="0" w:color="000000"/>
              <w:bottom w:val="single" w:sz="4" w:space="0" w:color="000000"/>
              <w:right w:val="single" w:sz="4" w:space="0" w:color="000000"/>
            </w:tcBorders>
          </w:tcPr>
          <w:p w14:paraId="190F8B98"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B99" w14:textId="77777777" w:rsidR="003C12C0" w:rsidRDefault="003C12C0"/>
        </w:tc>
      </w:tr>
      <w:tr w:rsidR="003C12C0" w14:paraId="190F8B9E"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9B" w14:textId="77777777" w:rsidR="003C12C0" w:rsidRDefault="00000000">
            <w:pPr>
              <w:pStyle w:val="TableText"/>
            </w:pPr>
            <w:r>
              <w:t>Maternité</w:t>
            </w:r>
          </w:p>
        </w:tc>
        <w:tc>
          <w:tcPr>
            <w:tcW w:w="0" w:type="auto"/>
            <w:tcBorders>
              <w:top w:val="single" w:sz="4" w:space="0" w:color="000000"/>
              <w:left w:val="single" w:sz="4" w:space="0" w:color="000000"/>
              <w:bottom w:val="single" w:sz="4" w:space="0" w:color="000000"/>
              <w:right w:val="single" w:sz="4" w:space="0" w:color="000000"/>
            </w:tcBorders>
          </w:tcPr>
          <w:p w14:paraId="190F8B9C"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B9D" w14:textId="77777777" w:rsidR="003C12C0" w:rsidRDefault="003C12C0"/>
        </w:tc>
      </w:tr>
      <w:tr w:rsidR="003C12C0" w14:paraId="190F8BA2"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9F" w14:textId="77777777" w:rsidR="003C12C0" w:rsidRDefault="00000000">
            <w:pPr>
              <w:pStyle w:val="TableText"/>
            </w:pPr>
            <w:r>
              <w:t>Soins de santé</w:t>
            </w:r>
          </w:p>
        </w:tc>
        <w:tc>
          <w:tcPr>
            <w:tcW w:w="0" w:type="auto"/>
            <w:tcBorders>
              <w:top w:val="single" w:sz="4" w:space="0" w:color="000000"/>
              <w:left w:val="single" w:sz="4" w:space="0" w:color="000000"/>
              <w:bottom w:val="single" w:sz="4" w:space="0" w:color="000000"/>
              <w:right w:val="single" w:sz="4" w:space="0" w:color="000000"/>
            </w:tcBorders>
          </w:tcPr>
          <w:p w14:paraId="190F8BA0"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BA1" w14:textId="77777777" w:rsidR="003C12C0" w:rsidRDefault="00000000">
            <w:pPr>
              <w:pStyle w:val="TableText"/>
            </w:pPr>
            <w:r>
              <w:t>Non gérée directement</w:t>
            </w:r>
          </w:p>
        </w:tc>
      </w:tr>
      <w:tr w:rsidR="003C12C0" w14:paraId="190F8BA6"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A3" w14:textId="77777777" w:rsidR="003C12C0" w:rsidRDefault="00000000">
            <w:pPr>
              <w:pStyle w:val="TableText"/>
            </w:pPr>
            <w:r>
              <w:t>Chômage</w:t>
            </w:r>
          </w:p>
        </w:tc>
        <w:tc>
          <w:tcPr>
            <w:tcW w:w="0" w:type="auto"/>
            <w:tcBorders>
              <w:top w:val="single" w:sz="4" w:space="0" w:color="000000"/>
              <w:left w:val="single" w:sz="4" w:space="0" w:color="000000"/>
              <w:bottom w:val="single" w:sz="4" w:space="0" w:color="000000"/>
              <w:right w:val="single" w:sz="4" w:space="0" w:color="000000"/>
            </w:tcBorders>
          </w:tcPr>
          <w:p w14:paraId="190F8BA4"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BA5" w14:textId="77777777" w:rsidR="003C12C0" w:rsidRDefault="00000000">
            <w:pPr>
              <w:pStyle w:val="TableText"/>
            </w:pPr>
            <w:r>
              <w:t>Non couverte</w:t>
            </w:r>
          </w:p>
        </w:tc>
      </w:tr>
    </w:tbl>
    <w:p w14:paraId="190F8BA7" w14:textId="77777777" w:rsidR="003C12C0" w:rsidRDefault="00000000">
      <w:r>
        <w:rPr>
          <w:b/>
          <w:bCs/>
        </w:rPr>
        <w:t>Population assujettie :</w:t>
      </w:r>
      <w:r>
        <w:t xml:space="preserve"> agents de carrière des services publics de l'État, fonctionnaires contractuels, stagiaires et apprentis sous contrat. Les militaires et policiers relèvent de régimes spéciaux distincts.</w:t>
      </w:r>
    </w:p>
    <w:p w14:paraId="190F8BA8" w14:textId="77777777" w:rsidR="003C12C0" w:rsidRDefault="00000000">
      <w:pPr>
        <w:pStyle w:val="Heading2"/>
      </w:pPr>
      <w:bookmarkStart w:id="136" w:name="donnees-de-couverture_1"/>
      <w:bookmarkEnd w:id="135"/>
      <w:r>
        <w:t>Données de couverture</w:t>
      </w:r>
    </w:p>
    <w:tbl>
      <w:tblPr>
        <w:tblStyle w:val="ILOTable"/>
        <w:tblW w:w="5000" w:type="pct"/>
        <w:tblLook w:val="0020" w:firstRow="1" w:lastRow="0" w:firstColumn="0" w:lastColumn="0" w:noHBand="0" w:noVBand="0"/>
      </w:tblPr>
      <w:tblGrid>
        <w:gridCol w:w="3607"/>
        <w:gridCol w:w="1289"/>
        <w:gridCol w:w="1123"/>
        <w:gridCol w:w="876"/>
        <w:gridCol w:w="1289"/>
        <w:gridCol w:w="876"/>
      </w:tblGrid>
      <w:tr w:rsidR="003C12C0" w14:paraId="190F8BAF"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BA9" w14:textId="77777777" w:rsidR="003C12C0"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90F8BAA" w14:textId="77777777" w:rsidR="003C12C0"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90F8BAB" w14:textId="77777777" w:rsidR="003C12C0"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90F8BAC" w14:textId="77777777" w:rsidR="003C12C0"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90F8BAD" w14:textId="77777777" w:rsidR="003C12C0"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90F8BAE" w14:textId="77777777" w:rsidR="003C12C0" w:rsidRDefault="00000000">
            <w:pPr>
              <w:pStyle w:val="TableHeader"/>
            </w:pPr>
            <w:r>
              <w:t>2023</w:t>
            </w:r>
          </w:p>
        </w:tc>
      </w:tr>
      <w:tr w:rsidR="003C12C0" w14:paraId="190F8BB6"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B0" w14:textId="77777777" w:rsidR="003C12C0" w:rsidRDefault="00000000">
            <w:pPr>
              <w:pStyle w:val="TableText"/>
            </w:pPr>
            <w:r>
              <w:t>Contributeurs actifs (total)</w:t>
            </w:r>
          </w:p>
        </w:tc>
        <w:tc>
          <w:tcPr>
            <w:tcW w:w="0" w:type="auto"/>
            <w:tcBorders>
              <w:top w:val="single" w:sz="4" w:space="0" w:color="000000"/>
              <w:left w:val="single" w:sz="4" w:space="0" w:color="000000"/>
              <w:bottom w:val="single" w:sz="4" w:space="0" w:color="000000"/>
              <w:right w:val="single" w:sz="4" w:space="0" w:color="000000"/>
            </w:tcBorders>
          </w:tcPr>
          <w:p w14:paraId="190F8BB1" w14:textId="77777777" w:rsidR="003C12C0" w:rsidRDefault="00000000">
            <w:pPr>
              <w:pStyle w:val="TableText"/>
            </w:pPr>
            <w:r>
              <w:t>172 204</w:t>
            </w:r>
          </w:p>
        </w:tc>
        <w:tc>
          <w:tcPr>
            <w:tcW w:w="0" w:type="auto"/>
            <w:tcBorders>
              <w:top w:val="single" w:sz="4" w:space="0" w:color="000000"/>
              <w:left w:val="single" w:sz="4" w:space="0" w:color="000000"/>
              <w:bottom w:val="single" w:sz="4" w:space="0" w:color="000000"/>
              <w:right w:val="single" w:sz="4" w:space="0" w:color="000000"/>
            </w:tcBorders>
          </w:tcPr>
          <w:p w14:paraId="190F8BB2"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BB3"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BB4" w14:textId="77777777" w:rsidR="003C12C0" w:rsidRDefault="00000000">
            <w:pPr>
              <w:pStyle w:val="TableText"/>
            </w:pPr>
            <w:r>
              <w:t>198 399</w:t>
            </w:r>
          </w:p>
        </w:tc>
        <w:tc>
          <w:tcPr>
            <w:tcW w:w="0" w:type="auto"/>
            <w:tcBorders>
              <w:top w:val="single" w:sz="4" w:space="0" w:color="000000"/>
              <w:left w:val="single" w:sz="4" w:space="0" w:color="000000"/>
              <w:bottom w:val="single" w:sz="4" w:space="0" w:color="000000"/>
              <w:right w:val="single" w:sz="4" w:space="0" w:color="000000"/>
            </w:tcBorders>
          </w:tcPr>
          <w:p w14:paraId="190F8BB5" w14:textId="77777777" w:rsidR="003C12C0" w:rsidRDefault="003C12C0"/>
        </w:tc>
      </w:tr>
      <w:tr w:rsidR="003C12C0" w14:paraId="190F8BBD"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B7" w14:textId="77777777" w:rsidR="003C12C0" w:rsidRDefault="00000000">
            <w:pPr>
              <w:pStyle w:val="TableText"/>
            </w:pPr>
            <w:r>
              <w:t>dont hommes</w:t>
            </w:r>
          </w:p>
        </w:tc>
        <w:tc>
          <w:tcPr>
            <w:tcW w:w="0" w:type="auto"/>
            <w:tcBorders>
              <w:top w:val="single" w:sz="4" w:space="0" w:color="000000"/>
              <w:left w:val="single" w:sz="4" w:space="0" w:color="000000"/>
              <w:bottom w:val="single" w:sz="4" w:space="0" w:color="000000"/>
              <w:right w:val="single" w:sz="4" w:space="0" w:color="000000"/>
            </w:tcBorders>
          </w:tcPr>
          <w:p w14:paraId="190F8BB8" w14:textId="77777777" w:rsidR="003C12C0" w:rsidRDefault="00000000">
            <w:pPr>
              <w:pStyle w:val="TableText"/>
            </w:pPr>
            <w:r>
              <w:t>110 912</w:t>
            </w:r>
          </w:p>
        </w:tc>
        <w:tc>
          <w:tcPr>
            <w:tcW w:w="0" w:type="auto"/>
            <w:tcBorders>
              <w:top w:val="single" w:sz="4" w:space="0" w:color="000000"/>
              <w:left w:val="single" w:sz="4" w:space="0" w:color="000000"/>
              <w:bottom w:val="single" w:sz="4" w:space="0" w:color="000000"/>
              <w:right w:val="single" w:sz="4" w:space="0" w:color="000000"/>
            </w:tcBorders>
          </w:tcPr>
          <w:p w14:paraId="190F8BB9"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BBA"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BBB" w14:textId="77777777" w:rsidR="003C12C0" w:rsidRDefault="00000000">
            <w:pPr>
              <w:pStyle w:val="TableText"/>
            </w:pPr>
            <w:r>
              <w:t>138 443</w:t>
            </w:r>
          </w:p>
        </w:tc>
        <w:tc>
          <w:tcPr>
            <w:tcW w:w="0" w:type="auto"/>
            <w:tcBorders>
              <w:top w:val="single" w:sz="4" w:space="0" w:color="000000"/>
              <w:left w:val="single" w:sz="4" w:space="0" w:color="000000"/>
              <w:bottom w:val="single" w:sz="4" w:space="0" w:color="000000"/>
              <w:right w:val="single" w:sz="4" w:space="0" w:color="000000"/>
            </w:tcBorders>
          </w:tcPr>
          <w:p w14:paraId="190F8BBC" w14:textId="77777777" w:rsidR="003C12C0" w:rsidRDefault="003C12C0"/>
        </w:tc>
      </w:tr>
      <w:tr w:rsidR="003C12C0" w14:paraId="190F8BC4"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BE" w14:textId="77777777" w:rsidR="003C12C0" w:rsidRDefault="00000000">
            <w:pPr>
              <w:pStyle w:val="TableText"/>
            </w:pPr>
            <w:r>
              <w:t>dont femmes</w:t>
            </w:r>
          </w:p>
        </w:tc>
        <w:tc>
          <w:tcPr>
            <w:tcW w:w="0" w:type="auto"/>
            <w:tcBorders>
              <w:top w:val="single" w:sz="4" w:space="0" w:color="000000"/>
              <w:left w:val="single" w:sz="4" w:space="0" w:color="000000"/>
              <w:bottom w:val="single" w:sz="4" w:space="0" w:color="000000"/>
              <w:right w:val="single" w:sz="4" w:space="0" w:color="000000"/>
            </w:tcBorders>
          </w:tcPr>
          <w:p w14:paraId="190F8BBF"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BC0" w14:textId="77777777" w:rsidR="003C12C0" w:rsidRDefault="00000000">
            <w:pPr>
              <w:pStyle w:val="TableText"/>
            </w:pPr>
            <w:r>
              <w:t>65 624</w:t>
            </w:r>
          </w:p>
        </w:tc>
        <w:tc>
          <w:tcPr>
            <w:tcW w:w="0" w:type="auto"/>
            <w:tcBorders>
              <w:top w:val="single" w:sz="4" w:space="0" w:color="000000"/>
              <w:left w:val="single" w:sz="4" w:space="0" w:color="000000"/>
              <w:bottom w:val="single" w:sz="4" w:space="0" w:color="000000"/>
              <w:right w:val="single" w:sz="4" w:space="0" w:color="000000"/>
            </w:tcBorders>
          </w:tcPr>
          <w:p w14:paraId="190F8BC1"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BC2"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BC3" w14:textId="77777777" w:rsidR="003C12C0" w:rsidRDefault="003C12C0"/>
        </w:tc>
      </w:tr>
      <w:tr w:rsidR="003C12C0" w14:paraId="190F8BCB"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C5" w14:textId="77777777" w:rsidR="003C12C0" w:rsidRDefault="00000000">
            <w:pPr>
              <w:pStyle w:val="TableText"/>
            </w:pPr>
            <w:r>
              <w:t>Bénéficiaires de pensions</w:t>
            </w:r>
          </w:p>
        </w:tc>
        <w:tc>
          <w:tcPr>
            <w:tcW w:w="0" w:type="auto"/>
            <w:tcBorders>
              <w:top w:val="single" w:sz="4" w:space="0" w:color="000000"/>
              <w:left w:val="single" w:sz="4" w:space="0" w:color="000000"/>
              <w:bottom w:val="single" w:sz="4" w:space="0" w:color="000000"/>
              <w:right w:val="single" w:sz="4" w:space="0" w:color="000000"/>
            </w:tcBorders>
          </w:tcPr>
          <w:p w14:paraId="190F8BC6"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BC7"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BC8"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BC9"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BCA" w14:textId="77777777" w:rsidR="003C12C0" w:rsidRDefault="003C12C0"/>
        </w:tc>
      </w:tr>
      <w:tr w:rsidR="003C12C0" w14:paraId="190F8BD2"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CC" w14:textId="77777777" w:rsidR="003C12C0" w:rsidRDefault="00000000">
            <w:pPr>
              <w:pStyle w:val="TableText"/>
            </w:pPr>
            <w:r>
              <w:lastRenderedPageBreak/>
              <w:t>Bénéficiaires AT/MP</w:t>
            </w:r>
          </w:p>
        </w:tc>
        <w:tc>
          <w:tcPr>
            <w:tcW w:w="0" w:type="auto"/>
            <w:tcBorders>
              <w:top w:val="single" w:sz="4" w:space="0" w:color="000000"/>
              <w:left w:val="single" w:sz="4" w:space="0" w:color="000000"/>
              <w:bottom w:val="single" w:sz="4" w:space="0" w:color="000000"/>
              <w:right w:val="single" w:sz="4" w:space="0" w:color="000000"/>
            </w:tcBorders>
          </w:tcPr>
          <w:p w14:paraId="190F8BCD"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BCE"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BCF"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BD0"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BD1" w14:textId="77777777" w:rsidR="003C12C0" w:rsidRDefault="003C12C0"/>
        </w:tc>
      </w:tr>
    </w:tbl>
    <w:p w14:paraId="190F8BD3" w14:textId="77777777" w:rsidR="003C12C0" w:rsidRDefault="00000000">
      <w:r>
        <w:rPr>
          <w:i/>
          <w:iCs/>
        </w:rPr>
        <w:t>Sources : premier Bulletin statistique RDC (2023) pour 20192022. Données 2023 à transmettre par la CNSSAP.</w:t>
      </w:r>
    </w:p>
    <w:p w14:paraId="190F8BD4" w14:textId="77777777" w:rsidR="003C12C0" w:rsidRDefault="00000000">
      <w:pPr>
        <w:pStyle w:val="Heading2"/>
      </w:pPr>
      <w:bookmarkStart w:id="137" w:name="evolutions-et-reformes-en-cours_1"/>
      <w:bookmarkEnd w:id="136"/>
      <w:r>
        <w:t>Évolutions et réformes en cours</w:t>
      </w:r>
    </w:p>
    <w:p w14:paraId="190F8BD5" w14:textId="77777777" w:rsidR="003C12C0" w:rsidRDefault="00000000">
      <w:r>
        <w:rPr>
          <w:b/>
          <w:bCs/>
        </w:rPr>
        <w:t>Mécanisation des agents publics.</w:t>
      </w:r>
      <w:r>
        <w:t xml:space="preserve"> La RDC est confrontée depuis plusieurs décennies au problème des agents et fonctionnaires de l'État dits non mécanisés : des agents possédant un numéro de matricule mais n'apparaissant pas sur la liste de paie officielle, ne percevant donc aucune rémunération et ne bénéficiant d'aucune prestation sociale. Une politique d'inclusion salariale progressive dite de mécanisation a été engagée pour régulariser leur situation. Entre octobre 2021 et décembre 2022, environ 40 000 agents ont été mécanisés, suivis de 101 000 agents supplémentaires.</w:t>
      </w:r>
    </w:p>
    <w:p w14:paraId="190F8BD6" w14:textId="77777777" w:rsidR="003C12C0" w:rsidRDefault="00000000">
      <w:r>
        <w:rPr>
          <w:b/>
          <w:bCs/>
        </w:rPr>
        <w:t>Mise à la retraite par vagues.</w:t>
      </w:r>
      <w:r>
        <w:t xml:space="preserve"> En 2022, le Vice-Premier Ministre en charge de la Fonction Publique a annoncé que 350 000 agents étaient éligibles à la retraite, dont certains âgés de plus de 90 ans. Des départs ont été organisés en vagues successives : 4 400 agents (septembre 2022), puis 6 369 agents (février 2023), avec une prévision de 50 000 départs supplémentaires en 2023. Ce processus représente un enjeu financier majeur pour la CNSSAP.</w:t>
      </w:r>
    </w:p>
    <w:p w14:paraId="190F8BD7" w14:textId="77777777" w:rsidR="003C12C0" w:rsidRDefault="00000000">
      <w:r>
        <w:rPr>
          <w:b/>
          <w:bCs/>
        </w:rPr>
        <w:t>Lancement de la branche AT/MP.</w:t>
      </w:r>
      <w:r>
        <w:t xml:space="preserve"> En mai 2023, la branche accidents du travail et maladies professionnelles a été officiellement lancée, étendant la couverture de la CNSSAP à l'ensemble de ses contributeurs.</w:t>
      </w:r>
    </w:p>
    <w:p w14:paraId="190F8BD8" w14:textId="77777777" w:rsidR="003C12C0" w:rsidRDefault="00000000">
      <w:r>
        <w:rPr>
          <w:i/>
          <w:iCs/>
        </w:rPr>
        <w:t>[À compléter : autres réformes en cours, extension aux enseignants, déploiement du système informatique, etc.]</w:t>
      </w:r>
    </w:p>
    <w:p w14:paraId="190F8BD9" w14:textId="77777777" w:rsidR="003C12C0" w:rsidRDefault="00000000">
      <w:pPr>
        <w:pStyle w:val="Heading1"/>
      </w:pPr>
      <w:bookmarkStart w:id="138" w:name="X9ed90e874d7ea7d4d610365174f9098c0c41dd2"/>
      <w:bookmarkEnd w:id="133"/>
      <w:bookmarkEnd w:id="137"/>
      <w:r>
        <w:lastRenderedPageBreak/>
        <w:t>B.3 Fonds National de Promotion et de Service Social (FNPSS)</w:t>
      </w:r>
    </w:p>
    <w:p w14:paraId="190F8BDA" w14:textId="77777777" w:rsidR="003C12C0" w:rsidRDefault="00000000">
      <w:pPr>
        <w:pStyle w:val="Heading2"/>
      </w:pPr>
      <w:bookmarkStart w:id="139" w:name="cadre-juridique-et-institutionnel_2"/>
      <w:r>
        <w:t>Cadre juridique et institutionnel</w:t>
      </w:r>
    </w:p>
    <w:tbl>
      <w:tblPr>
        <w:tblStyle w:val="ILOTable"/>
        <w:tblW w:w="5000" w:type="pct"/>
        <w:tblLook w:val="0020" w:firstRow="1" w:lastRow="0" w:firstColumn="0" w:lastColumn="0" w:noHBand="0" w:noVBand="0"/>
      </w:tblPr>
      <w:tblGrid>
        <w:gridCol w:w="5795"/>
        <w:gridCol w:w="3265"/>
      </w:tblGrid>
      <w:tr w:rsidR="003C12C0" w14:paraId="190F8BDD"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BDB" w14:textId="77777777" w:rsidR="003C12C0" w:rsidRDefault="00000000">
            <w:pPr>
              <w:pStyle w:val="TableHeader"/>
            </w:pPr>
            <w:r>
              <w:t>Élément</w:t>
            </w:r>
          </w:p>
        </w:tc>
        <w:tc>
          <w:tcPr>
            <w:tcW w:w="0" w:type="auto"/>
            <w:tcBorders>
              <w:top w:val="single" w:sz="4" w:space="0" w:color="000000"/>
              <w:left w:val="single" w:sz="4" w:space="0" w:color="000000"/>
              <w:bottom w:val="single" w:sz="4" w:space="0" w:color="000000"/>
              <w:right w:val="single" w:sz="4" w:space="0" w:color="000000"/>
            </w:tcBorders>
          </w:tcPr>
          <w:p w14:paraId="190F8BDC" w14:textId="77777777" w:rsidR="003C12C0" w:rsidRDefault="00000000">
            <w:pPr>
              <w:pStyle w:val="TableHeader"/>
            </w:pPr>
            <w:r>
              <w:t>Détail</w:t>
            </w:r>
          </w:p>
        </w:tc>
      </w:tr>
      <w:tr w:rsidR="003C12C0" w14:paraId="190F8BE0"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DE" w14:textId="77777777" w:rsidR="003C12C0" w:rsidRDefault="00000000">
            <w:pPr>
              <w:pStyle w:val="TableText"/>
            </w:pPr>
            <w:r>
              <w:t>Texte fondateur</w:t>
            </w:r>
          </w:p>
        </w:tc>
        <w:tc>
          <w:tcPr>
            <w:tcW w:w="0" w:type="auto"/>
            <w:tcBorders>
              <w:top w:val="single" w:sz="4" w:space="0" w:color="000000"/>
              <w:left w:val="single" w:sz="4" w:space="0" w:color="000000"/>
              <w:bottom w:val="single" w:sz="4" w:space="0" w:color="000000"/>
              <w:right w:val="single" w:sz="4" w:space="0" w:color="000000"/>
            </w:tcBorders>
          </w:tcPr>
          <w:p w14:paraId="190F8BDF" w14:textId="77777777" w:rsidR="003C12C0" w:rsidRDefault="00000000">
            <w:pPr>
              <w:pStyle w:val="TableText"/>
            </w:pPr>
            <w:r>
              <w:rPr>
                <w:i/>
                <w:iCs/>
              </w:rPr>
              <w:t>À préciser</w:t>
            </w:r>
          </w:p>
        </w:tc>
      </w:tr>
      <w:tr w:rsidR="003C12C0" w14:paraId="190F8BE3"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E1" w14:textId="77777777" w:rsidR="003C12C0" w:rsidRDefault="00000000">
            <w:pPr>
              <w:pStyle w:val="TableText"/>
            </w:pPr>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190F8BE2" w14:textId="77777777" w:rsidR="003C12C0" w:rsidRDefault="00000000">
            <w:pPr>
              <w:pStyle w:val="TableText"/>
            </w:pPr>
            <w:r>
              <w:rPr>
                <w:i/>
                <w:iCs/>
              </w:rPr>
              <w:t>À préciser</w:t>
            </w:r>
          </w:p>
        </w:tc>
      </w:tr>
      <w:tr w:rsidR="003C12C0" w14:paraId="190F8BE6"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E4" w14:textId="77777777" w:rsidR="003C12C0" w:rsidRDefault="00000000">
            <w:pPr>
              <w:pStyle w:val="TableText"/>
            </w:pPr>
            <w:r>
              <w:t>Statut juridique</w:t>
            </w:r>
          </w:p>
        </w:tc>
        <w:tc>
          <w:tcPr>
            <w:tcW w:w="0" w:type="auto"/>
            <w:tcBorders>
              <w:top w:val="single" w:sz="4" w:space="0" w:color="000000"/>
              <w:left w:val="single" w:sz="4" w:space="0" w:color="000000"/>
              <w:bottom w:val="single" w:sz="4" w:space="0" w:color="000000"/>
              <w:right w:val="single" w:sz="4" w:space="0" w:color="000000"/>
            </w:tcBorders>
          </w:tcPr>
          <w:p w14:paraId="190F8BE5" w14:textId="77777777" w:rsidR="003C12C0" w:rsidRDefault="00000000">
            <w:pPr>
              <w:pStyle w:val="TableText"/>
            </w:pPr>
            <w:r>
              <w:rPr>
                <w:i/>
                <w:iCs/>
              </w:rPr>
              <w:t>À préciser</w:t>
            </w:r>
          </w:p>
        </w:tc>
      </w:tr>
      <w:tr w:rsidR="003C12C0" w14:paraId="190F8BE9"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E7" w14:textId="77777777" w:rsidR="003C12C0" w:rsidRDefault="00000000">
            <w:pPr>
              <w:pStyle w:val="TableText"/>
            </w:pPr>
            <w:r>
              <w:t>Année de création</w:t>
            </w:r>
          </w:p>
        </w:tc>
        <w:tc>
          <w:tcPr>
            <w:tcW w:w="0" w:type="auto"/>
            <w:tcBorders>
              <w:top w:val="single" w:sz="4" w:space="0" w:color="000000"/>
              <w:left w:val="single" w:sz="4" w:space="0" w:color="000000"/>
              <w:bottom w:val="single" w:sz="4" w:space="0" w:color="000000"/>
              <w:right w:val="single" w:sz="4" w:space="0" w:color="000000"/>
            </w:tcBorders>
          </w:tcPr>
          <w:p w14:paraId="190F8BE8" w14:textId="77777777" w:rsidR="003C12C0" w:rsidRDefault="00000000">
            <w:pPr>
              <w:pStyle w:val="TableText"/>
            </w:pPr>
            <w:r>
              <w:rPr>
                <w:i/>
                <w:iCs/>
              </w:rPr>
              <w:t>À préciser</w:t>
            </w:r>
          </w:p>
        </w:tc>
      </w:tr>
    </w:tbl>
    <w:p w14:paraId="190F8BEA" w14:textId="77777777" w:rsidR="003C12C0" w:rsidRDefault="00000000">
      <w:pPr>
        <w:pStyle w:val="Heading2"/>
      </w:pPr>
      <w:bookmarkStart w:id="140" w:name="mission-et-branches-couvertes_2"/>
      <w:bookmarkEnd w:id="139"/>
      <w:r>
        <w:t>Mission et branches couvertes</w:t>
      </w:r>
    </w:p>
    <w:p w14:paraId="190F8BEB" w14:textId="77777777" w:rsidR="003C12C0" w:rsidRDefault="00000000">
      <w:r>
        <w:rPr>
          <w:i/>
          <w:iCs/>
        </w:rPr>
        <w:t>[À rédiger à réception des informations du FNPSS.]</w:t>
      </w:r>
    </w:p>
    <w:tbl>
      <w:tblPr>
        <w:tblStyle w:val="ILOTable"/>
        <w:tblW w:w="5000" w:type="pct"/>
        <w:tblLook w:val="0020" w:firstRow="1" w:lastRow="0" w:firstColumn="0" w:lastColumn="0" w:noHBand="0" w:noVBand="0"/>
      </w:tblPr>
      <w:tblGrid>
        <w:gridCol w:w="5311"/>
        <w:gridCol w:w="2505"/>
        <w:gridCol w:w="1244"/>
      </w:tblGrid>
      <w:tr w:rsidR="003C12C0" w14:paraId="190F8BEF"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BEC" w14:textId="77777777" w:rsidR="003C12C0" w:rsidRDefault="00000000">
            <w:pPr>
              <w:pStyle w:val="TableHeader"/>
            </w:pPr>
            <w:r>
              <w:t>Branche</w:t>
            </w:r>
          </w:p>
        </w:tc>
        <w:tc>
          <w:tcPr>
            <w:tcW w:w="0" w:type="auto"/>
            <w:tcBorders>
              <w:top w:val="single" w:sz="4" w:space="0" w:color="000000"/>
              <w:left w:val="single" w:sz="4" w:space="0" w:color="000000"/>
              <w:bottom w:val="single" w:sz="4" w:space="0" w:color="000000"/>
              <w:right w:val="single" w:sz="4" w:space="0" w:color="000000"/>
            </w:tcBorders>
          </w:tcPr>
          <w:p w14:paraId="190F8BED" w14:textId="77777777" w:rsidR="003C12C0" w:rsidRDefault="00000000">
            <w:pPr>
              <w:pStyle w:val="TableHeader"/>
            </w:pPr>
            <w:r>
              <w:t>Couverte ?</w:t>
            </w:r>
          </w:p>
        </w:tc>
        <w:tc>
          <w:tcPr>
            <w:tcW w:w="0" w:type="auto"/>
            <w:tcBorders>
              <w:top w:val="single" w:sz="4" w:space="0" w:color="000000"/>
              <w:left w:val="single" w:sz="4" w:space="0" w:color="000000"/>
              <w:bottom w:val="single" w:sz="4" w:space="0" w:color="000000"/>
              <w:right w:val="single" w:sz="4" w:space="0" w:color="000000"/>
            </w:tcBorders>
          </w:tcPr>
          <w:p w14:paraId="190F8BEE" w14:textId="77777777" w:rsidR="003C12C0" w:rsidRDefault="00000000">
            <w:pPr>
              <w:pStyle w:val="TableHeader"/>
            </w:pPr>
            <w:r>
              <w:t>Note</w:t>
            </w:r>
          </w:p>
        </w:tc>
      </w:tr>
      <w:tr w:rsidR="003C12C0" w14:paraId="190F8BF3"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F0" w14:textId="77777777" w:rsidR="003C12C0" w:rsidRDefault="00000000">
            <w:pPr>
              <w:pStyle w:val="TableText"/>
            </w:pPr>
            <w:r>
              <w:t>Vieillesse, invalidité, décès</w:t>
            </w:r>
          </w:p>
        </w:tc>
        <w:tc>
          <w:tcPr>
            <w:tcW w:w="0" w:type="auto"/>
            <w:tcBorders>
              <w:top w:val="single" w:sz="4" w:space="0" w:color="000000"/>
              <w:left w:val="single" w:sz="4" w:space="0" w:color="000000"/>
              <w:bottom w:val="single" w:sz="4" w:space="0" w:color="000000"/>
              <w:right w:val="single" w:sz="4" w:space="0" w:color="000000"/>
            </w:tcBorders>
          </w:tcPr>
          <w:p w14:paraId="190F8BF1" w14:textId="77777777" w:rsidR="003C12C0" w:rsidRDefault="00000000">
            <w:pPr>
              <w:pStyle w:val="TableText"/>
            </w:pPr>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190F8BF2" w14:textId="77777777" w:rsidR="003C12C0" w:rsidRDefault="003C12C0"/>
        </w:tc>
      </w:tr>
      <w:tr w:rsidR="003C12C0" w14:paraId="190F8BF7"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F4" w14:textId="77777777" w:rsidR="003C12C0" w:rsidRDefault="00000000">
            <w:pPr>
              <w:pStyle w:val="TableText"/>
            </w:pPr>
            <w:r>
              <w:t>AT/MP</w:t>
            </w:r>
          </w:p>
        </w:tc>
        <w:tc>
          <w:tcPr>
            <w:tcW w:w="0" w:type="auto"/>
            <w:tcBorders>
              <w:top w:val="single" w:sz="4" w:space="0" w:color="000000"/>
              <w:left w:val="single" w:sz="4" w:space="0" w:color="000000"/>
              <w:bottom w:val="single" w:sz="4" w:space="0" w:color="000000"/>
              <w:right w:val="single" w:sz="4" w:space="0" w:color="000000"/>
            </w:tcBorders>
          </w:tcPr>
          <w:p w14:paraId="190F8BF5" w14:textId="77777777" w:rsidR="003C12C0" w:rsidRDefault="00000000">
            <w:pPr>
              <w:pStyle w:val="TableText"/>
            </w:pPr>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190F8BF6" w14:textId="77777777" w:rsidR="003C12C0" w:rsidRDefault="003C12C0"/>
        </w:tc>
      </w:tr>
      <w:tr w:rsidR="003C12C0" w14:paraId="190F8BFB"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F8" w14:textId="77777777" w:rsidR="003C12C0" w:rsidRDefault="00000000">
            <w:pPr>
              <w:pStyle w:val="TableText"/>
            </w:pPr>
            <w:r>
              <w:t>Prestations familiales</w:t>
            </w:r>
          </w:p>
        </w:tc>
        <w:tc>
          <w:tcPr>
            <w:tcW w:w="0" w:type="auto"/>
            <w:tcBorders>
              <w:top w:val="single" w:sz="4" w:space="0" w:color="000000"/>
              <w:left w:val="single" w:sz="4" w:space="0" w:color="000000"/>
              <w:bottom w:val="single" w:sz="4" w:space="0" w:color="000000"/>
              <w:right w:val="single" w:sz="4" w:space="0" w:color="000000"/>
            </w:tcBorders>
          </w:tcPr>
          <w:p w14:paraId="190F8BF9" w14:textId="77777777" w:rsidR="003C12C0" w:rsidRDefault="00000000">
            <w:pPr>
              <w:pStyle w:val="TableText"/>
            </w:pPr>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190F8BFA" w14:textId="77777777" w:rsidR="003C12C0" w:rsidRDefault="003C12C0"/>
        </w:tc>
      </w:tr>
      <w:tr w:rsidR="003C12C0" w14:paraId="190F8BFF"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BFC" w14:textId="77777777" w:rsidR="003C12C0" w:rsidRDefault="00000000">
            <w:pPr>
              <w:pStyle w:val="TableText"/>
            </w:pPr>
            <w:r>
              <w:t>Maternité</w:t>
            </w:r>
          </w:p>
        </w:tc>
        <w:tc>
          <w:tcPr>
            <w:tcW w:w="0" w:type="auto"/>
            <w:tcBorders>
              <w:top w:val="single" w:sz="4" w:space="0" w:color="000000"/>
              <w:left w:val="single" w:sz="4" w:space="0" w:color="000000"/>
              <w:bottom w:val="single" w:sz="4" w:space="0" w:color="000000"/>
              <w:right w:val="single" w:sz="4" w:space="0" w:color="000000"/>
            </w:tcBorders>
          </w:tcPr>
          <w:p w14:paraId="190F8BFD" w14:textId="77777777" w:rsidR="003C12C0" w:rsidRDefault="00000000">
            <w:pPr>
              <w:pStyle w:val="TableText"/>
            </w:pPr>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190F8BFE" w14:textId="77777777" w:rsidR="003C12C0" w:rsidRDefault="003C12C0"/>
        </w:tc>
      </w:tr>
      <w:tr w:rsidR="003C12C0" w14:paraId="190F8C03"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00" w14:textId="77777777" w:rsidR="003C12C0" w:rsidRDefault="00000000">
            <w:pPr>
              <w:pStyle w:val="TableText"/>
            </w:pPr>
            <w:r>
              <w:t>Soins de santé</w:t>
            </w:r>
          </w:p>
        </w:tc>
        <w:tc>
          <w:tcPr>
            <w:tcW w:w="0" w:type="auto"/>
            <w:tcBorders>
              <w:top w:val="single" w:sz="4" w:space="0" w:color="000000"/>
              <w:left w:val="single" w:sz="4" w:space="0" w:color="000000"/>
              <w:bottom w:val="single" w:sz="4" w:space="0" w:color="000000"/>
              <w:right w:val="single" w:sz="4" w:space="0" w:color="000000"/>
            </w:tcBorders>
          </w:tcPr>
          <w:p w14:paraId="190F8C01" w14:textId="77777777" w:rsidR="003C12C0" w:rsidRDefault="00000000">
            <w:pPr>
              <w:pStyle w:val="TableText"/>
            </w:pPr>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190F8C02" w14:textId="77777777" w:rsidR="003C12C0" w:rsidRDefault="003C12C0"/>
        </w:tc>
      </w:tr>
    </w:tbl>
    <w:p w14:paraId="190F8C04" w14:textId="77777777" w:rsidR="003C12C0" w:rsidRDefault="00000000">
      <w:r>
        <w:rPr>
          <w:b/>
          <w:bCs/>
        </w:rPr>
        <w:t>Population assujettie :</w:t>
      </w:r>
      <w:r>
        <w:t xml:space="preserve"> </w:t>
      </w:r>
      <w:r>
        <w:rPr>
          <w:i/>
          <w:iCs/>
        </w:rPr>
        <w:t>À préciser.</w:t>
      </w:r>
    </w:p>
    <w:p w14:paraId="190F8C05" w14:textId="77777777" w:rsidR="003C12C0" w:rsidRDefault="00000000">
      <w:pPr>
        <w:pStyle w:val="Heading2"/>
      </w:pPr>
      <w:bookmarkStart w:id="141" w:name="donnees-de-couverture_2"/>
      <w:bookmarkEnd w:id="140"/>
      <w:r>
        <w:t>Données de couverture</w:t>
      </w:r>
    </w:p>
    <w:tbl>
      <w:tblPr>
        <w:tblStyle w:val="ILOTable"/>
        <w:tblW w:w="5000" w:type="pct"/>
        <w:tblLook w:val="0020" w:firstRow="1" w:lastRow="0" w:firstColumn="0" w:lastColumn="0" w:noHBand="0" w:noVBand="0"/>
      </w:tblPr>
      <w:tblGrid>
        <w:gridCol w:w="3405"/>
        <w:gridCol w:w="1131"/>
        <w:gridCol w:w="1131"/>
        <w:gridCol w:w="1131"/>
        <w:gridCol w:w="1131"/>
        <w:gridCol w:w="1131"/>
      </w:tblGrid>
      <w:tr w:rsidR="003C12C0" w14:paraId="190F8C0C"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C06" w14:textId="77777777" w:rsidR="003C12C0"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90F8C07" w14:textId="77777777" w:rsidR="003C12C0"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90F8C08" w14:textId="77777777" w:rsidR="003C12C0"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90F8C09" w14:textId="77777777" w:rsidR="003C12C0"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90F8C0A" w14:textId="77777777" w:rsidR="003C12C0"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90F8C0B" w14:textId="77777777" w:rsidR="003C12C0" w:rsidRDefault="00000000">
            <w:pPr>
              <w:pStyle w:val="TableHeader"/>
            </w:pPr>
            <w:r>
              <w:t>2023</w:t>
            </w:r>
          </w:p>
        </w:tc>
      </w:tr>
      <w:tr w:rsidR="003C12C0" w14:paraId="190F8C13"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0D" w14:textId="77777777" w:rsidR="003C12C0" w:rsidRDefault="00000000">
            <w:pPr>
              <w:pStyle w:val="TableText"/>
            </w:pPr>
            <w:r>
              <w:t>Affiliés enregistrés</w:t>
            </w:r>
          </w:p>
        </w:tc>
        <w:tc>
          <w:tcPr>
            <w:tcW w:w="0" w:type="auto"/>
            <w:tcBorders>
              <w:top w:val="single" w:sz="4" w:space="0" w:color="000000"/>
              <w:left w:val="single" w:sz="4" w:space="0" w:color="000000"/>
              <w:bottom w:val="single" w:sz="4" w:space="0" w:color="000000"/>
              <w:right w:val="single" w:sz="4" w:space="0" w:color="000000"/>
            </w:tcBorders>
          </w:tcPr>
          <w:p w14:paraId="190F8C0E"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0F"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10"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11"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12" w14:textId="77777777" w:rsidR="003C12C0" w:rsidRDefault="003C12C0"/>
        </w:tc>
      </w:tr>
      <w:tr w:rsidR="003C12C0" w14:paraId="190F8C1A"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14" w14:textId="77777777" w:rsidR="003C12C0" w:rsidRDefault="00000000">
            <w:pPr>
              <w:pStyle w:val="TableText"/>
            </w:pPr>
            <w:r>
              <w:t>Cotisants actifs</w:t>
            </w:r>
          </w:p>
        </w:tc>
        <w:tc>
          <w:tcPr>
            <w:tcW w:w="0" w:type="auto"/>
            <w:tcBorders>
              <w:top w:val="single" w:sz="4" w:space="0" w:color="000000"/>
              <w:left w:val="single" w:sz="4" w:space="0" w:color="000000"/>
              <w:bottom w:val="single" w:sz="4" w:space="0" w:color="000000"/>
              <w:right w:val="single" w:sz="4" w:space="0" w:color="000000"/>
            </w:tcBorders>
          </w:tcPr>
          <w:p w14:paraId="190F8C15"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16"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17"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18"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19" w14:textId="77777777" w:rsidR="003C12C0" w:rsidRDefault="003C12C0"/>
        </w:tc>
      </w:tr>
      <w:tr w:rsidR="003C12C0" w14:paraId="190F8C21"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1B" w14:textId="77777777" w:rsidR="003C12C0" w:rsidRDefault="00000000">
            <w:pPr>
              <w:pStyle w:val="TableText"/>
            </w:pPr>
            <w:r>
              <w:t>Bénéficiaires</w:t>
            </w:r>
          </w:p>
        </w:tc>
        <w:tc>
          <w:tcPr>
            <w:tcW w:w="0" w:type="auto"/>
            <w:tcBorders>
              <w:top w:val="single" w:sz="4" w:space="0" w:color="000000"/>
              <w:left w:val="single" w:sz="4" w:space="0" w:color="000000"/>
              <w:bottom w:val="single" w:sz="4" w:space="0" w:color="000000"/>
              <w:right w:val="single" w:sz="4" w:space="0" w:color="000000"/>
            </w:tcBorders>
          </w:tcPr>
          <w:p w14:paraId="190F8C1C"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1D"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1E"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1F"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20" w14:textId="77777777" w:rsidR="003C12C0" w:rsidRDefault="003C12C0"/>
        </w:tc>
      </w:tr>
    </w:tbl>
    <w:p w14:paraId="190F8C22" w14:textId="77777777" w:rsidR="003C12C0" w:rsidRDefault="00000000">
      <w:pPr>
        <w:pStyle w:val="Heading2"/>
      </w:pPr>
      <w:bookmarkStart w:id="142" w:name="evolutions-et-reformes-en-cours_2"/>
      <w:bookmarkEnd w:id="141"/>
      <w:r>
        <w:t>Évolutions et réformes en cours</w:t>
      </w:r>
    </w:p>
    <w:p w14:paraId="190F8C23" w14:textId="77777777" w:rsidR="003C12C0" w:rsidRDefault="00000000">
      <w:r>
        <w:rPr>
          <w:i/>
          <w:iCs/>
        </w:rPr>
        <w:t>[À rédiger à réception des informations du FNPSS.]</w:t>
      </w:r>
    </w:p>
    <w:p w14:paraId="190F8C24" w14:textId="77777777" w:rsidR="003C12C0" w:rsidRDefault="00000000">
      <w:pPr>
        <w:pStyle w:val="Heading1"/>
      </w:pPr>
      <w:bookmarkStart w:id="143" w:name="Xa01847978b6c2488585ea0a18a7398d7cc09228"/>
      <w:bookmarkEnd w:id="138"/>
      <w:bookmarkEnd w:id="142"/>
      <w:r>
        <w:lastRenderedPageBreak/>
        <w:t>B.4 Mutuelle de Santé des Enseignants de l'Enseignement Primaire, Secondaire et Professionnel (MESP)</w:t>
      </w:r>
    </w:p>
    <w:p w14:paraId="190F8C25" w14:textId="77777777" w:rsidR="003C12C0" w:rsidRDefault="00000000">
      <w:pPr>
        <w:pStyle w:val="Heading2"/>
      </w:pPr>
      <w:bookmarkStart w:id="144" w:name="cadre-juridique-et-institutionnel_3"/>
      <w:r>
        <w:t>Cadre juridique et institutionnel</w:t>
      </w:r>
    </w:p>
    <w:tbl>
      <w:tblPr>
        <w:tblStyle w:val="ILOTable"/>
        <w:tblW w:w="5000" w:type="pct"/>
        <w:tblLook w:val="0020" w:firstRow="1" w:lastRow="0" w:firstColumn="0" w:lastColumn="0" w:noHBand="0" w:noVBand="0"/>
      </w:tblPr>
      <w:tblGrid>
        <w:gridCol w:w="1947"/>
        <w:gridCol w:w="7113"/>
      </w:tblGrid>
      <w:tr w:rsidR="003C12C0" w14:paraId="190F8C28"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C26" w14:textId="77777777" w:rsidR="003C12C0" w:rsidRDefault="00000000">
            <w:pPr>
              <w:pStyle w:val="TableHeader"/>
            </w:pPr>
            <w:r>
              <w:t>Élément</w:t>
            </w:r>
          </w:p>
        </w:tc>
        <w:tc>
          <w:tcPr>
            <w:tcW w:w="0" w:type="auto"/>
            <w:tcBorders>
              <w:top w:val="single" w:sz="4" w:space="0" w:color="000000"/>
              <w:left w:val="single" w:sz="4" w:space="0" w:color="000000"/>
              <w:bottom w:val="single" w:sz="4" w:space="0" w:color="000000"/>
              <w:right w:val="single" w:sz="4" w:space="0" w:color="000000"/>
            </w:tcBorders>
          </w:tcPr>
          <w:p w14:paraId="190F8C27" w14:textId="77777777" w:rsidR="003C12C0" w:rsidRDefault="00000000">
            <w:pPr>
              <w:pStyle w:val="TableHeader"/>
            </w:pPr>
            <w:r>
              <w:t>Détail</w:t>
            </w:r>
          </w:p>
        </w:tc>
      </w:tr>
      <w:tr w:rsidR="003C12C0" w14:paraId="190F8C2B"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29" w14:textId="77777777" w:rsidR="003C12C0" w:rsidRDefault="00000000">
            <w:pPr>
              <w:pStyle w:val="TableText"/>
            </w:pPr>
            <w:r>
              <w:t>Texte fondateur</w:t>
            </w:r>
          </w:p>
        </w:tc>
        <w:tc>
          <w:tcPr>
            <w:tcW w:w="0" w:type="auto"/>
            <w:tcBorders>
              <w:top w:val="single" w:sz="4" w:space="0" w:color="000000"/>
              <w:left w:val="single" w:sz="4" w:space="0" w:color="000000"/>
              <w:bottom w:val="single" w:sz="4" w:space="0" w:color="000000"/>
              <w:right w:val="single" w:sz="4" w:space="0" w:color="000000"/>
            </w:tcBorders>
          </w:tcPr>
          <w:p w14:paraId="190F8C2A" w14:textId="77777777" w:rsidR="003C12C0" w:rsidRDefault="00000000">
            <w:pPr>
              <w:pStyle w:val="TableText"/>
            </w:pPr>
            <w:r>
              <w:t>Arrêté n° 027/CAB/MINETAT/MTEPS/01/2019 (agrément) ; Arrêté n° 042/CAB/MIN/JGSDH/2015 (reconnaissance)</w:t>
            </w:r>
          </w:p>
        </w:tc>
      </w:tr>
      <w:tr w:rsidR="003C12C0" w14:paraId="190F8C2E"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2C" w14:textId="77777777" w:rsidR="003C12C0" w:rsidRDefault="00000000">
            <w:pPr>
              <w:pStyle w:val="TableText"/>
            </w:pPr>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190F8C2D" w14:textId="77777777" w:rsidR="003C12C0" w:rsidRDefault="00000000">
            <w:pPr>
              <w:pStyle w:val="TableText"/>
            </w:pPr>
            <w:r>
              <w:t>Ministère de l'Enseignement Primaire, Secondaire et Technique (MEPST)</w:t>
            </w:r>
          </w:p>
        </w:tc>
      </w:tr>
      <w:tr w:rsidR="003C12C0" w14:paraId="190F8C31"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2F" w14:textId="77777777" w:rsidR="003C12C0" w:rsidRDefault="00000000">
            <w:pPr>
              <w:pStyle w:val="TableText"/>
            </w:pPr>
            <w:r>
              <w:t>Statut juridique</w:t>
            </w:r>
          </w:p>
        </w:tc>
        <w:tc>
          <w:tcPr>
            <w:tcW w:w="0" w:type="auto"/>
            <w:tcBorders>
              <w:top w:val="single" w:sz="4" w:space="0" w:color="000000"/>
              <w:left w:val="single" w:sz="4" w:space="0" w:color="000000"/>
              <w:bottom w:val="single" w:sz="4" w:space="0" w:color="000000"/>
              <w:right w:val="single" w:sz="4" w:space="0" w:color="000000"/>
            </w:tcBorders>
          </w:tcPr>
          <w:p w14:paraId="190F8C30" w14:textId="77777777" w:rsidR="003C12C0" w:rsidRDefault="00000000">
            <w:pPr>
              <w:pStyle w:val="TableText"/>
            </w:pPr>
            <w:r>
              <w:t>Mutuelle de santé agréée, obligatoire et statutaire</w:t>
            </w:r>
          </w:p>
        </w:tc>
      </w:tr>
      <w:tr w:rsidR="003C12C0" w14:paraId="190F8C34"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32" w14:textId="77777777" w:rsidR="003C12C0" w:rsidRDefault="00000000">
            <w:pPr>
              <w:pStyle w:val="TableText"/>
            </w:pPr>
            <w:r>
              <w:t>Année de création / agrément</w:t>
            </w:r>
          </w:p>
        </w:tc>
        <w:tc>
          <w:tcPr>
            <w:tcW w:w="0" w:type="auto"/>
            <w:tcBorders>
              <w:top w:val="single" w:sz="4" w:space="0" w:color="000000"/>
              <w:left w:val="single" w:sz="4" w:space="0" w:color="000000"/>
              <w:bottom w:val="single" w:sz="4" w:space="0" w:color="000000"/>
              <w:right w:val="single" w:sz="4" w:space="0" w:color="000000"/>
            </w:tcBorders>
          </w:tcPr>
          <w:p w14:paraId="190F8C33" w14:textId="77777777" w:rsidR="003C12C0" w:rsidRDefault="00000000">
            <w:pPr>
              <w:pStyle w:val="TableText"/>
            </w:pPr>
            <w:r>
              <w:t>2015 (reconnaissance) ; 2019 (agrément)</w:t>
            </w:r>
          </w:p>
        </w:tc>
      </w:tr>
    </w:tbl>
    <w:p w14:paraId="190F8C35" w14:textId="77777777" w:rsidR="003C12C0" w:rsidRDefault="00000000">
      <w:pPr>
        <w:pStyle w:val="Heading2"/>
      </w:pPr>
      <w:bookmarkStart w:id="145" w:name="mission-et-branches-couvertes_3"/>
      <w:bookmarkEnd w:id="144"/>
      <w:r>
        <w:t>Mission et branches couvertes</w:t>
      </w:r>
    </w:p>
    <w:p w14:paraId="190F8C36" w14:textId="77777777" w:rsidR="003C12C0" w:rsidRDefault="00000000">
      <w:r>
        <w:t>La MESP est la seule mutuelle obligatoire et statutaire en RDC. Elle est une société d'assurance maladie obligatoire de type corporatif qui regroupe tous les enseignants du secteur public.</w:t>
      </w:r>
    </w:p>
    <w:tbl>
      <w:tblPr>
        <w:tblStyle w:val="ILOTable"/>
        <w:tblW w:w="5000" w:type="pct"/>
        <w:tblLook w:val="0020" w:firstRow="1" w:lastRow="0" w:firstColumn="0" w:lastColumn="0" w:noHBand="0" w:noVBand="0"/>
      </w:tblPr>
      <w:tblGrid>
        <w:gridCol w:w="2479"/>
        <w:gridCol w:w="918"/>
        <w:gridCol w:w="5663"/>
      </w:tblGrid>
      <w:tr w:rsidR="003C12C0" w14:paraId="190F8C3A"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C37" w14:textId="77777777" w:rsidR="003C12C0" w:rsidRDefault="00000000">
            <w:pPr>
              <w:pStyle w:val="TableHeader"/>
            </w:pPr>
            <w:r>
              <w:t>Branche</w:t>
            </w:r>
          </w:p>
        </w:tc>
        <w:tc>
          <w:tcPr>
            <w:tcW w:w="0" w:type="auto"/>
            <w:tcBorders>
              <w:top w:val="single" w:sz="4" w:space="0" w:color="000000"/>
              <w:left w:val="single" w:sz="4" w:space="0" w:color="000000"/>
              <w:bottom w:val="single" w:sz="4" w:space="0" w:color="000000"/>
              <w:right w:val="single" w:sz="4" w:space="0" w:color="000000"/>
            </w:tcBorders>
          </w:tcPr>
          <w:p w14:paraId="190F8C38" w14:textId="77777777" w:rsidR="003C12C0" w:rsidRDefault="00000000">
            <w:pPr>
              <w:pStyle w:val="TableHeader"/>
            </w:pPr>
            <w:r>
              <w:t>Couverte ?</w:t>
            </w:r>
          </w:p>
        </w:tc>
        <w:tc>
          <w:tcPr>
            <w:tcW w:w="0" w:type="auto"/>
            <w:tcBorders>
              <w:top w:val="single" w:sz="4" w:space="0" w:color="000000"/>
              <w:left w:val="single" w:sz="4" w:space="0" w:color="000000"/>
              <w:bottom w:val="single" w:sz="4" w:space="0" w:color="000000"/>
              <w:right w:val="single" w:sz="4" w:space="0" w:color="000000"/>
            </w:tcBorders>
          </w:tcPr>
          <w:p w14:paraId="190F8C39" w14:textId="77777777" w:rsidR="003C12C0" w:rsidRDefault="00000000">
            <w:pPr>
              <w:pStyle w:val="TableHeader"/>
            </w:pPr>
            <w:r>
              <w:t>Note</w:t>
            </w:r>
          </w:p>
        </w:tc>
      </w:tr>
      <w:tr w:rsidR="003C12C0" w14:paraId="190F8C3E"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3B" w14:textId="77777777" w:rsidR="003C12C0" w:rsidRDefault="00000000">
            <w:pPr>
              <w:pStyle w:val="TableText"/>
            </w:pPr>
            <w:r>
              <w:t>Soins de santé (assurance maladie)</w:t>
            </w:r>
          </w:p>
        </w:tc>
        <w:tc>
          <w:tcPr>
            <w:tcW w:w="0" w:type="auto"/>
            <w:tcBorders>
              <w:top w:val="single" w:sz="4" w:space="0" w:color="000000"/>
              <w:left w:val="single" w:sz="4" w:space="0" w:color="000000"/>
              <w:bottom w:val="single" w:sz="4" w:space="0" w:color="000000"/>
              <w:right w:val="single" w:sz="4" w:space="0" w:color="000000"/>
            </w:tcBorders>
          </w:tcPr>
          <w:p w14:paraId="190F8C3C"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3D" w14:textId="77777777" w:rsidR="003C12C0" w:rsidRDefault="00000000">
            <w:pPr>
              <w:pStyle w:val="TableText"/>
            </w:pPr>
            <w:r>
              <w:t>Paquet étendu : soins ambulatoires, spécialisés, hospitaliers, médicaments, examens</w:t>
            </w:r>
          </w:p>
        </w:tc>
      </w:tr>
      <w:tr w:rsidR="003C12C0" w14:paraId="190F8C42"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3F" w14:textId="77777777" w:rsidR="003C12C0" w:rsidRDefault="00000000">
            <w:pPr>
              <w:pStyle w:val="TableText"/>
            </w:pPr>
            <w:r>
              <w:t>Maternité</w:t>
            </w:r>
          </w:p>
        </w:tc>
        <w:tc>
          <w:tcPr>
            <w:tcW w:w="0" w:type="auto"/>
            <w:tcBorders>
              <w:top w:val="single" w:sz="4" w:space="0" w:color="000000"/>
              <w:left w:val="single" w:sz="4" w:space="0" w:color="000000"/>
              <w:bottom w:val="single" w:sz="4" w:space="0" w:color="000000"/>
              <w:right w:val="single" w:sz="4" w:space="0" w:color="000000"/>
            </w:tcBorders>
          </w:tcPr>
          <w:p w14:paraId="190F8C40"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41" w14:textId="77777777" w:rsidR="003C12C0" w:rsidRDefault="00000000">
            <w:pPr>
              <w:pStyle w:val="TableText"/>
            </w:pPr>
            <w:r>
              <w:t>Incluse dans le paquet de soins</w:t>
            </w:r>
          </w:p>
        </w:tc>
      </w:tr>
      <w:tr w:rsidR="003C12C0" w14:paraId="190F8C46"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43" w14:textId="77777777" w:rsidR="003C12C0" w:rsidRDefault="00000000">
            <w:pPr>
              <w:pStyle w:val="TableText"/>
            </w:pPr>
            <w:r>
              <w:t>Vieillesse / pensions</w:t>
            </w:r>
          </w:p>
        </w:tc>
        <w:tc>
          <w:tcPr>
            <w:tcW w:w="0" w:type="auto"/>
            <w:tcBorders>
              <w:top w:val="single" w:sz="4" w:space="0" w:color="000000"/>
              <w:left w:val="single" w:sz="4" w:space="0" w:color="000000"/>
              <w:bottom w:val="single" w:sz="4" w:space="0" w:color="000000"/>
              <w:right w:val="single" w:sz="4" w:space="0" w:color="000000"/>
            </w:tcBorders>
          </w:tcPr>
          <w:p w14:paraId="190F8C44"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45" w14:textId="77777777" w:rsidR="003C12C0" w:rsidRDefault="00000000">
            <w:pPr>
              <w:pStyle w:val="TableText"/>
            </w:pPr>
            <w:r>
              <w:t>Non couverte</w:t>
            </w:r>
          </w:p>
        </w:tc>
      </w:tr>
      <w:tr w:rsidR="003C12C0" w14:paraId="190F8C4A"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47" w14:textId="77777777" w:rsidR="003C12C0" w:rsidRDefault="00000000">
            <w:pPr>
              <w:pStyle w:val="TableText"/>
            </w:pPr>
            <w:r>
              <w:t>AT/MP</w:t>
            </w:r>
          </w:p>
        </w:tc>
        <w:tc>
          <w:tcPr>
            <w:tcW w:w="0" w:type="auto"/>
            <w:tcBorders>
              <w:top w:val="single" w:sz="4" w:space="0" w:color="000000"/>
              <w:left w:val="single" w:sz="4" w:space="0" w:color="000000"/>
              <w:bottom w:val="single" w:sz="4" w:space="0" w:color="000000"/>
              <w:right w:val="single" w:sz="4" w:space="0" w:color="000000"/>
            </w:tcBorders>
          </w:tcPr>
          <w:p w14:paraId="190F8C48"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49" w14:textId="77777777" w:rsidR="003C12C0" w:rsidRDefault="00000000">
            <w:pPr>
              <w:pStyle w:val="TableText"/>
            </w:pPr>
            <w:r>
              <w:t>Non couverte</w:t>
            </w:r>
          </w:p>
        </w:tc>
      </w:tr>
      <w:tr w:rsidR="003C12C0" w14:paraId="190F8C4E"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4B" w14:textId="77777777" w:rsidR="003C12C0" w:rsidRDefault="00000000">
            <w:pPr>
              <w:pStyle w:val="TableText"/>
            </w:pPr>
            <w:r>
              <w:t>Prestations familiales</w:t>
            </w:r>
          </w:p>
        </w:tc>
        <w:tc>
          <w:tcPr>
            <w:tcW w:w="0" w:type="auto"/>
            <w:tcBorders>
              <w:top w:val="single" w:sz="4" w:space="0" w:color="000000"/>
              <w:left w:val="single" w:sz="4" w:space="0" w:color="000000"/>
              <w:bottom w:val="single" w:sz="4" w:space="0" w:color="000000"/>
              <w:right w:val="single" w:sz="4" w:space="0" w:color="000000"/>
            </w:tcBorders>
          </w:tcPr>
          <w:p w14:paraId="190F8C4C"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4D" w14:textId="77777777" w:rsidR="003C12C0" w:rsidRDefault="00000000">
            <w:pPr>
              <w:pStyle w:val="TableText"/>
            </w:pPr>
            <w:r>
              <w:t>Non couverte</w:t>
            </w:r>
          </w:p>
        </w:tc>
      </w:tr>
    </w:tbl>
    <w:p w14:paraId="190F8C4F" w14:textId="77777777" w:rsidR="003C12C0" w:rsidRDefault="00000000">
      <w:r>
        <w:rPr>
          <w:b/>
          <w:bCs/>
        </w:rPr>
        <w:t>Population assujettie :</w:t>
      </w:r>
      <w:r>
        <w:t xml:space="preserve"> enseignants du secteur public de l'enseignement primaire, secondaire et technique, ainsi que leur conjoint et un maximum de 3 enfants de moins de 18 ans (ou encore étudiants ; 5 enfants si les deux conjoints sont enseignants). L'affiliation est conditionnée à la détention d'une carte MESP.</w:t>
      </w:r>
    </w:p>
    <w:p w14:paraId="190F8C50" w14:textId="77777777" w:rsidR="003C12C0" w:rsidRDefault="00000000">
      <w:pPr>
        <w:pStyle w:val="Heading2"/>
      </w:pPr>
      <w:bookmarkStart w:id="146" w:name="donnees-de-couverture_3"/>
      <w:bookmarkEnd w:id="145"/>
      <w:r>
        <w:t>Données de couverture</w:t>
      </w:r>
    </w:p>
    <w:tbl>
      <w:tblPr>
        <w:tblStyle w:val="ILOTable"/>
        <w:tblW w:w="5000" w:type="pct"/>
        <w:tblLook w:val="0020" w:firstRow="1" w:lastRow="0" w:firstColumn="0" w:lastColumn="0" w:noHBand="0" w:noVBand="0"/>
      </w:tblPr>
      <w:tblGrid>
        <w:gridCol w:w="4132"/>
        <w:gridCol w:w="1053"/>
        <w:gridCol w:w="1053"/>
        <w:gridCol w:w="1053"/>
        <w:gridCol w:w="1053"/>
        <w:gridCol w:w="716"/>
      </w:tblGrid>
      <w:tr w:rsidR="003C12C0" w14:paraId="190F8C57"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C51" w14:textId="77777777" w:rsidR="003C12C0"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90F8C52" w14:textId="77777777" w:rsidR="003C12C0"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90F8C53" w14:textId="77777777" w:rsidR="003C12C0"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90F8C54" w14:textId="77777777" w:rsidR="003C12C0"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90F8C55" w14:textId="77777777" w:rsidR="003C12C0"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90F8C56" w14:textId="77777777" w:rsidR="003C12C0" w:rsidRDefault="00000000">
            <w:pPr>
              <w:pStyle w:val="TableHeader"/>
            </w:pPr>
            <w:r>
              <w:t>2023</w:t>
            </w:r>
          </w:p>
        </w:tc>
      </w:tr>
      <w:tr w:rsidR="003C12C0" w14:paraId="190F8C5E"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58" w14:textId="77777777" w:rsidR="003C12C0" w:rsidRDefault="00000000">
            <w:pPr>
              <w:pStyle w:val="TableText"/>
            </w:pPr>
            <w:r>
              <w:t>Contributeurs (titulaires enseignants)</w:t>
            </w:r>
          </w:p>
        </w:tc>
        <w:tc>
          <w:tcPr>
            <w:tcW w:w="0" w:type="auto"/>
            <w:tcBorders>
              <w:top w:val="single" w:sz="4" w:space="0" w:color="000000"/>
              <w:left w:val="single" w:sz="4" w:space="0" w:color="000000"/>
              <w:bottom w:val="single" w:sz="4" w:space="0" w:color="000000"/>
              <w:right w:val="single" w:sz="4" w:space="0" w:color="000000"/>
            </w:tcBorders>
          </w:tcPr>
          <w:p w14:paraId="190F8C59" w14:textId="77777777" w:rsidR="003C12C0" w:rsidRDefault="00000000">
            <w:pPr>
              <w:pStyle w:val="TableText"/>
            </w:pPr>
            <w:r>
              <w:t>50 256</w:t>
            </w:r>
          </w:p>
        </w:tc>
        <w:tc>
          <w:tcPr>
            <w:tcW w:w="0" w:type="auto"/>
            <w:tcBorders>
              <w:top w:val="single" w:sz="4" w:space="0" w:color="000000"/>
              <w:left w:val="single" w:sz="4" w:space="0" w:color="000000"/>
              <w:bottom w:val="single" w:sz="4" w:space="0" w:color="000000"/>
              <w:right w:val="single" w:sz="4" w:space="0" w:color="000000"/>
            </w:tcBorders>
          </w:tcPr>
          <w:p w14:paraId="190F8C5A" w14:textId="77777777" w:rsidR="003C12C0" w:rsidRDefault="00000000">
            <w:pPr>
              <w:pStyle w:val="TableText"/>
            </w:pPr>
            <w:r>
              <w:t>54 383</w:t>
            </w:r>
          </w:p>
        </w:tc>
        <w:tc>
          <w:tcPr>
            <w:tcW w:w="0" w:type="auto"/>
            <w:tcBorders>
              <w:top w:val="single" w:sz="4" w:space="0" w:color="000000"/>
              <w:left w:val="single" w:sz="4" w:space="0" w:color="000000"/>
              <w:bottom w:val="single" w:sz="4" w:space="0" w:color="000000"/>
              <w:right w:val="single" w:sz="4" w:space="0" w:color="000000"/>
            </w:tcBorders>
          </w:tcPr>
          <w:p w14:paraId="190F8C5B" w14:textId="77777777" w:rsidR="003C12C0" w:rsidRDefault="00000000">
            <w:pPr>
              <w:pStyle w:val="TableText"/>
            </w:pPr>
            <w:r>
              <w:t>60 745</w:t>
            </w:r>
          </w:p>
        </w:tc>
        <w:tc>
          <w:tcPr>
            <w:tcW w:w="0" w:type="auto"/>
            <w:tcBorders>
              <w:top w:val="single" w:sz="4" w:space="0" w:color="000000"/>
              <w:left w:val="single" w:sz="4" w:space="0" w:color="000000"/>
              <w:bottom w:val="single" w:sz="4" w:space="0" w:color="000000"/>
              <w:right w:val="single" w:sz="4" w:space="0" w:color="000000"/>
            </w:tcBorders>
          </w:tcPr>
          <w:p w14:paraId="190F8C5C" w14:textId="77777777" w:rsidR="003C12C0" w:rsidRDefault="00000000">
            <w:pPr>
              <w:pStyle w:val="TableText"/>
            </w:pPr>
            <w:r>
              <w:t>80 041</w:t>
            </w:r>
          </w:p>
        </w:tc>
        <w:tc>
          <w:tcPr>
            <w:tcW w:w="0" w:type="auto"/>
            <w:tcBorders>
              <w:top w:val="single" w:sz="4" w:space="0" w:color="000000"/>
              <w:left w:val="single" w:sz="4" w:space="0" w:color="000000"/>
              <w:bottom w:val="single" w:sz="4" w:space="0" w:color="000000"/>
              <w:right w:val="single" w:sz="4" w:space="0" w:color="000000"/>
            </w:tcBorders>
          </w:tcPr>
          <w:p w14:paraId="190F8C5D" w14:textId="77777777" w:rsidR="003C12C0" w:rsidRDefault="003C12C0"/>
        </w:tc>
      </w:tr>
      <w:tr w:rsidR="003C12C0" w14:paraId="190F8C65"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5F" w14:textId="77777777" w:rsidR="003C12C0" w:rsidRDefault="00000000">
            <w:pPr>
              <w:pStyle w:val="TableText"/>
            </w:pPr>
            <w:r>
              <w:t>Membres de famille à charge</w:t>
            </w:r>
          </w:p>
        </w:tc>
        <w:tc>
          <w:tcPr>
            <w:tcW w:w="0" w:type="auto"/>
            <w:tcBorders>
              <w:top w:val="single" w:sz="4" w:space="0" w:color="000000"/>
              <w:left w:val="single" w:sz="4" w:space="0" w:color="000000"/>
              <w:bottom w:val="single" w:sz="4" w:space="0" w:color="000000"/>
              <w:right w:val="single" w:sz="4" w:space="0" w:color="000000"/>
            </w:tcBorders>
          </w:tcPr>
          <w:p w14:paraId="190F8C60" w14:textId="77777777" w:rsidR="003C12C0" w:rsidRDefault="00000000">
            <w:pPr>
              <w:pStyle w:val="TableText"/>
            </w:pPr>
            <w:r>
              <w:t>72 291</w:t>
            </w:r>
          </w:p>
        </w:tc>
        <w:tc>
          <w:tcPr>
            <w:tcW w:w="0" w:type="auto"/>
            <w:tcBorders>
              <w:top w:val="single" w:sz="4" w:space="0" w:color="000000"/>
              <w:left w:val="single" w:sz="4" w:space="0" w:color="000000"/>
              <w:bottom w:val="single" w:sz="4" w:space="0" w:color="000000"/>
              <w:right w:val="single" w:sz="4" w:space="0" w:color="000000"/>
            </w:tcBorders>
          </w:tcPr>
          <w:p w14:paraId="190F8C61" w14:textId="77777777" w:rsidR="003C12C0" w:rsidRDefault="00000000">
            <w:pPr>
              <w:pStyle w:val="TableText"/>
            </w:pPr>
            <w:r>
              <w:t>76 578</w:t>
            </w:r>
          </w:p>
        </w:tc>
        <w:tc>
          <w:tcPr>
            <w:tcW w:w="0" w:type="auto"/>
            <w:tcBorders>
              <w:top w:val="single" w:sz="4" w:space="0" w:color="000000"/>
              <w:left w:val="single" w:sz="4" w:space="0" w:color="000000"/>
              <w:bottom w:val="single" w:sz="4" w:space="0" w:color="000000"/>
              <w:right w:val="single" w:sz="4" w:space="0" w:color="000000"/>
            </w:tcBorders>
          </w:tcPr>
          <w:p w14:paraId="190F8C62" w14:textId="77777777" w:rsidR="003C12C0" w:rsidRDefault="00000000">
            <w:pPr>
              <w:pStyle w:val="TableText"/>
            </w:pPr>
            <w:r>
              <w:t>81 081</w:t>
            </w:r>
          </w:p>
        </w:tc>
        <w:tc>
          <w:tcPr>
            <w:tcW w:w="0" w:type="auto"/>
            <w:tcBorders>
              <w:top w:val="single" w:sz="4" w:space="0" w:color="000000"/>
              <w:left w:val="single" w:sz="4" w:space="0" w:color="000000"/>
              <w:bottom w:val="single" w:sz="4" w:space="0" w:color="000000"/>
              <w:right w:val="single" w:sz="4" w:space="0" w:color="000000"/>
            </w:tcBorders>
          </w:tcPr>
          <w:p w14:paraId="190F8C63" w14:textId="77777777" w:rsidR="003C12C0" w:rsidRDefault="00000000">
            <w:pPr>
              <w:pStyle w:val="TableText"/>
            </w:pPr>
            <w:r>
              <w:t>84 836</w:t>
            </w:r>
          </w:p>
        </w:tc>
        <w:tc>
          <w:tcPr>
            <w:tcW w:w="0" w:type="auto"/>
            <w:tcBorders>
              <w:top w:val="single" w:sz="4" w:space="0" w:color="000000"/>
              <w:left w:val="single" w:sz="4" w:space="0" w:color="000000"/>
              <w:bottom w:val="single" w:sz="4" w:space="0" w:color="000000"/>
              <w:right w:val="single" w:sz="4" w:space="0" w:color="000000"/>
            </w:tcBorders>
          </w:tcPr>
          <w:p w14:paraId="190F8C64" w14:textId="77777777" w:rsidR="003C12C0" w:rsidRDefault="003C12C0"/>
        </w:tc>
      </w:tr>
      <w:tr w:rsidR="003C12C0" w14:paraId="190F8C6C"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66" w14:textId="77777777" w:rsidR="003C12C0" w:rsidRDefault="00000000">
            <w:pPr>
              <w:pStyle w:val="TableText"/>
            </w:pPr>
            <w:r>
              <w:rPr>
                <w:b/>
                <w:bCs/>
              </w:rPr>
              <w:t>Total couvert</w:t>
            </w:r>
          </w:p>
        </w:tc>
        <w:tc>
          <w:tcPr>
            <w:tcW w:w="0" w:type="auto"/>
            <w:tcBorders>
              <w:top w:val="single" w:sz="4" w:space="0" w:color="000000"/>
              <w:left w:val="single" w:sz="4" w:space="0" w:color="000000"/>
              <w:bottom w:val="single" w:sz="4" w:space="0" w:color="000000"/>
              <w:right w:val="single" w:sz="4" w:space="0" w:color="000000"/>
            </w:tcBorders>
          </w:tcPr>
          <w:p w14:paraId="190F8C67" w14:textId="77777777" w:rsidR="003C12C0" w:rsidRDefault="00000000">
            <w:pPr>
              <w:pStyle w:val="TableText"/>
            </w:pPr>
            <w:r>
              <w:rPr>
                <w:b/>
                <w:bCs/>
              </w:rPr>
              <w:t>122 547</w:t>
            </w:r>
          </w:p>
        </w:tc>
        <w:tc>
          <w:tcPr>
            <w:tcW w:w="0" w:type="auto"/>
            <w:tcBorders>
              <w:top w:val="single" w:sz="4" w:space="0" w:color="000000"/>
              <w:left w:val="single" w:sz="4" w:space="0" w:color="000000"/>
              <w:bottom w:val="single" w:sz="4" w:space="0" w:color="000000"/>
              <w:right w:val="single" w:sz="4" w:space="0" w:color="000000"/>
            </w:tcBorders>
          </w:tcPr>
          <w:p w14:paraId="190F8C68" w14:textId="77777777" w:rsidR="003C12C0" w:rsidRDefault="00000000">
            <w:pPr>
              <w:pStyle w:val="TableText"/>
            </w:pPr>
            <w:r>
              <w:rPr>
                <w:b/>
                <w:bCs/>
              </w:rPr>
              <w:t>130 961</w:t>
            </w:r>
          </w:p>
        </w:tc>
        <w:tc>
          <w:tcPr>
            <w:tcW w:w="0" w:type="auto"/>
            <w:tcBorders>
              <w:top w:val="single" w:sz="4" w:space="0" w:color="000000"/>
              <w:left w:val="single" w:sz="4" w:space="0" w:color="000000"/>
              <w:bottom w:val="single" w:sz="4" w:space="0" w:color="000000"/>
              <w:right w:val="single" w:sz="4" w:space="0" w:color="000000"/>
            </w:tcBorders>
          </w:tcPr>
          <w:p w14:paraId="190F8C69" w14:textId="77777777" w:rsidR="003C12C0" w:rsidRDefault="00000000">
            <w:pPr>
              <w:pStyle w:val="TableText"/>
            </w:pPr>
            <w:r>
              <w:rPr>
                <w:b/>
                <w:bCs/>
              </w:rPr>
              <w:t>141 826</w:t>
            </w:r>
          </w:p>
        </w:tc>
        <w:tc>
          <w:tcPr>
            <w:tcW w:w="0" w:type="auto"/>
            <w:tcBorders>
              <w:top w:val="single" w:sz="4" w:space="0" w:color="000000"/>
              <w:left w:val="single" w:sz="4" w:space="0" w:color="000000"/>
              <w:bottom w:val="single" w:sz="4" w:space="0" w:color="000000"/>
              <w:right w:val="single" w:sz="4" w:space="0" w:color="000000"/>
            </w:tcBorders>
          </w:tcPr>
          <w:p w14:paraId="190F8C6A" w14:textId="77777777" w:rsidR="003C12C0" w:rsidRDefault="00000000">
            <w:pPr>
              <w:pStyle w:val="TableText"/>
            </w:pPr>
            <w:r>
              <w:rPr>
                <w:b/>
                <w:bCs/>
              </w:rPr>
              <w:t>164 877</w:t>
            </w:r>
          </w:p>
        </w:tc>
        <w:tc>
          <w:tcPr>
            <w:tcW w:w="0" w:type="auto"/>
            <w:tcBorders>
              <w:top w:val="single" w:sz="4" w:space="0" w:color="000000"/>
              <w:left w:val="single" w:sz="4" w:space="0" w:color="000000"/>
              <w:bottom w:val="single" w:sz="4" w:space="0" w:color="000000"/>
              <w:right w:val="single" w:sz="4" w:space="0" w:color="000000"/>
            </w:tcBorders>
          </w:tcPr>
          <w:p w14:paraId="190F8C6B" w14:textId="77777777" w:rsidR="003C12C0" w:rsidRDefault="003C12C0"/>
        </w:tc>
      </w:tr>
    </w:tbl>
    <w:p w14:paraId="190F8C6D" w14:textId="77777777" w:rsidR="003C12C0" w:rsidRPr="00DF4DEA" w:rsidRDefault="00000000">
      <w:pPr>
        <w:pStyle w:val="Source-GraphicPicture"/>
        <w:rPr>
          <w:lang w:val="fr-CH"/>
        </w:rPr>
      </w:pPr>
      <w:r w:rsidRPr="00DF4DEA">
        <w:rPr>
          <w:i/>
          <w:iCs/>
          <w:lang w:val="fr-CH"/>
        </w:rPr>
        <w:t>Source : données transmises par le MEPST (2023), reprises dans le premier Bulletin statistique RDC N°1/2023.</w:t>
      </w:r>
    </w:p>
    <w:p w14:paraId="190F8C6E" w14:textId="77777777" w:rsidR="003C12C0" w:rsidRDefault="00000000">
      <w:pPr>
        <w:pStyle w:val="Heading2"/>
      </w:pPr>
      <w:bookmarkStart w:id="147" w:name="evolutions-et-reformes-en-cours_3"/>
      <w:bookmarkEnd w:id="146"/>
      <w:r>
        <w:lastRenderedPageBreak/>
        <w:t>Évolutions et réformes en cours</w:t>
      </w:r>
    </w:p>
    <w:p w14:paraId="190F8C6F" w14:textId="77777777" w:rsidR="003C12C0" w:rsidRDefault="00000000">
      <w:r>
        <w:t xml:space="preserve">Entre 2019 et 2022, le nombre de contributeurs à la MESP a progressé de </w:t>
      </w:r>
      <w:r>
        <w:rPr>
          <w:b/>
          <w:bCs/>
        </w:rPr>
        <w:t>59,3 %</w:t>
      </w:r>
      <w:r>
        <w:t>, passant de 50 256 à 80 041. Le nombre de personnes à charge a également augmenté, atteignant 84 836 en 2022, pour un total couvert de 164 877 personnes.</w:t>
      </w:r>
    </w:p>
    <w:p w14:paraId="190F8C70" w14:textId="77777777" w:rsidR="003C12C0" w:rsidRDefault="00000000">
      <w:r>
        <w:t>Cette dynamique reste cependant très en deçà du potentiel : si chaque enseignant détenait une carte MESP, la mutuelle compterait plus de 700 000 titulaires et potentiellement 2 800 000 bénéficiaires au total. À fin 2022, la MESP n'était opérationnelle que dans 7 des 26 provinces (Kinshasa, Haut-Katanga, Équateur, Kasaï-Oriental, Kasaï, Tshopo et Nord-Kivu), laissant 19 provinces sans couverture effective.</w:t>
      </w:r>
    </w:p>
    <w:p w14:paraId="190F8C71" w14:textId="77777777" w:rsidR="003C12C0" w:rsidRDefault="00000000">
      <w:r>
        <w:t>L'extension géographique progressive constitue le principal enjeu stratégique de la MESP pour les années à venir.</w:t>
      </w:r>
    </w:p>
    <w:p w14:paraId="190F8C72" w14:textId="77777777" w:rsidR="003C12C0" w:rsidRDefault="00000000">
      <w:pPr>
        <w:pStyle w:val="Heading1"/>
      </w:pPr>
      <w:bookmarkStart w:id="148" w:name="b5-fonds-de-solidarite-de-sante-fss"/>
      <w:bookmarkEnd w:id="143"/>
      <w:bookmarkEnd w:id="147"/>
      <w:r>
        <w:lastRenderedPageBreak/>
        <w:t>B.5 Fonds de Solidarité de Santé (FSS)</w:t>
      </w:r>
    </w:p>
    <w:p w14:paraId="190F8C73" w14:textId="77777777" w:rsidR="003C12C0" w:rsidRDefault="00000000">
      <w:pPr>
        <w:pStyle w:val="Heading2"/>
      </w:pPr>
      <w:bookmarkStart w:id="149" w:name="cadre-juridique-et-institutionnel_4"/>
      <w:r>
        <w:t>Cadre juridique et institutionnel</w:t>
      </w:r>
    </w:p>
    <w:tbl>
      <w:tblPr>
        <w:tblStyle w:val="ILOTable"/>
        <w:tblW w:w="5000" w:type="pct"/>
        <w:tblLook w:val="0020" w:firstRow="1" w:lastRow="0" w:firstColumn="0" w:lastColumn="0" w:noHBand="0" w:noVBand="0"/>
      </w:tblPr>
      <w:tblGrid>
        <w:gridCol w:w="1547"/>
        <w:gridCol w:w="7513"/>
      </w:tblGrid>
      <w:tr w:rsidR="003C12C0" w14:paraId="190F8C76"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C74" w14:textId="77777777" w:rsidR="003C12C0" w:rsidRDefault="00000000">
            <w:pPr>
              <w:pStyle w:val="TableHeader"/>
            </w:pPr>
            <w:r>
              <w:t>Élément</w:t>
            </w:r>
          </w:p>
        </w:tc>
        <w:tc>
          <w:tcPr>
            <w:tcW w:w="0" w:type="auto"/>
            <w:tcBorders>
              <w:top w:val="single" w:sz="4" w:space="0" w:color="000000"/>
              <w:left w:val="single" w:sz="4" w:space="0" w:color="000000"/>
              <w:bottom w:val="single" w:sz="4" w:space="0" w:color="000000"/>
              <w:right w:val="single" w:sz="4" w:space="0" w:color="000000"/>
            </w:tcBorders>
          </w:tcPr>
          <w:p w14:paraId="190F8C75" w14:textId="77777777" w:rsidR="003C12C0" w:rsidRDefault="00000000">
            <w:pPr>
              <w:pStyle w:val="TableHeader"/>
            </w:pPr>
            <w:r>
              <w:t>Détail</w:t>
            </w:r>
          </w:p>
        </w:tc>
      </w:tr>
      <w:tr w:rsidR="003C12C0" w14:paraId="190F8C79"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77" w14:textId="77777777" w:rsidR="003C12C0" w:rsidRDefault="00000000">
            <w:pPr>
              <w:pStyle w:val="TableText"/>
            </w:pPr>
            <w:r>
              <w:t>Texte fondateur</w:t>
            </w:r>
          </w:p>
        </w:tc>
        <w:tc>
          <w:tcPr>
            <w:tcW w:w="0" w:type="auto"/>
            <w:tcBorders>
              <w:top w:val="single" w:sz="4" w:space="0" w:color="000000"/>
              <w:left w:val="single" w:sz="4" w:space="0" w:color="000000"/>
              <w:bottom w:val="single" w:sz="4" w:space="0" w:color="000000"/>
              <w:right w:val="single" w:sz="4" w:space="0" w:color="000000"/>
            </w:tcBorders>
          </w:tcPr>
          <w:p w14:paraId="190F8C78" w14:textId="77777777" w:rsidR="003C12C0" w:rsidRDefault="00000000">
            <w:pPr>
              <w:pStyle w:val="TableText"/>
            </w:pPr>
            <w:r>
              <w:t>Loi n° 18/035 du 13 décembre 2018 fixant les principes fondamentaux relatifs à l'organisation de la santé publique</w:t>
            </w:r>
          </w:p>
        </w:tc>
      </w:tr>
      <w:tr w:rsidR="003C12C0" w14:paraId="190F8C7C"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7A" w14:textId="77777777" w:rsidR="003C12C0" w:rsidRDefault="00000000">
            <w:pPr>
              <w:pStyle w:val="TableText"/>
            </w:pPr>
            <w:r>
              <w:t>Décret d'organisation</w:t>
            </w:r>
          </w:p>
        </w:tc>
        <w:tc>
          <w:tcPr>
            <w:tcW w:w="0" w:type="auto"/>
            <w:tcBorders>
              <w:top w:val="single" w:sz="4" w:space="0" w:color="000000"/>
              <w:left w:val="single" w:sz="4" w:space="0" w:color="000000"/>
              <w:bottom w:val="single" w:sz="4" w:space="0" w:color="000000"/>
              <w:right w:val="single" w:sz="4" w:space="0" w:color="000000"/>
            </w:tcBorders>
          </w:tcPr>
          <w:p w14:paraId="190F8C7B" w14:textId="77777777" w:rsidR="003C12C0" w:rsidRDefault="00000000">
            <w:pPr>
              <w:pStyle w:val="TableText"/>
            </w:pPr>
            <w:r>
              <w:t>Décret n° 22/13 du 09 avril 2022</w:t>
            </w:r>
          </w:p>
        </w:tc>
      </w:tr>
      <w:tr w:rsidR="003C12C0" w14:paraId="190F8C7F"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7D" w14:textId="77777777" w:rsidR="003C12C0" w:rsidRDefault="00000000">
            <w:pPr>
              <w:pStyle w:val="TableText"/>
            </w:pPr>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190F8C7E" w14:textId="77777777" w:rsidR="003C12C0" w:rsidRDefault="00000000">
            <w:pPr>
              <w:pStyle w:val="TableText"/>
            </w:pPr>
            <w:r>
              <w:t>Ministère de la Santé Publique, Hygiène et Prévoyance Sociale</w:t>
            </w:r>
          </w:p>
        </w:tc>
      </w:tr>
      <w:tr w:rsidR="003C12C0" w14:paraId="190F8C82"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80" w14:textId="77777777" w:rsidR="003C12C0" w:rsidRDefault="00000000">
            <w:pPr>
              <w:pStyle w:val="TableText"/>
            </w:pPr>
            <w:r>
              <w:t>Statut juridique</w:t>
            </w:r>
          </w:p>
        </w:tc>
        <w:tc>
          <w:tcPr>
            <w:tcW w:w="0" w:type="auto"/>
            <w:tcBorders>
              <w:top w:val="single" w:sz="4" w:space="0" w:color="000000"/>
              <w:left w:val="single" w:sz="4" w:space="0" w:color="000000"/>
              <w:bottom w:val="single" w:sz="4" w:space="0" w:color="000000"/>
              <w:right w:val="single" w:sz="4" w:space="0" w:color="000000"/>
            </w:tcBorders>
          </w:tcPr>
          <w:p w14:paraId="190F8C81" w14:textId="77777777" w:rsidR="003C12C0" w:rsidRDefault="00000000">
            <w:pPr>
              <w:pStyle w:val="TableText"/>
            </w:pPr>
            <w:r>
              <w:t>Établissement public à caractère administratif, doté de la personnalité juridique et de l'autonomie de gestion</w:t>
            </w:r>
          </w:p>
        </w:tc>
      </w:tr>
      <w:tr w:rsidR="003C12C0" w14:paraId="190F8C85"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83" w14:textId="77777777" w:rsidR="003C12C0" w:rsidRDefault="00000000">
            <w:pPr>
              <w:pStyle w:val="TableText"/>
            </w:pPr>
            <w:r>
              <w:t>Année de création</w:t>
            </w:r>
          </w:p>
        </w:tc>
        <w:tc>
          <w:tcPr>
            <w:tcW w:w="0" w:type="auto"/>
            <w:tcBorders>
              <w:top w:val="single" w:sz="4" w:space="0" w:color="000000"/>
              <w:left w:val="single" w:sz="4" w:space="0" w:color="000000"/>
              <w:bottom w:val="single" w:sz="4" w:space="0" w:color="000000"/>
              <w:right w:val="single" w:sz="4" w:space="0" w:color="000000"/>
            </w:tcBorders>
          </w:tcPr>
          <w:p w14:paraId="190F8C84" w14:textId="77777777" w:rsidR="003C12C0" w:rsidRDefault="00000000">
            <w:pPr>
              <w:pStyle w:val="TableText"/>
            </w:pPr>
            <w:r>
              <w:t>2018 (loi) ; organisation précisée en 2022</w:t>
            </w:r>
          </w:p>
        </w:tc>
      </w:tr>
    </w:tbl>
    <w:p w14:paraId="190F8C86" w14:textId="77777777" w:rsidR="003C12C0" w:rsidRDefault="00000000">
      <w:pPr>
        <w:pStyle w:val="Heading2"/>
      </w:pPr>
      <w:bookmarkStart w:id="150" w:name="mission-et-branches-couvertes_4"/>
      <w:bookmarkEnd w:id="149"/>
      <w:r>
        <w:t>Mission et branches couvertes</w:t>
      </w:r>
    </w:p>
    <w:p w14:paraId="190F8C87" w14:textId="77777777" w:rsidR="003C12C0" w:rsidRDefault="00000000">
      <w:r>
        <w:t>Le FSS est l'instrument central de la mise en œuvre de la Couverture Santé Universelle (CSU) en RDC. Il est chargé d'organiser la solidarité financière des cotisants de la CSU, de collecter les fonds, de contractualiser avec les établissements de santé et pharmaceutiques, et d'assurer un financement équitable des soins pour tous.</w:t>
      </w:r>
    </w:p>
    <w:p w14:paraId="190F8C88" w14:textId="77777777" w:rsidR="003C12C0" w:rsidRDefault="00000000">
      <w:r>
        <w:t>Le FSS a vocation à regrouper, à terme, plusieurs régimes :</w:t>
      </w:r>
    </w:p>
    <w:tbl>
      <w:tblPr>
        <w:tblStyle w:val="ILOTable"/>
        <w:tblW w:w="5000" w:type="pct"/>
        <w:tblLook w:val="0020" w:firstRow="1" w:lastRow="0" w:firstColumn="0" w:lastColumn="0" w:noHBand="0" w:noVBand="0"/>
      </w:tblPr>
      <w:tblGrid>
        <w:gridCol w:w="5261"/>
        <w:gridCol w:w="3799"/>
      </w:tblGrid>
      <w:tr w:rsidR="003C12C0" w14:paraId="190F8C8B"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C89" w14:textId="77777777" w:rsidR="003C12C0" w:rsidRDefault="00000000">
            <w:pPr>
              <w:pStyle w:val="TableHeader"/>
            </w:pPr>
            <w:r>
              <w:t>Régime</w:t>
            </w:r>
          </w:p>
        </w:tc>
        <w:tc>
          <w:tcPr>
            <w:tcW w:w="0" w:type="auto"/>
            <w:tcBorders>
              <w:top w:val="single" w:sz="4" w:space="0" w:color="000000"/>
              <w:left w:val="single" w:sz="4" w:space="0" w:color="000000"/>
              <w:bottom w:val="single" w:sz="4" w:space="0" w:color="000000"/>
              <w:right w:val="single" w:sz="4" w:space="0" w:color="000000"/>
            </w:tcBorders>
          </w:tcPr>
          <w:p w14:paraId="190F8C8A" w14:textId="77777777" w:rsidR="003C12C0" w:rsidRDefault="00000000">
            <w:pPr>
              <w:pStyle w:val="TableHeader"/>
            </w:pPr>
            <w:r>
              <w:t>Statut</w:t>
            </w:r>
          </w:p>
        </w:tc>
      </w:tr>
      <w:tr w:rsidR="003C12C0" w14:paraId="190F8C8E"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8C" w14:textId="77777777" w:rsidR="003C12C0" w:rsidRDefault="00000000">
            <w:pPr>
              <w:pStyle w:val="TableText"/>
            </w:pPr>
            <w:r>
              <w:t>Assurance maladie obligatoire pour les agents publics actifs et retraités</w:t>
            </w:r>
          </w:p>
        </w:tc>
        <w:tc>
          <w:tcPr>
            <w:tcW w:w="0" w:type="auto"/>
            <w:tcBorders>
              <w:top w:val="single" w:sz="4" w:space="0" w:color="000000"/>
              <w:left w:val="single" w:sz="4" w:space="0" w:color="000000"/>
              <w:bottom w:val="single" w:sz="4" w:space="0" w:color="000000"/>
              <w:right w:val="single" w:sz="4" w:space="0" w:color="000000"/>
            </w:tcBorders>
          </w:tcPr>
          <w:p w14:paraId="190F8C8D" w14:textId="77777777" w:rsidR="003C12C0" w:rsidRDefault="00000000">
            <w:pPr>
              <w:pStyle w:val="TableText"/>
            </w:pPr>
            <w:r>
              <w:t>En cours d'opérationnalisation</w:t>
            </w:r>
          </w:p>
        </w:tc>
      </w:tr>
      <w:tr w:rsidR="003C12C0" w14:paraId="190F8C91"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8F" w14:textId="77777777" w:rsidR="003C12C0" w:rsidRDefault="00000000">
            <w:pPr>
              <w:pStyle w:val="TableText"/>
            </w:pPr>
            <w:r>
              <w:t>Assurance maladie obligatoire pour les travailleurs du secteur privé</w:t>
            </w:r>
          </w:p>
        </w:tc>
        <w:tc>
          <w:tcPr>
            <w:tcW w:w="0" w:type="auto"/>
            <w:tcBorders>
              <w:top w:val="single" w:sz="4" w:space="0" w:color="000000"/>
              <w:left w:val="single" w:sz="4" w:space="0" w:color="000000"/>
              <w:bottom w:val="single" w:sz="4" w:space="0" w:color="000000"/>
              <w:right w:val="single" w:sz="4" w:space="0" w:color="000000"/>
            </w:tcBorders>
          </w:tcPr>
          <w:p w14:paraId="190F8C90" w14:textId="77777777" w:rsidR="003C12C0" w:rsidRDefault="00000000">
            <w:pPr>
              <w:pStyle w:val="TableText"/>
            </w:pPr>
            <w:r>
              <w:t>En cours</w:t>
            </w:r>
          </w:p>
        </w:tc>
      </w:tr>
      <w:tr w:rsidR="003C12C0" w14:paraId="190F8C94"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92" w14:textId="77777777" w:rsidR="003C12C0" w:rsidRDefault="00000000">
            <w:pPr>
              <w:pStyle w:val="TableText"/>
            </w:pPr>
            <w:r>
              <w:t>Assurance maladie obligatoire scolaire et estudiantine</w:t>
            </w:r>
          </w:p>
        </w:tc>
        <w:tc>
          <w:tcPr>
            <w:tcW w:w="0" w:type="auto"/>
            <w:tcBorders>
              <w:top w:val="single" w:sz="4" w:space="0" w:color="000000"/>
              <w:left w:val="single" w:sz="4" w:space="0" w:color="000000"/>
              <w:bottom w:val="single" w:sz="4" w:space="0" w:color="000000"/>
              <w:right w:val="single" w:sz="4" w:space="0" w:color="000000"/>
            </w:tcBorders>
          </w:tcPr>
          <w:p w14:paraId="190F8C93" w14:textId="77777777" w:rsidR="003C12C0" w:rsidRDefault="00000000">
            <w:pPr>
              <w:pStyle w:val="TableText"/>
            </w:pPr>
            <w:r>
              <w:t>En cours</w:t>
            </w:r>
          </w:p>
        </w:tc>
      </w:tr>
      <w:tr w:rsidR="003C12C0" w14:paraId="190F8C97"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95" w14:textId="77777777" w:rsidR="003C12C0" w:rsidRDefault="00000000">
            <w:pPr>
              <w:pStyle w:val="TableText"/>
            </w:pPr>
            <w:r>
              <w:t>Assurance maladie du secteur informel</w:t>
            </w:r>
          </w:p>
        </w:tc>
        <w:tc>
          <w:tcPr>
            <w:tcW w:w="0" w:type="auto"/>
            <w:tcBorders>
              <w:top w:val="single" w:sz="4" w:space="0" w:color="000000"/>
              <w:left w:val="single" w:sz="4" w:space="0" w:color="000000"/>
              <w:bottom w:val="single" w:sz="4" w:space="0" w:color="000000"/>
              <w:right w:val="single" w:sz="4" w:space="0" w:color="000000"/>
            </w:tcBorders>
          </w:tcPr>
          <w:p w14:paraId="190F8C96" w14:textId="77777777" w:rsidR="003C12C0" w:rsidRDefault="00000000">
            <w:pPr>
              <w:pStyle w:val="TableText"/>
            </w:pPr>
            <w:r>
              <w:t>En cours</w:t>
            </w:r>
          </w:p>
        </w:tc>
      </w:tr>
      <w:tr w:rsidR="003C12C0" w14:paraId="190F8C9A"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98" w14:textId="77777777" w:rsidR="003C12C0" w:rsidRDefault="00000000">
            <w:pPr>
              <w:pStyle w:val="TableText"/>
            </w:pPr>
            <w:r>
              <w:t>Assistance médicale aux personnes vulnérables (non contributif)</w:t>
            </w:r>
          </w:p>
        </w:tc>
        <w:tc>
          <w:tcPr>
            <w:tcW w:w="0" w:type="auto"/>
            <w:tcBorders>
              <w:top w:val="single" w:sz="4" w:space="0" w:color="000000"/>
              <w:left w:val="single" w:sz="4" w:space="0" w:color="000000"/>
              <w:bottom w:val="single" w:sz="4" w:space="0" w:color="000000"/>
              <w:right w:val="single" w:sz="4" w:space="0" w:color="000000"/>
            </w:tcBorders>
          </w:tcPr>
          <w:p w14:paraId="190F8C99" w14:textId="77777777" w:rsidR="003C12C0" w:rsidRDefault="00000000">
            <w:pPr>
              <w:pStyle w:val="TableText"/>
            </w:pPr>
            <w:r>
              <w:t>En cours</w:t>
            </w:r>
          </w:p>
        </w:tc>
      </w:tr>
      <w:tr w:rsidR="003C12C0" w14:paraId="190F8C9D"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9B" w14:textId="77777777" w:rsidR="003C12C0" w:rsidRDefault="00000000">
            <w:pPr>
              <w:pStyle w:val="TableText"/>
            </w:pPr>
            <w:r>
              <w:t>Régime spécial sur la gratuité de la maternité</w:t>
            </w:r>
          </w:p>
        </w:tc>
        <w:tc>
          <w:tcPr>
            <w:tcW w:w="0" w:type="auto"/>
            <w:tcBorders>
              <w:top w:val="single" w:sz="4" w:space="0" w:color="000000"/>
              <w:left w:val="single" w:sz="4" w:space="0" w:color="000000"/>
              <w:bottom w:val="single" w:sz="4" w:space="0" w:color="000000"/>
              <w:right w:val="single" w:sz="4" w:space="0" w:color="000000"/>
            </w:tcBorders>
          </w:tcPr>
          <w:p w14:paraId="190F8C9C" w14:textId="77777777" w:rsidR="003C12C0" w:rsidRDefault="00000000">
            <w:pPr>
              <w:pStyle w:val="TableText"/>
            </w:pPr>
            <w:r>
              <w:rPr>
                <w:b/>
                <w:bCs/>
              </w:rPr>
              <w:t>Opérationnel depuis septembre 2023</w:t>
            </w:r>
            <w:r>
              <w:t xml:space="preserve"> (Kinshasa)</w:t>
            </w:r>
          </w:p>
        </w:tc>
      </w:tr>
      <w:tr w:rsidR="003C12C0" w14:paraId="190F8CA0"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9E" w14:textId="77777777" w:rsidR="003C12C0" w:rsidRDefault="00000000">
            <w:pPr>
              <w:pStyle w:val="TableText"/>
            </w:pPr>
            <w:r>
              <w:t>Assurance maladie complémentaire</w:t>
            </w:r>
          </w:p>
        </w:tc>
        <w:tc>
          <w:tcPr>
            <w:tcW w:w="0" w:type="auto"/>
            <w:tcBorders>
              <w:top w:val="single" w:sz="4" w:space="0" w:color="000000"/>
              <w:left w:val="single" w:sz="4" w:space="0" w:color="000000"/>
              <w:bottom w:val="single" w:sz="4" w:space="0" w:color="000000"/>
              <w:right w:val="single" w:sz="4" w:space="0" w:color="000000"/>
            </w:tcBorders>
          </w:tcPr>
          <w:p w14:paraId="190F8C9F" w14:textId="77777777" w:rsidR="003C12C0" w:rsidRDefault="00000000">
            <w:pPr>
              <w:pStyle w:val="TableText"/>
            </w:pPr>
            <w:r>
              <w:t>En cours</w:t>
            </w:r>
          </w:p>
        </w:tc>
      </w:tr>
    </w:tbl>
    <w:p w14:paraId="190F8CA1" w14:textId="77777777" w:rsidR="003C12C0" w:rsidRDefault="00000000">
      <w:pPr>
        <w:pStyle w:val="Heading2"/>
      </w:pPr>
      <w:bookmarkStart w:id="151" w:name="donnees-de-couverture_4"/>
      <w:bookmarkEnd w:id="150"/>
      <w:r>
        <w:t>Données de couverture</w:t>
      </w:r>
    </w:p>
    <w:tbl>
      <w:tblPr>
        <w:tblStyle w:val="ILOTable"/>
        <w:tblW w:w="5000" w:type="pct"/>
        <w:tblLook w:val="0020" w:firstRow="1" w:lastRow="0" w:firstColumn="0" w:lastColumn="0" w:noHBand="0" w:noVBand="0"/>
      </w:tblPr>
      <w:tblGrid>
        <w:gridCol w:w="3500"/>
        <w:gridCol w:w="509"/>
        <w:gridCol w:w="2028"/>
        <w:gridCol w:w="3023"/>
      </w:tblGrid>
      <w:tr w:rsidR="003C12C0" w14:paraId="190F8CA6"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CA2" w14:textId="77777777" w:rsidR="003C12C0"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90F8CA3" w14:textId="77777777" w:rsidR="003C12C0"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90F8CA4" w14:textId="77777777" w:rsidR="003C12C0"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90F8CA5" w14:textId="77777777" w:rsidR="003C12C0" w:rsidRDefault="00000000">
            <w:pPr>
              <w:pStyle w:val="TableHeader"/>
            </w:pPr>
            <w:r>
              <w:t>Note</w:t>
            </w:r>
          </w:p>
        </w:tc>
      </w:tr>
      <w:tr w:rsidR="003C12C0" w14:paraId="190F8CAB"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A7" w14:textId="77777777" w:rsidR="003C12C0" w:rsidRDefault="00000000">
            <w:pPr>
              <w:pStyle w:val="TableText"/>
            </w:pPr>
            <w:r>
              <w:t>Bénéficiaires de la gratuité de la maternité</w:t>
            </w:r>
          </w:p>
        </w:tc>
        <w:tc>
          <w:tcPr>
            <w:tcW w:w="0" w:type="auto"/>
            <w:tcBorders>
              <w:top w:val="single" w:sz="4" w:space="0" w:color="000000"/>
              <w:left w:val="single" w:sz="4" w:space="0" w:color="000000"/>
              <w:bottom w:val="single" w:sz="4" w:space="0" w:color="000000"/>
              <w:right w:val="single" w:sz="4" w:space="0" w:color="000000"/>
            </w:tcBorders>
          </w:tcPr>
          <w:p w14:paraId="190F8CA8"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A9" w14:textId="77777777" w:rsidR="003C12C0" w:rsidRDefault="00000000">
            <w:pPr>
              <w:pStyle w:val="TableText"/>
            </w:pPr>
            <w:r>
              <w:rPr>
                <w:i/>
                <w:iCs/>
              </w:rPr>
              <w:t>En cours de déploiement</w:t>
            </w:r>
          </w:p>
        </w:tc>
        <w:tc>
          <w:tcPr>
            <w:tcW w:w="0" w:type="auto"/>
            <w:tcBorders>
              <w:top w:val="single" w:sz="4" w:space="0" w:color="000000"/>
              <w:left w:val="single" w:sz="4" w:space="0" w:color="000000"/>
              <w:bottom w:val="single" w:sz="4" w:space="0" w:color="000000"/>
              <w:right w:val="single" w:sz="4" w:space="0" w:color="000000"/>
            </w:tcBorders>
          </w:tcPr>
          <w:p w14:paraId="190F8CAA" w14:textId="77777777" w:rsidR="003C12C0" w:rsidRDefault="00000000">
            <w:pPr>
              <w:pStyle w:val="TableText"/>
            </w:pPr>
            <w:r>
              <w:t>Lancé en septembre 2023 à Kinshasa</w:t>
            </w:r>
          </w:p>
        </w:tc>
      </w:tr>
      <w:tr w:rsidR="003C12C0" w14:paraId="190F8CB0"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AC" w14:textId="77777777" w:rsidR="003C12C0" w:rsidRDefault="00000000">
            <w:pPr>
              <w:pStyle w:val="TableText"/>
            </w:pPr>
            <w:r>
              <w:t>Population cible (ville-province de Kinshasa)</w:t>
            </w:r>
          </w:p>
        </w:tc>
        <w:tc>
          <w:tcPr>
            <w:tcW w:w="0" w:type="auto"/>
            <w:tcBorders>
              <w:top w:val="single" w:sz="4" w:space="0" w:color="000000"/>
              <w:left w:val="single" w:sz="4" w:space="0" w:color="000000"/>
              <w:bottom w:val="single" w:sz="4" w:space="0" w:color="000000"/>
              <w:right w:val="single" w:sz="4" w:space="0" w:color="000000"/>
            </w:tcBorders>
          </w:tcPr>
          <w:p w14:paraId="190F8CAD"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AE" w14:textId="77777777" w:rsidR="003C12C0" w:rsidRDefault="00000000">
            <w:pPr>
              <w:pStyle w:val="TableText"/>
            </w:pPr>
            <w:r>
              <w:t>1618 millions</w:t>
            </w:r>
          </w:p>
        </w:tc>
        <w:tc>
          <w:tcPr>
            <w:tcW w:w="0" w:type="auto"/>
            <w:tcBorders>
              <w:top w:val="single" w:sz="4" w:space="0" w:color="000000"/>
              <w:left w:val="single" w:sz="4" w:space="0" w:color="000000"/>
              <w:bottom w:val="single" w:sz="4" w:space="0" w:color="000000"/>
              <w:right w:val="single" w:sz="4" w:space="0" w:color="000000"/>
            </w:tcBorders>
          </w:tcPr>
          <w:p w14:paraId="190F8CAF" w14:textId="77777777" w:rsidR="003C12C0" w:rsidRDefault="00000000">
            <w:pPr>
              <w:pStyle w:val="TableText"/>
            </w:pPr>
            <w:r>
              <w:t>Première phase</w:t>
            </w:r>
          </w:p>
        </w:tc>
      </w:tr>
      <w:tr w:rsidR="003C12C0" w14:paraId="190F8CB5"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B1" w14:textId="77777777" w:rsidR="003C12C0" w:rsidRDefault="00000000">
            <w:pPr>
              <w:pStyle w:val="TableText"/>
            </w:pPr>
            <w:r>
              <w:t>Contributeurs actifs</w:t>
            </w:r>
          </w:p>
        </w:tc>
        <w:tc>
          <w:tcPr>
            <w:tcW w:w="0" w:type="auto"/>
            <w:tcBorders>
              <w:top w:val="single" w:sz="4" w:space="0" w:color="000000"/>
              <w:left w:val="single" w:sz="4" w:space="0" w:color="000000"/>
              <w:bottom w:val="single" w:sz="4" w:space="0" w:color="000000"/>
              <w:right w:val="single" w:sz="4" w:space="0" w:color="000000"/>
            </w:tcBorders>
          </w:tcPr>
          <w:p w14:paraId="190F8CB2"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B3"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B4" w14:textId="77777777" w:rsidR="003C12C0" w:rsidRDefault="00000000">
            <w:pPr>
              <w:pStyle w:val="TableText"/>
            </w:pPr>
            <w:r>
              <w:t>Contributions non encore prélevées</w:t>
            </w:r>
          </w:p>
        </w:tc>
      </w:tr>
    </w:tbl>
    <w:p w14:paraId="190F8CB6" w14:textId="77777777" w:rsidR="003C12C0" w:rsidRDefault="00000000">
      <w:r>
        <w:rPr>
          <w:i/>
          <w:iCs/>
        </w:rPr>
        <w:t>À compléter à réception des données du FSS.</w:t>
      </w:r>
    </w:p>
    <w:p w14:paraId="190F8CB7" w14:textId="77777777" w:rsidR="003C12C0" w:rsidRDefault="00000000">
      <w:pPr>
        <w:pStyle w:val="Heading2"/>
      </w:pPr>
      <w:bookmarkStart w:id="152" w:name="evolutions-et-reformes-en-cours_4"/>
      <w:bookmarkEnd w:id="151"/>
      <w:r>
        <w:lastRenderedPageBreak/>
        <w:t>Évolutions et réformes en cours</w:t>
      </w:r>
    </w:p>
    <w:p w14:paraId="190F8CB8" w14:textId="77777777" w:rsidR="003C12C0" w:rsidRDefault="00000000">
      <w:r>
        <w:t>Le FSS représente l'architecture institutionnelle centrale de la CSU en RDC, mais son déploiement effectif est progressif. En septembre 2023, la politique de gratuité des accouchements et des soins néonatals a été lancée dans la ville-province de Kinshasa. Ce paquet couvre les consultations prénatales, l'échographie obstétricale, les accouchements simples et par césarienne, les soins du nouveau-né, la vaccination, les consultations post-natales et l'accès aux médicaments essentiels.</w:t>
      </w:r>
    </w:p>
    <w:p w14:paraId="190F8CB9" w14:textId="77777777" w:rsidR="003C12C0" w:rsidRDefault="00000000">
      <w:r>
        <w:t>L'extension est prévue vers le Sud-Kivu, le Kasaï-Oriental et le Kongo-Central, avant une généralisation progressive à l'ensemble du territoire national. La vocation du FSS est à terme de remplacer tous les régimes particuliers de financement des soins médicaux existants pour assurer une couverture universelle.</w:t>
      </w:r>
    </w:p>
    <w:p w14:paraId="190F8CBA" w14:textId="77777777" w:rsidR="003C12C0" w:rsidRDefault="00000000">
      <w:pPr>
        <w:pStyle w:val="Heading1"/>
      </w:pPr>
      <w:bookmarkStart w:id="153" w:name="Xdfb106671bc93e5d28332a0ebe4edc635ed6fd5"/>
      <w:bookmarkEnd w:id="148"/>
      <w:bookmarkEnd w:id="152"/>
      <w:r>
        <w:lastRenderedPageBreak/>
        <w:t>B.6 Service Autonome de Sécurité Sociale des Parlementaires (SESOPA)</w:t>
      </w:r>
    </w:p>
    <w:p w14:paraId="190F8CBB" w14:textId="77777777" w:rsidR="003C12C0" w:rsidRDefault="00000000">
      <w:pPr>
        <w:pStyle w:val="Heading2"/>
      </w:pPr>
      <w:bookmarkStart w:id="154" w:name="cadre-juridique-et-institutionnel_5"/>
      <w:r>
        <w:t>Cadre juridique et institutionnel</w:t>
      </w:r>
    </w:p>
    <w:tbl>
      <w:tblPr>
        <w:tblStyle w:val="ILOTable"/>
        <w:tblW w:w="5000" w:type="pct"/>
        <w:tblLook w:val="0020" w:firstRow="1" w:lastRow="0" w:firstColumn="0" w:lastColumn="0" w:noHBand="0" w:noVBand="0"/>
      </w:tblPr>
      <w:tblGrid>
        <w:gridCol w:w="1863"/>
        <w:gridCol w:w="7197"/>
      </w:tblGrid>
      <w:tr w:rsidR="003C12C0" w14:paraId="190F8CBE"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CBC" w14:textId="77777777" w:rsidR="003C12C0" w:rsidRDefault="00000000">
            <w:pPr>
              <w:pStyle w:val="TableHeader"/>
            </w:pPr>
            <w:r>
              <w:t>Élément</w:t>
            </w:r>
          </w:p>
        </w:tc>
        <w:tc>
          <w:tcPr>
            <w:tcW w:w="0" w:type="auto"/>
            <w:tcBorders>
              <w:top w:val="single" w:sz="4" w:space="0" w:color="000000"/>
              <w:left w:val="single" w:sz="4" w:space="0" w:color="000000"/>
              <w:bottom w:val="single" w:sz="4" w:space="0" w:color="000000"/>
              <w:right w:val="single" w:sz="4" w:space="0" w:color="000000"/>
            </w:tcBorders>
          </w:tcPr>
          <w:p w14:paraId="190F8CBD" w14:textId="77777777" w:rsidR="003C12C0" w:rsidRDefault="00000000">
            <w:pPr>
              <w:pStyle w:val="TableHeader"/>
            </w:pPr>
            <w:r>
              <w:t>Détail</w:t>
            </w:r>
          </w:p>
        </w:tc>
      </w:tr>
      <w:tr w:rsidR="003C12C0" w14:paraId="190F8CC1"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BF" w14:textId="77777777" w:rsidR="003C12C0" w:rsidRDefault="00000000">
            <w:pPr>
              <w:pStyle w:val="TableText"/>
            </w:pPr>
            <w:r>
              <w:t>Texte fondateur</w:t>
            </w:r>
          </w:p>
        </w:tc>
        <w:tc>
          <w:tcPr>
            <w:tcW w:w="0" w:type="auto"/>
            <w:tcBorders>
              <w:top w:val="single" w:sz="4" w:space="0" w:color="000000"/>
              <w:left w:val="single" w:sz="4" w:space="0" w:color="000000"/>
              <w:bottom w:val="single" w:sz="4" w:space="0" w:color="000000"/>
              <w:right w:val="single" w:sz="4" w:space="0" w:color="000000"/>
            </w:tcBorders>
          </w:tcPr>
          <w:p w14:paraId="190F8CC0" w14:textId="77777777" w:rsidR="003C12C0" w:rsidRDefault="00000000">
            <w:pPr>
              <w:pStyle w:val="TableText"/>
            </w:pPr>
            <w:r>
              <w:t>Loi n° 88-002 du 29 janvier 1988</w:t>
            </w:r>
          </w:p>
        </w:tc>
      </w:tr>
      <w:tr w:rsidR="003C12C0" w14:paraId="190F8CC4"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C2" w14:textId="77777777" w:rsidR="003C12C0" w:rsidRDefault="00000000">
            <w:pPr>
              <w:pStyle w:val="TableText"/>
            </w:pPr>
            <w:r>
              <w:t>Autorité de tutelle</w:t>
            </w:r>
          </w:p>
        </w:tc>
        <w:tc>
          <w:tcPr>
            <w:tcW w:w="0" w:type="auto"/>
            <w:tcBorders>
              <w:top w:val="single" w:sz="4" w:space="0" w:color="000000"/>
              <w:left w:val="single" w:sz="4" w:space="0" w:color="000000"/>
              <w:bottom w:val="single" w:sz="4" w:space="0" w:color="000000"/>
              <w:right w:val="single" w:sz="4" w:space="0" w:color="000000"/>
            </w:tcBorders>
          </w:tcPr>
          <w:p w14:paraId="190F8CC3" w14:textId="77777777" w:rsidR="003C12C0" w:rsidRDefault="00000000">
            <w:pPr>
              <w:pStyle w:val="TableText"/>
            </w:pPr>
            <w:r>
              <w:t>Assemblée Nationale</w:t>
            </w:r>
          </w:p>
        </w:tc>
      </w:tr>
      <w:tr w:rsidR="003C12C0" w14:paraId="190F8CC7"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C5" w14:textId="77777777" w:rsidR="003C12C0" w:rsidRDefault="00000000">
            <w:pPr>
              <w:pStyle w:val="TableText"/>
            </w:pPr>
            <w:r>
              <w:t>Statut juridique</w:t>
            </w:r>
          </w:p>
        </w:tc>
        <w:tc>
          <w:tcPr>
            <w:tcW w:w="0" w:type="auto"/>
            <w:tcBorders>
              <w:top w:val="single" w:sz="4" w:space="0" w:color="000000"/>
              <w:left w:val="single" w:sz="4" w:space="0" w:color="000000"/>
              <w:bottom w:val="single" w:sz="4" w:space="0" w:color="000000"/>
              <w:right w:val="single" w:sz="4" w:space="0" w:color="000000"/>
            </w:tcBorders>
          </w:tcPr>
          <w:p w14:paraId="190F8CC6" w14:textId="77777777" w:rsidR="003C12C0" w:rsidRDefault="00000000">
            <w:pPr>
              <w:pStyle w:val="TableText"/>
            </w:pPr>
            <w:r>
              <w:t>Service autonome placé sous la responsabilité de l'Assemblée Nationale</w:t>
            </w:r>
          </w:p>
        </w:tc>
      </w:tr>
      <w:tr w:rsidR="003C12C0" w14:paraId="190F8CCA"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C8" w14:textId="77777777" w:rsidR="003C12C0" w:rsidRDefault="00000000">
            <w:pPr>
              <w:pStyle w:val="TableText"/>
            </w:pPr>
            <w:r>
              <w:t>Régime</w:t>
            </w:r>
          </w:p>
        </w:tc>
        <w:tc>
          <w:tcPr>
            <w:tcW w:w="0" w:type="auto"/>
            <w:tcBorders>
              <w:top w:val="single" w:sz="4" w:space="0" w:color="000000"/>
              <w:left w:val="single" w:sz="4" w:space="0" w:color="000000"/>
              <w:bottom w:val="single" w:sz="4" w:space="0" w:color="000000"/>
              <w:right w:val="single" w:sz="4" w:space="0" w:color="000000"/>
            </w:tcBorders>
          </w:tcPr>
          <w:p w14:paraId="190F8CC9" w14:textId="77777777" w:rsidR="003C12C0" w:rsidRDefault="00000000">
            <w:pPr>
              <w:pStyle w:val="TableText"/>
            </w:pPr>
            <w:r>
              <w:t>Régime spécial contributif (partiellement)</w:t>
            </w:r>
          </w:p>
        </w:tc>
      </w:tr>
    </w:tbl>
    <w:p w14:paraId="190F8CCB" w14:textId="77777777" w:rsidR="003C12C0" w:rsidRDefault="00000000">
      <w:pPr>
        <w:pStyle w:val="Heading2"/>
      </w:pPr>
      <w:bookmarkStart w:id="155" w:name="mission-et-branches-couvertes_5"/>
      <w:bookmarkEnd w:id="154"/>
      <w:r>
        <w:t>Mission et branches couvertes</w:t>
      </w:r>
    </w:p>
    <w:p w14:paraId="190F8CCC" w14:textId="77777777" w:rsidR="003C12C0" w:rsidRDefault="00000000">
      <w:r>
        <w:t>La SESOPA gère le régime de protection sociale des parlementaires nationaux.</w:t>
      </w:r>
    </w:p>
    <w:tbl>
      <w:tblPr>
        <w:tblStyle w:val="ILOTable"/>
        <w:tblW w:w="5000" w:type="pct"/>
        <w:tblLook w:val="0020" w:firstRow="1" w:lastRow="0" w:firstColumn="0" w:lastColumn="0" w:noHBand="0" w:noVBand="0"/>
      </w:tblPr>
      <w:tblGrid>
        <w:gridCol w:w="2421"/>
        <w:gridCol w:w="1963"/>
        <w:gridCol w:w="4676"/>
      </w:tblGrid>
      <w:tr w:rsidR="003C12C0" w14:paraId="190F8CD0"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CCD" w14:textId="77777777" w:rsidR="003C12C0" w:rsidRDefault="00000000">
            <w:pPr>
              <w:pStyle w:val="TableHeader"/>
            </w:pPr>
            <w:r>
              <w:t>Branche</w:t>
            </w:r>
          </w:p>
        </w:tc>
        <w:tc>
          <w:tcPr>
            <w:tcW w:w="0" w:type="auto"/>
            <w:tcBorders>
              <w:top w:val="single" w:sz="4" w:space="0" w:color="000000"/>
              <w:left w:val="single" w:sz="4" w:space="0" w:color="000000"/>
              <w:bottom w:val="single" w:sz="4" w:space="0" w:color="000000"/>
              <w:right w:val="single" w:sz="4" w:space="0" w:color="000000"/>
            </w:tcBorders>
          </w:tcPr>
          <w:p w14:paraId="190F8CCE" w14:textId="77777777" w:rsidR="003C12C0" w:rsidRDefault="00000000">
            <w:pPr>
              <w:pStyle w:val="TableHeader"/>
            </w:pPr>
            <w:r>
              <w:t>Couverte ?</w:t>
            </w:r>
          </w:p>
        </w:tc>
        <w:tc>
          <w:tcPr>
            <w:tcW w:w="0" w:type="auto"/>
            <w:tcBorders>
              <w:top w:val="single" w:sz="4" w:space="0" w:color="000000"/>
              <w:left w:val="single" w:sz="4" w:space="0" w:color="000000"/>
              <w:bottom w:val="single" w:sz="4" w:space="0" w:color="000000"/>
              <w:right w:val="single" w:sz="4" w:space="0" w:color="000000"/>
            </w:tcBorders>
          </w:tcPr>
          <w:p w14:paraId="190F8CCF" w14:textId="77777777" w:rsidR="003C12C0" w:rsidRDefault="00000000">
            <w:pPr>
              <w:pStyle w:val="TableHeader"/>
            </w:pPr>
            <w:r>
              <w:t>Note</w:t>
            </w:r>
          </w:p>
        </w:tc>
      </w:tr>
      <w:tr w:rsidR="003C12C0" w14:paraId="190F8CD4"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D1" w14:textId="77777777" w:rsidR="003C12C0" w:rsidRDefault="00000000">
            <w:pPr>
              <w:pStyle w:val="TableText"/>
            </w:pPr>
            <w:r>
              <w:t>Vieillesse</w:t>
            </w:r>
          </w:p>
        </w:tc>
        <w:tc>
          <w:tcPr>
            <w:tcW w:w="0" w:type="auto"/>
            <w:tcBorders>
              <w:top w:val="single" w:sz="4" w:space="0" w:color="000000"/>
              <w:left w:val="single" w:sz="4" w:space="0" w:color="000000"/>
              <w:bottom w:val="single" w:sz="4" w:space="0" w:color="000000"/>
              <w:right w:val="single" w:sz="4" w:space="0" w:color="000000"/>
            </w:tcBorders>
          </w:tcPr>
          <w:p w14:paraId="190F8CD2"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D3" w14:textId="77777777" w:rsidR="003C12C0" w:rsidRDefault="00000000">
            <w:pPr>
              <w:pStyle w:val="TableText"/>
            </w:pPr>
            <w:r>
              <w:t>Pension de retraite</w:t>
            </w:r>
          </w:p>
        </w:tc>
      </w:tr>
      <w:tr w:rsidR="003C12C0" w14:paraId="190F8CD8"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D5" w14:textId="77777777" w:rsidR="003C12C0" w:rsidRDefault="00000000">
            <w:pPr>
              <w:pStyle w:val="TableText"/>
            </w:pPr>
            <w:r>
              <w:t>Décès</w:t>
            </w:r>
          </w:p>
        </w:tc>
        <w:tc>
          <w:tcPr>
            <w:tcW w:w="0" w:type="auto"/>
            <w:tcBorders>
              <w:top w:val="single" w:sz="4" w:space="0" w:color="000000"/>
              <w:left w:val="single" w:sz="4" w:space="0" w:color="000000"/>
              <w:bottom w:val="single" w:sz="4" w:space="0" w:color="000000"/>
              <w:right w:val="single" w:sz="4" w:space="0" w:color="000000"/>
            </w:tcBorders>
          </w:tcPr>
          <w:p w14:paraId="190F8CD6"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D7" w14:textId="77777777" w:rsidR="003C12C0" w:rsidRDefault="00000000">
            <w:pPr>
              <w:pStyle w:val="TableText"/>
            </w:pPr>
            <w:r>
              <w:t>Allocation aux ayants droit</w:t>
            </w:r>
          </w:p>
        </w:tc>
      </w:tr>
      <w:tr w:rsidR="003C12C0" w14:paraId="190F8CDC"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D9" w14:textId="77777777" w:rsidR="003C12C0" w:rsidRDefault="00000000">
            <w:pPr>
              <w:pStyle w:val="TableText"/>
            </w:pPr>
            <w:r>
              <w:t>Invalidité</w:t>
            </w:r>
          </w:p>
        </w:tc>
        <w:tc>
          <w:tcPr>
            <w:tcW w:w="0" w:type="auto"/>
            <w:tcBorders>
              <w:top w:val="single" w:sz="4" w:space="0" w:color="000000"/>
              <w:left w:val="single" w:sz="4" w:space="0" w:color="000000"/>
              <w:bottom w:val="single" w:sz="4" w:space="0" w:color="000000"/>
              <w:right w:val="single" w:sz="4" w:space="0" w:color="000000"/>
            </w:tcBorders>
          </w:tcPr>
          <w:p w14:paraId="190F8CDA"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DB" w14:textId="77777777" w:rsidR="003C12C0" w:rsidRDefault="00000000">
            <w:pPr>
              <w:pStyle w:val="TableText"/>
            </w:pPr>
            <w:r>
              <w:t>Non mentionnée explicitement</w:t>
            </w:r>
          </w:p>
        </w:tc>
      </w:tr>
      <w:tr w:rsidR="003C12C0" w14:paraId="190F8CE0"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DD" w14:textId="77777777" w:rsidR="003C12C0" w:rsidRDefault="00000000">
            <w:pPr>
              <w:pStyle w:val="TableText"/>
            </w:pPr>
            <w:r>
              <w:t>Soins de santé</w:t>
            </w:r>
          </w:p>
        </w:tc>
        <w:tc>
          <w:tcPr>
            <w:tcW w:w="0" w:type="auto"/>
            <w:tcBorders>
              <w:top w:val="single" w:sz="4" w:space="0" w:color="000000"/>
              <w:left w:val="single" w:sz="4" w:space="0" w:color="000000"/>
              <w:bottom w:val="single" w:sz="4" w:space="0" w:color="000000"/>
              <w:right w:val="single" w:sz="4" w:space="0" w:color="000000"/>
            </w:tcBorders>
          </w:tcPr>
          <w:p w14:paraId="190F8CDE"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DF" w14:textId="77777777" w:rsidR="003C12C0" w:rsidRDefault="00000000">
            <w:pPr>
              <w:pStyle w:val="TableText"/>
            </w:pPr>
            <w:r>
              <w:t>Non couverte par ce régime</w:t>
            </w:r>
          </w:p>
        </w:tc>
      </w:tr>
      <w:tr w:rsidR="003C12C0" w14:paraId="190F8CE4"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E1" w14:textId="77777777" w:rsidR="003C12C0" w:rsidRDefault="00000000">
            <w:pPr>
              <w:pStyle w:val="TableText"/>
            </w:pPr>
            <w:r>
              <w:t>AT/MP</w:t>
            </w:r>
          </w:p>
        </w:tc>
        <w:tc>
          <w:tcPr>
            <w:tcW w:w="0" w:type="auto"/>
            <w:tcBorders>
              <w:top w:val="single" w:sz="4" w:space="0" w:color="000000"/>
              <w:left w:val="single" w:sz="4" w:space="0" w:color="000000"/>
              <w:bottom w:val="single" w:sz="4" w:space="0" w:color="000000"/>
              <w:right w:val="single" w:sz="4" w:space="0" w:color="000000"/>
            </w:tcBorders>
          </w:tcPr>
          <w:p w14:paraId="190F8CE2"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E3" w14:textId="77777777" w:rsidR="003C12C0" w:rsidRDefault="00000000">
            <w:pPr>
              <w:pStyle w:val="TableText"/>
            </w:pPr>
            <w:r>
              <w:t>Non couverte</w:t>
            </w:r>
          </w:p>
        </w:tc>
      </w:tr>
    </w:tbl>
    <w:p w14:paraId="190F8CE5" w14:textId="77777777" w:rsidR="003C12C0" w:rsidRDefault="00000000">
      <w:r>
        <w:rPr>
          <w:b/>
          <w:bCs/>
        </w:rPr>
        <w:t>Population assujettie :</w:t>
      </w:r>
      <w:r>
        <w:t xml:space="preserve"> parlementaires nationaux (Assemblée Nationale) et leurs ayants droit.</w:t>
      </w:r>
    </w:p>
    <w:p w14:paraId="190F8CE6" w14:textId="77777777" w:rsidR="003C12C0" w:rsidRDefault="00000000">
      <w:pPr>
        <w:pStyle w:val="Heading2"/>
      </w:pPr>
      <w:bookmarkStart w:id="156" w:name="donnees-de-couverture_5"/>
      <w:bookmarkEnd w:id="155"/>
      <w:r>
        <w:t>Données de couverture</w:t>
      </w:r>
    </w:p>
    <w:tbl>
      <w:tblPr>
        <w:tblStyle w:val="ILOTable"/>
        <w:tblW w:w="5000" w:type="pct"/>
        <w:tblLook w:val="0020" w:firstRow="1" w:lastRow="0" w:firstColumn="0" w:lastColumn="0" w:noHBand="0" w:noVBand="0"/>
      </w:tblPr>
      <w:tblGrid>
        <w:gridCol w:w="4081"/>
        <w:gridCol w:w="995"/>
        <w:gridCol w:w="996"/>
        <w:gridCol w:w="996"/>
        <w:gridCol w:w="996"/>
        <w:gridCol w:w="996"/>
      </w:tblGrid>
      <w:tr w:rsidR="003C12C0" w14:paraId="190F8CED"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CE7" w14:textId="77777777" w:rsidR="003C12C0"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90F8CE8" w14:textId="77777777" w:rsidR="003C12C0"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90F8CE9" w14:textId="77777777" w:rsidR="003C12C0"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90F8CEA" w14:textId="77777777" w:rsidR="003C12C0"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90F8CEB" w14:textId="77777777" w:rsidR="003C12C0"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90F8CEC" w14:textId="77777777" w:rsidR="003C12C0" w:rsidRDefault="00000000">
            <w:pPr>
              <w:pStyle w:val="TableHeader"/>
            </w:pPr>
            <w:r>
              <w:t>2023</w:t>
            </w:r>
          </w:p>
        </w:tc>
      </w:tr>
      <w:tr w:rsidR="003C12C0" w14:paraId="190F8CF4"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EE" w14:textId="77777777" w:rsidR="003C12C0" w:rsidRDefault="00000000">
            <w:pPr>
              <w:pStyle w:val="TableText"/>
            </w:pPr>
            <w:r>
              <w:t>Parlementaires affiliés</w:t>
            </w:r>
          </w:p>
        </w:tc>
        <w:tc>
          <w:tcPr>
            <w:tcW w:w="0" w:type="auto"/>
            <w:tcBorders>
              <w:top w:val="single" w:sz="4" w:space="0" w:color="000000"/>
              <w:left w:val="single" w:sz="4" w:space="0" w:color="000000"/>
              <w:bottom w:val="single" w:sz="4" w:space="0" w:color="000000"/>
              <w:right w:val="single" w:sz="4" w:space="0" w:color="000000"/>
            </w:tcBorders>
          </w:tcPr>
          <w:p w14:paraId="190F8CEF"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F0"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F1"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F2"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F3" w14:textId="77777777" w:rsidR="003C12C0" w:rsidRDefault="003C12C0"/>
        </w:tc>
      </w:tr>
      <w:tr w:rsidR="003C12C0" w14:paraId="190F8CFB"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CF5" w14:textId="77777777" w:rsidR="003C12C0" w:rsidRDefault="00000000">
            <w:pPr>
              <w:pStyle w:val="TableText"/>
            </w:pPr>
            <w:r>
              <w:t>Bénéficiaires de pensions</w:t>
            </w:r>
          </w:p>
        </w:tc>
        <w:tc>
          <w:tcPr>
            <w:tcW w:w="0" w:type="auto"/>
            <w:tcBorders>
              <w:top w:val="single" w:sz="4" w:space="0" w:color="000000"/>
              <w:left w:val="single" w:sz="4" w:space="0" w:color="000000"/>
              <w:bottom w:val="single" w:sz="4" w:space="0" w:color="000000"/>
              <w:right w:val="single" w:sz="4" w:space="0" w:color="000000"/>
            </w:tcBorders>
          </w:tcPr>
          <w:p w14:paraId="190F8CF6"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F7"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F8"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F9" w14:textId="77777777" w:rsidR="003C12C0" w:rsidRDefault="003C12C0"/>
        </w:tc>
        <w:tc>
          <w:tcPr>
            <w:tcW w:w="0" w:type="auto"/>
            <w:tcBorders>
              <w:top w:val="single" w:sz="4" w:space="0" w:color="000000"/>
              <w:left w:val="single" w:sz="4" w:space="0" w:color="000000"/>
              <w:bottom w:val="single" w:sz="4" w:space="0" w:color="000000"/>
              <w:right w:val="single" w:sz="4" w:space="0" w:color="000000"/>
            </w:tcBorders>
          </w:tcPr>
          <w:p w14:paraId="190F8CFA" w14:textId="77777777" w:rsidR="003C12C0" w:rsidRDefault="003C12C0"/>
        </w:tc>
      </w:tr>
    </w:tbl>
    <w:p w14:paraId="190F8CFC" w14:textId="77777777" w:rsidR="003C12C0" w:rsidRDefault="00000000">
      <w:r>
        <w:rPr>
          <w:i/>
          <w:iCs/>
        </w:rPr>
        <w:t>Données non disponibles au moment du premier bulletin. À transmettre par la SESOPA.</w:t>
      </w:r>
    </w:p>
    <w:p w14:paraId="190F8CFD" w14:textId="77777777" w:rsidR="003C12C0" w:rsidRDefault="00000000">
      <w:pPr>
        <w:pStyle w:val="Heading2"/>
      </w:pPr>
      <w:bookmarkStart w:id="157" w:name="evolutions-et-reformes-en-cours_5"/>
      <w:bookmarkEnd w:id="156"/>
      <w:r>
        <w:t>Évolutions et réformes en cours</w:t>
      </w:r>
    </w:p>
    <w:p w14:paraId="190F8CFE" w14:textId="77777777" w:rsidR="003C12C0" w:rsidRDefault="00000000">
      <w:r>
        <w:rPr>
          <w:i/>
          <w:iCs/>
        </w:rPr>
        <w:t>[À compléter à réception des informations de la SESOPA.]</w:t>
      </w:r>
    </w:p>
    <w:p w14:paraId="190F8CFF" w14:textId="77777777" w:rsidR="003C12C0" w:rsidRDefault="00000000">
      <w:pPr>
        <w:pStyle w:val="Heading1"/>
      </w:pPr>
      <w:bookmarkStart w:id="158" w:name="X4bb083a8c3ca8421236d101177bbc29806d64af"/>
      <w:bookmarkEnd w:id="153"/>
      <w:bookmarkEnd w:id="157"/>
      <w:r>
        <w:lastRenderedPageBreak/>
        <w:t>B.7 Régimes spéciaux non contributifs de la fonction publique</w:t>
      </w:r>
    </w:p>
    <w:p w14:paraId="190F8D00" w14:textId="77777777" w:rsidR="003C12C0" w:rsidRDefault="00000000">
      <w:r>
        <w:rPr>
          <w:i/>
          <w:iCs/>
        </w:rPr>
        <w:t>Ces régimes sont financés par le Trésor public et destinés à des catégories spécifiques d'agents de l'État. Leur identification exhaustive est difficile : le premier bulletin note explicitement qu'il a été impossible d'en obtenir une liste complète et des données détaillées.</w:t>
      </w:r>
    </w:p>
    <w:p w14:paraId="190F8D01" w14:textId="77777777" w:rsidR="003C12C0" w:rsidRDefault="00000000">
      <w:pPr>
        <w:pStyle w:val="Heading2"/>
      </w:pPr>
      <w:bookmarkStart w:id="159" w:name="regimes-identifies"/>
      <w:r>
        <w:t>Régimes identifiés</w:t>
      </w:r>
    </w:p>
    <w:tbl>
      <w:tblPr>
        <w:tblStyle w:val="ILOTable"/>
        <w:tblW w:w="5000" w:type="pct"/>
        <w:tblLook w:val="0020" w:firstRow="1" w:lastRow="0" w:firstColumn="0" w:lastColumn="0" w:noHBand="0" w:noVBand="0"/>
      </w:tblPr>
      <w:tblGrid>
        <w:gridCol w:w="1281"/>
        <w:gridCol w:w="1571"/>
        <w:gridCol w:w="1555"/>
        <w:gridCol w:w="1737"/>
        <w:gridCol w:w="1076"/>
        <w:gridCol w:w="1840"/>
      </w:tblGrid>
      <w:tr w:rsidR="003C12C0" w14:paraId="190F8D08" w14:textId="77777777" w:rsidTr="003C12C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0F8D02" w14:textId="77777777" w:rsidR="003C12C0" w:rsidRDefault="00000000">
            <w:pPr>
              <w:pStyle w:val="TableHeader"/>
            </w:pPr>
            <w:r>
              <w:t>Régime</w:t>
            </w:r>
          </w:p>
        </w:tc>
        <w:tc>
          <w:tcPr>
            <w:tcW w:w="0" w:type="auto"/>
            <w:tcBorders>
              <w:top w:val="single" w:sz="4" w:space="0" w:color="000000"/>
              <w:left w:val="single" w:sz="4" w:space="0" w:color="000000"/>
              <w:bottom w:val="single" w:sz="4" w:space="0" w:color="000000"/>
              <w:right w:val="single" w:sz="4" w:space="0" w:color="000000"/>
            </w:tcBorders>
          </w:tcPr>
          <w:p w14:paraId="190F8D03" w14:textId="77777777" w:rsidR="003C12C0" w:rsidRDefault="00000000">
            <w:pPr>
              <w:pStyle w:val="TableHeader"/>
            </w:pPr>
            <w:r>
              <w:t>Autorité en charge</w:t>
            </w:r>
          </w:p>
        </w:tc>
        <w:tc>
          <w:tcPr>
            <w:tcW w:w="0" w:type="auto"/>
            <w:tcBorders>
              <w:top w:val="single" w:sz="4" w:space="0" w:color="000000"/>
              <w:left w:val="single" w:sz="4" w:space="0" w:color="000000"/>
              <w:bottom w:val="single" w:sz="4" w:space="0" w:color="000000"/>
              <w:right w:val="single" w:sz="4" w:space="0" w:color="000000"/>
            </w:tcBorders>
          </w:tcPr>
          <w:p w14:paraId="190F8D04" w14:textId="77777777" w:rsidR="003C12C0" w:rsidRDefault="00000000">
            <w:pPr>
              <w:pStyle w:val="TableHeader"/>
            </w:pPr>
            <w:r>
              <w:t>Texte juridique</w:t>
            </w:r>
          </w:p>
        </w:tc>
        <w:tc>
          <w:tcPr>
            <w:tcW w:w="0" w:type="auto"/>
            <w:tcBorders>
              <w:top w:val="single" w:sz="4" w:space="0" w:color="000000"/>
              <w:left w:val="single" w:sz="4" w:space="0" w:color="000000"/>
              <w:bottom w:val="single" w:sz="4" w:space="0" w:color="000000"/>
              <w:right w:val="single" w:sz="4" w:space="0" w:color="000000"/>
            </w:tcBorders>
          </w:tcPr>
          <w:p w14:paraId="190F8D05" w14:textId="77777777" w:rsidR="003C12C0" w:rsidRDefault="00000000">
            <w:pPr>
              <w:pStyle w:val="TableHeader"/>
            </w:pPr>
            <w:r>
              <w:t>Population protégée</w:t>
            </w:r>
          </w:p>
        </w:tc>
        <w:tc>
          <w:tcPr>
            <w:tcW w:w="0" w:type="auto"/>
            <w:tcBorders>
              <w:top w:val="single" w:sz="4" w:space="0" w:color="000000"/>
              <w:left w:val="single" w:sz="4" w:space="0" w:color="000000"/>
              <w:bottom w:val="single" w:sz="4" w:space="0" w:color="000000"/>
              <w:right w:val="single" w:sz="4" w:space="0" w:color="000000"/>
            </w:tcBorders>
          </w:tcPr>
          <w:p w14:paraId="190F8D06" w14:textId="77777777" w:rsidR="003C12C0" w:rsidRDefault="00000000">
            <w:pPr>
              <w:pStyle w:val="TableHeader"/>
            </w:pPr>
            <w:r>
              <w:t>Financement</w:t>
            </w:r>
          </w:p>
        </w:tc>
        <w:tc>
          <w:tcPr>
            <w:tcW w:w="0" w:type="auto"/>
            <w:tcBorders>
              <w:top w:val="single" w:sz="4" w:space="0" w:color="000000"/>
              <w:left w:val="single" w:sz="4" w:space="0" w:color="000000"/>
              <w:bottom w:val="single" w:sz="4" w:space="0" w:color="000000"/>
              <w:right w:val="single" w:sz="4" w:space="0" w:color="000000"/>
            </w:tcBorders>
          </w:tcPr>
          <w:p w14:paraId="190F8D07" w14:textId="77777777" w:rsidR="003C12C0" w:rsidRDefault="00000000">
            <w:pPr>
              <w:pStyle w:val="TableHeader"/>
            </w:pPr>
            <w:r>
              <w:t>Branches couvertes</w:t>
            </w:r>
          </w:p>
        </w:tc>
      </w:tr>
      <w:tr w:rsidR="003C12C0" w14:paraId="190F8D0F"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D09" w14:textId="77777777" w:rsidR="003C12C0" w:rsidRDefault="00000000">
            <w:pPr>
              <w:pStyle w:val="TableText"/>
            </w:pPr>
            <w:r>
              <w:t>Régime de la Présidence et Primature</w:t>
            </w:r>
          </w:p>
        </w:tc>
        <w:tc>
          <w:tcPr>
            <w:tcW w:w="0" w:type="auto"/>
            <w:tcBorders>
              <w:top w:val="single" w:sz="4" w:space="0" w:color="000000"/>
              <w:left w:val="single" w:sz="4" w:space="0" w:color="000000"/>
              <w:bottom w:val="single" w:sz="4" w:space="0" w:color="000000"/>
              <w:right w:val="single" w:sz="4" w:space="0" w:color="000000"/>
            </w:tcBorders>
          </w:tcPr>
          <w:p w14:paraId="190F8D0A" w14:textId="77777777" w:rsidR="003C12C0" w:rsidRDefault="00000000">
            <w:pPr>
              <w:pStyle w:val="TableText"/>
            </w:pPr>
            <w:r>
              <w:t>Présidence de la République et Primature</w:t>
            </w:r>
          </w:p>
        </w:tc>
        <w:tc>
          <w:tcPr>
            <w:tcW w:w="0" w:type="auto"/>
            <w:tcBorders>
              <w:top w:val="single" w:sz="4" w:space="0" w:color="000000"/>
              <w:left w:val="single" w:sz="4" w:space="0" w:color="000000"/>
              <w:bottom w:val="single" w:sz="4" w:space="0" w:color="000000"/>
              <w:right w:val="single" w:sz="4" w:space="0" w:color="000000"/>
            </w:tcBorders>
          </w:tcPr>
          <w:p w14:paraId="190F8D0B" w14:textId="77777777" w:rsidR="003C12C0" w:rsidRDefault="00000000">
            <w:pPr>
              <w:pStyle w:val="TableText"/>
            </w:pPr>
            <w:r>
              <w:t>Ordonnance n° 82-046 du 31 mars 1982</w:t>
            </w:r>
          </w:p>
        </w:tc>
        <w:tc>
          <w:tcPr>
            <w:tcW w:w="0" w:type="auto"/>
            <w:tcBorders>
              <w:top w:val="single" w:sz="4" w:space="0" w:color="000000"/>
              <w:left w:val="single" w:sz="4" w:space="0" w:color="000000"/>
              <w:bottom w:val="single" w:sz="4" w:space="0" w:color="000000"/>
              <w:right w:val="single" w:sz="4" w:space="0" w:color="000000"/>
            </w:tcBorders>
          </w:tcPr>
          <w:p w14:paraId="190F8D0C" w14:textId="77777777" w:rsidR="003C12C0" w:rsidRDefault="00000000">
            <w:pPr>
              <w:pStyle w:val="TableText"/>
            </w:pPr>
            <w:r>
              <w:t>Agents publics de l'État et leurs ayants droit</w:t>
            </w:r>
          </w:p>
        </w:tc>
        <w:tc>
          <w:tcPr>
            <w:tcW w:w="0" w:type="auto"/>
            <w:tcBorders>
              <w:top w:val="single" w:sz="4" w:space="0" w:color="000000"/>
              <w:left w:val="single" w:sz="4" w:space="0" w:color="000000"/>
              <w:bottom w:val="single" w:sz="4" w:space="0" w:color="000000"/>
              <w:right w:val="single" w:sz="4" w:space="0" w:color="000000"/>
            </w:tcBorders>
          </w:tcPr>
          <w:p w14:paraId="190F8D0D" w14:textId="77777777" w:rsidR="003C12C0" w:rsidRDefault="00000000">
            <w:pPr>
              <w:pStyle w:val="TableText"/>
            </w:pPr>
            <w:r>
              <w:t>Trésor public</w:t>
            </w:r>
          </w:p>
        </w:tc>
        <w:tc>
          <w:tcPr>
            <w:tcW w:w="0" w:type="auto"/>
            <w:tcBorders>
              <w:top w:val="single" w:sz="4" w:space="0" w:color="000000"/>
              <w:left w:val="single" w:sz="4" w:space="0" w:color="000000"/>
              <w:bottom w:val="single" w:sz="4" w:space="0" w:color="000000"/>
              <w:right w:val="single" w:sz="4" w:space="0" w:color="000000"/>
            </w:tcBorders>
          </w:tcPr>
          <w:p w14:paraId="190F8D0E" w14:textId="77777777" w:rsidR="003C12C0" w:rsidRDefault="00000000">
            <w:pPr>
              <w:pStyle w:val="TableText"/>
            </w:pPr>
            <w:r>
              <w:t>Soins médicaux, indemnité de cessation de mandat, vieillesse, décès, invalidité</w:t>
            </w:r>
          </w:p>
        </w:tc>
      </w:tr>
      <w:tr w:rsidR="003C12C0" w14:paraId="190F8D16" w14:textId="77777777" w:rsidTr="003C12C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D10" w14:textId="77777777" w:rsidR="003C12C0" w:rsidRDefault="00000000">
            <w:pPr>
              <w:pStyle w:val="TableText"/>
            </w:pPr>
            <w:r>
              <w:t>Régime militaire</w:t>
            </w:r>
          </w:p>
        </w:tc>
        <w:tc>
          <w:tcPr>
            <w:tcW w:w="0" w:type="auto"/>
            <w:tcBorders>
              <w:top w:val="single" w:sz="4" w:space="0" w:color="000000"/>
              <w:left w:val="single" w:sz="4" w:space="0" w:color="000000"/>
              <w:bottom w:val="single" w:sz="4" w:space="0" w:color="000000"/>
              <w:right w:val="single" w:sz="4" w:space="0" w:color="000000"/>
            </w:tcBorders>
          </w:tcPr>
          <w:p w14:paraId="190F8D11" w14:textId="77777777" w:rsidR="003C12C0" w:rsidRDefault="00000000">
            <w:pPr>
              <w:pStyle w:val="TableText"/>
            </w:pPr>
            <w:r>
              <w:t>Ministère de la Défense et des Anciens Combattants</w:t>
            </w:r>
          </w:p>
        </w:tc>
        <w:tc>
          <w:tcPr>
            <w:tcW w:w="0" w:type="auto"/>
            <w:tcBorders>
              <w:top w:val="single" w:sz="4" w:space="0" w:color="000000"/>
              <w:left w:val="single" w:sz="4" w:space="0" w:color="000000"/>
              <w:bottom w:val="single" w:sz="4" w:space="0" w:color="000000"/>
              <w:right w:val="single" w:sz="4" w:space="0" w:color="000000"/>
            </w:tcBorders>
          </w:tcPr>
          <w:p w14:paraId="190F8D12" w14:textId="77777777" w:rsidR="003C12C0" w:rsidRDefault="00000000">
            <w:pPr>
              <w:pStyle w:val="TableText"/>
            </w:pPr>
            <w:r>
              <w:t>N/A (non précisé)</w:t>
            </w:r>
          </w:p>
        </w:tc>
        <w:tc>
          <w:tcPr>
            <w:tcW w:w="0" w:type="auto"/>
            <w:tcBorders>
              <w:top w:val="single" w:sz="4" w:space="0" w:color="000000"/>
              <w:left w:val="single" w:sz="4" w:space="0" w:color="000000"/>
              <w:bottom w:val="single" w:sz="4" w:space="0" w:color="000000"/>
              <w:right w:val="single" w:sz="4" w:space="0" w:color="000000"/>
            </w:tcBorders>
          </w:tcPr>
          <w:p w14:paraId="190F8D13" w14:textId="77777777" w:rsidR="003C12C0" w:rsidRDefault="00000000">
            <w:pPr>
              <w:pStyle w:val="TableText"/>
            </w:pPr>
            <w:r>
              <w:t>Militaires et leurs ayants droit</w:t>
            </w:r>
          </w:p>
        </w:tc>
        <w:tc>
          <w:tcPr>
            <w:tcW w:w="0" w:type="auto"/>
            <w:tcBorders>
              <w:top w:val="single" w:sz="4" w:space="0" w:color="000000"/>
              <w:left w:val="single" w:sz="4" w:space="0" w:color="000000"/>
              <w:bottom w:val="single" w:sz="4" w:space="0" w:color="000000"/>
              <w:right w:val="single" w:sz="4" w:space="0" w:color="000000"/>
            </w:tcBorders>
          </w:tcPr>
          <w:p w14:paraId="190F8D14" w14:textId="77777777" w:rsidR="003C12C0" w:rsidRDefault="00000000">
            <w:pPr>
              <w:pStyle w:val="TableText"/>
            </w:pPr>
            <w:r>
              <w:t>Trésor public</w:t>
            </w:r>
          </w:p>
        </w:tc>
        <w:tc>
          <w:tcPr>
            <w:tcW w:w="0" w:type="auto"/>
            <w:tcBorders>
              <w:top w:val="single" w:sz="4" w:space="0" w:color="000000"/>
              <w:left w:val="single" w:sz="4" w:space="0" w:color="000000"/>
              <w:bottom w:val="single" w:sz="4" w:space="0" w:color="000000"/>
              <w:right w:val="single" w:sz="4" w:space="0" w:color="000000"/>
            </w:tcBorders>
          </w:tcPr>
          <w:p w14:paraId="190F8D15" w14:textId="77777777" w:rsidR="003C12C0" w:rsidRDefault="00000000">
            <w:pPr>
              <w:pStyle w:val="TableText"/>
            </w:pPr>
            <w:r>
              <w:t>Vieillesse, décès, invalidité</w:t>
            </w:r>
          </w:p>
        </w:tc>
      </w:tr>
      <w:tr w:rsidR="003C12C0" w14:paraId="190F8D1D" w14:textId="77777777" w:rsidTr="003C12C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0F8D17" w14:textId="77777777" w:rsidR="003C12C0" w:rsidRDefault="00000000">
            <w:pPr>
              <w:pStyle w:val="TableText"/>
            </w:pPr>
            <w:r>
              <w:t>Régime des magistrats</w:t>
            </w:r>
          </w:p>
        </w:tc>
        <w:tc>
          <w:tcPr>
            <w:tcW w:w="0" w:type="auto"/>
            <w:tcBorders>
              <w:top w:val="single" w:sz="4" w:space="0" w:color="000000"/>
              <w:left w:val="single" w:sz="4" w:space="0" w:color="000000"/>
              <w:bottom w:val="single" w:sz="4" w:space="0" w:color="000000"/>
              <w:right w:val="single" w:sz="4" w:space="0" w:color="000000"/>
            </w:tcBorders>
          </w:tcPr>
          <w:p w14:paraId="190F8D18" w14:textId="77777777" w:rsidR="003C12C0" w:rsidRDefault="00000000">
            <w:pPr>
              <w:pStyle w:val="TableText"/>
            </w:pPr>
            <w:r>
              <w:t>Ministère de la Justice</w:t>
            </w:r>
          </w:p>
        </w:tc>
        <w:tc>
          <w:tcPr>
            <w:tcW w:w="0" w:type="auto"/>
            <w:tcBorders>
              <w:top w:val="single" w:sz="4" w:space="0" w:color="000000"/>
              <w:left w:val="single" w:sz="4" w:space="0" w:color="000000"/>
              <w:bottom w:val="single" w:sz="4" w:space="0" w:color="000000"/>
              <w:right w:val="single" w:sz="4" w:space="0" w:color="000000"/>
            </w:tcBorders>
          </w:tcPr>
          <w:p w14:paraId="190F8D19" w14:textId="77777777" w:rsidR="003C12C0" w:rsidRDefault="00000000">
            <w:pPr>
              <w:pStyle w:val="TableText"/>
            </w:pPr>
            <w:r>
              <w:t>Ordonnance-Loi n° 88-056 du 29 septembre 1988</w:t>
            </w:r>
          </w:p>
        </w:tc>
        <w:tc>
          <w:tcPr>
            <w:tcW w:w="0" w:type="auto"/>
            <w:tcBorders>
              <w:top w:val="single" w:sz="4" w:space="0" w:color="000000"/>
              <w:left w:val="single" w:sz="4" w:space="0" w:color="000000"/>
              <w:bottom w:val="single" w:sz="4" w:space="0" w:color="000000"/>
              <w:right w:val="single" w:sz="4" w:space="0" w:color="000000"/>
            </w:tcBorders>
          </w:tcPr>
          <w:p w14:paraId="190F8D1A" w14:textId="77777777" w:rsidR="003C12C0" w:rsidRDefault="00000000">
            <w:pPr>
              <w:pStyle w:val="TableText"/>
            </w:pPr>
            <w:r>
              <w:t>Magistrats civils et militaires de l'ordre de justice et leurs ayants droit</w:t>
            </w:r>
          </w:p>
        </w:tc>
        <w:tc>
          <w:tcPr>
            <w:tcW w:w="0" w:type="auto"/>
            <w:tcBorders>
              <w:top w:val="single" w:sz="4" w:space="0" w:color="000000"/>
              <w:left w:val="single" w:sz="4" w:space="0" w:color="000000"/>
              <w:bottom w:val="single" w:sz="4" w:space="0" w:color="000000"/>
              <w:right w:val="single" w:sz="4" w:space="0" w:color="000000"/>
            </w:tcBorders>
          </w:tcPr>
          <w:p w14:paraId="190F8D1B" w14:textId="77777777" w:rsidR="003C12C0" w:rsidRDefault="00000000">
            <w:pPr>
              <w:pStyle w:val="TableText"/>
            </w:pPr>
            <w:r>
              <w:t>Trésor public</w:t>
            </w:r>
          </w:p>
        </w:tc>
        <w:tc>
          <w:tcPr>
            <w:tcW w:w="0" w:type="auto"/>
            <w:tcBorders>
              <w:top w:val="single" w:sz="4" w:space="0" w:color="000000"/>
              <w:left w:val="single" w:sz="4" w:space="0" w:color="000000"/>
              <w:bottom w:val="single" w:sz="4" w:space="0" w:color="000000"/>
              <w:right w:val="single" w:sz="4" w:space="0" w:color="000000"/>
            </w:tcBorders>
          </w:tcPr>
          <w:p w14:paraId="190F8D1C" w14:textId="77777777" w:rsidR="003C12C0" w:rsidRDefault="00000000">
            <w:pPr>
              <w:pStyle w:val="TableText"/>
            </w:pPr>
            <w:r>
              <w:t>Vieillesse, décès, invalidité</w:t>
            </w:r>
          </w:p>
        </w:tc>
      </w:tr>
    </w:tbl>
    <w:p w14:paraId="190F8D1E" w14:textId="77777777" w:rsidR="003C12C0" w:rsidRDefault="00000000">
      <w:pPr>
        <w:pStyle w:val="Heading2"/>
      </w:pPr>
      <w:bookmarkStart w:id="160" w:name="donnees-disponibles"/>
      <w:bookmarkEnd w:id="159"/>
      <w:r>
        <w:t>Données disponibles</w:t>
      </w:r>
    </w:p>
    <w:p w14:paraId="190F8D1F" w14:textId="77777777" w:rsidR="003C12C0" w:rsidRDefault="00000000">
      <w:r>
        <w:t>Aucune donnée statistique détaillée n'a pu être obtenue pour ces régimes lors de la préparation du premier bulletin. L'obtention de données auprès des ministères de tutelle constitue un objectif prioritaire pour le présent bulletin.</w:t>
      </w:r>
    </w:p>
    <w:p w14:paraId="190F8D20" w14:textId="77777777" w:rsidR="003C12C0" w:rsidRDefault="00000000">
      <w:pPr>
        <w:pStyle w:val="Heading2"/>
      </w:pPr>
      <w:bookmarkStart w:id="161" w:name="perspective-de-collecte"/>
      <w:bookmarkEnd w:id="160"/>
      <w:r>
        <w:t>Perspective de collecte</w:t>
      </w:r>
    </w:p>
    <w:p w14:paraId="190F8D21" w14:textId="77777777" w:rsidR="003C12C0" w:rsidRDefault="00000000">
      <w:r>
        <w:rPr>
          <w:i/>
          <w:iCs/>
        </w:rPr>
        <w:t>[À compléter selon les données reçues des ministères concernés : Présidence / Primature, Défense, Justice.]</w:t>
      </w:r>
    </w:p>
    <w:p w14:paraId="190F8D22" w14:textId="77777777" w:rsidR="003C12C0" w:rsidRDefault="00000000">
      <w:pPr>
        <w:pStyle w:val="Heading1"/>
      </w:pPr>
      <w:bookmarkStart w:id="162" w:name="X06ffccb4052a4938aeaa62a22824dbbcf4e31ee"/>
      <w:bookmarkEnd w:id="158"/>
      <w:bookmarkEnd w:id="161"/>
      <w:r>
        <w:lastRenderedPageBreak/>
        <w:t>Annexe B — Programmes et dispositifs hors périmètre OIT</w:t>
      </w:r>
    </w:p>
    <w:p w14:paraId="190F8D23" w14:textId="77777777" w:rsidR="003C12C0" w:rsidRDefault="00000000">
      <w:pPr>
        <w:pStyle w:val="Heading1"/>
      </w:pPr>
      <w:bookmarkStart w:id="163" w:name="titre-de-lannexe"/>
      <w:bookmarkEnd w:id="162"/>
      <w:r>
        <w:lastRenderedPageBreak/>
        <w:t>Titre de l’annexe</w:t>
      </w:r>
    </w:p>
    <w:p w14:paraId="190F8D24" w14:textId="77777777" w:rsidR="003C12C0" w:rsidRDefault="00000000">
      <w:pPr>
        <w:pStyle w:val="Heading1"/>
      </w:pPr>
      <w:bookmarkStart w:id="164" w:name="titre-de-lannexe_1"/>
      <w:bookmarkEnd w:id="163"/>
      <w:r>
        <w:lastRenderedPageBreak/>
        <w:t>Titre de l’annexe</w:t>
      </w:r>
    </w:p>
    <w:p w14:paraId="190F8D25" w14:textId="77777777" w:rsidR="003C12C0" w:rsidRDefault="00000000">
      <w:pPr>
        <w:pStyle w:val="Heading1"/>
      </w:pPr>
      <w:bookmarkStart w:id="165" w:name="titre-de-lannexe_2"/>
      <w:bookmarkEnd w:id="164"/>
      <w:r>
        <w:lastRenderedPageBreak/>
        <w:t>Titre de l’annexe</w:t>
      </w:r>
      <w:bookmarkEnd w:id="165"/>
    </w:p>
    <w:sectPr w:rsidR="003C12C0" w:rsidSect="0008547A">
      <w:footnotePr>
        <w:numRestart w:val="eachSect"/>
      </w:footnotePr>
      <w:type w:val="continuous"/>
      <w:pgSz w:w="11906" w:h="16838" w:code="9"/>
      <w:pgMar w:top="1701" w:right="1418" w:bottom="1134" w:left="1418"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AA015" w14:textId="77777777" w:rsidR="00DE629E" w:rsidRDefault="00DE629E">
      <w:pPr>
        <w:spacing w:before="0" w:after="0" w:line="240" w:lineRule="auto"/>
      </w:pPr>
      <w:r>
        <w:separator/>
      </w:r>
    </w:p>
  </w:endnote>
  <w:endnote w:type="continuationSeparator" w:id="0">
    <w:p w14:paraId="5C0D9C38" w14:textId="77777777" w:rsidR="00DE629E" w:rsidRDefault="00DE62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Verdana">
    <w:panose1 w:val="020B0604030504040204"/>
    <w:charset w:val="00"/>
    <w:family w:val="swiss"/>
    <w:pitch w:val="variable"/>
    <w:sig w:usb0="A00006FF" w:usb1="4000205B" w:usb2="00000010" w:usb3="00000000" w:csb0="0000019F" w:csb1="00000000"/>
  </w:font>
  <w:font w:name="Overpass">
    <w:altName w:val="Calibri"/>
    <w:charset w:val="00"/>
    <w:family w:val="auto"/>
    <w:pitch w:val="variable"/>
    <w:sig w:usb0="00000007" w:usb1="00000020" w:usb2="00000000" w:usb3="00000000" w:csb0="00000093" w:csb1="00000000"/>
  </w:font>
  <w:font w:name="Batang">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oto Sans SemBd">
    <w:altName w:val="Calibri"/>
    <w:charset w:val="01"/>
    <w:family w:val="swiss"/>
    <w:pitch w:val="variable"/>
    <w:sig w:usb0="E00002FF" w:usb1="4000001F" w:usb2="08000029" w:usb3="00000000" w:csb0="00000000" w:csb1="00000000"/>
  </w:font>
  <w:font w:name="Overpass Light">
    <w:altName w:val="Calibri"/>
    <w:charset w:val="00"/>
    <w:family w:val="auto"/>
    <w:pitch w:val="variable"/>
    <w:sig w:usb0="00000007" w:usb1="00000020" w:usb2="00000000" w:usb3="00000000" w:csb0="00000093" w:csb1="00000000"/>
  </w:font>
  <w:font w:name="Segoe UI">
    <w:panose1 w:val="020B0502040204020203"/>
    <w:charset w:val="00"/>
    <w:family w:val="swiss"/>
    <w:pitch w:val="variable"/>
    <w:sig w:usb0="E4002EFF" w:usb1="C000E47F" w:usb2="00000009" w:usb3="00000000" w:csb0="000001FF" w:csb1="00000000"/>
  </w:font>
  <w:font w:name="SimHei">
    <w:panose1 w:val="02010600030101010101"/>
    <w:charset w:val="86"/>
    <w:family w:val="modern"/>
    <w:pitch w:val="fixed"/>
    <w:sig w:usb0="800002BF" w:usb1="38CF7CFA" w:usb2="00000016" w:usb3="00000000" w:csb0="00040001" w:csb1="00000000"/>
  </w:font>
  <w:font w:name="Euphemia">
    <w:charset w:val="00"/>
    <w:family w:val="swiss"/>
    <w:pitch w:val="variable"/>
    <w:sig w:usb0="8000006F" w:usb1="0000004A" w:usb2="00002000" w:usb3="00000000" w:csb0="00000001" w:csb1="00000000"/>
  </w:font>
  <w:font w:name="Arial Narrow">
    <w:panose1 w:val="020B0606020202030204"/>
    <w:charset w:val="00"/>
    <w:family w:val="swiss"/>
    <w:pitch w:val="variable"/>
    <w:sig w:usb0="00000287" w:usb1="00000800" w:usb2="00000000" w:usb3="00000000" w:csb0="0000009F" w:csb1="00000000"/>
  </w:font>
  <w:font w:name="STKaiti">
    <w:panose1 w:val="02010600040101010101"/>
    <w:charset w:val="86"/>
    <w:family w:val="auto"/>
    <w:pitch w:val="variable"/>
    <w:sig w:usb0="00000287" w:usb1="080F0000" w:usb2="00000010" w:usb3="00000000" w:csb0="0004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CYR">
    <w:charset w:val="00"/>
    <w:family w:val="swiss"/>
    <w:pitch w:val="variable"/>
    <w:sig w:usb0="E0002EFF" w:usb1="C000785B" w:usb2="00000009" w:usb3="00000000" w:csb0="000001FF" w:csb1="00000000"/>
  </w:font>
  <w:font w:name="Univers 55">
    <w:altName w:val="Calibri"/>
    <w:panose1 w:val="00000000000000000000"/>
    <w:charset w:val="00"/>
    <w:family w:val="swiss"/>
    <w:notTrueType/>
    <w:pitch w:val="variable"/>
    <w:sig w:usb0="00000003" w:usb1="00000000" w:usb2="00000000" w:usb3="00000000" w:csb0="00000001" w:csb1="00000000"/>
  </w:font>
  <w:font w:name="GaramondPremrPro">
    <w:altName w:val="Times New Roman"/>
    <w:panose1 w:val="00000000000000000000"/>
    <w:charset w:val="4D"/>
    <w:family w:val="auto"/>
    <w:notTrueType/>
    <w:pitch w:val="default"/>
    <w:sig w:usb0="00000003" w:usb1="00000000" w:usb2="00000000" w:usb3="00000000" w:csb0="00000001" w:csb1="00000000"/>
  </w:font>
  <w:font w:name="GaramondPremrPro-Bd">
    <w:altName w:val="Cambria"/>
    <w:panose1 w:val="00000000000000000000"/>
    <w:charset w:val="4D"/>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7C9AD" w14:textId="77777777" w:rsidR="00DE629E" w:rsidRDefault="00DE629E">
      <w:pPr>
        <w:spacing w:before="0" w:after="0" w:line="240" w:lineRule="auto"/>
      </w:pPr>
      <w:r>
        <w:separator/>
      </w:r>
    </w:p>
  </w:footnote>
  <w:footnote w:type="continuationSeparator" w:id="0">
    <w:p w14:paraId="39433D3A" w14:textId="77777777" w:rsidR="00DE629E" w:rsidRDefault="00DE629E">
      <w:pPr>
        <w:spacing w:before="0" w:after="0" w:line="240" w:lineRule="auto"/>
      </w:pPr>
      <w:r>
        <w:continuationSeparator/>
      </w:r>
    </w:p>
  </w:footnote>
  <w:footnote w:id="1">
    <w:p w14:paraId="190F8D30" w14:textId="77777777" w:rsidR="003C12C0" w:rsidRPr="00DF4DEA" w:rsidRDefault="00000000">
      <w:pPr>
        <w:pStyle w:val="FootnoteText"/>
        <w:rPr>
          <w:lang w:val="fr-CH"/>
        </w:rPr>
      </w:pPr>
      <w:r>
        <w:rPr>
          <w:rStyle w:val="FootnoteReference"/>
        </w:rPr>
        <w:footnoteRef/>
      </w:r>
      <w:r w:rsidRPr="00DF4DEA">
        <w:rPr>
          <w:lang w:val="fr-CH"/>
        </w:rPr>
        <w:t xml:space="preserve"> Source : Division de la population des Nations Unies (2024) — Perspectives mondiales de la population 2024</w:t>
      </w:r>
    </w:p>
  </w:footnote>
  <w:footnote w:id="2">
    <w:p w14:paraId="190F8D31" w14:textId="77777777" w:rsidR="003C12C0" w:rsidRPr="00DF4DEA" w:rsidRDefault="00000000">
      <w:pPr>
        <w:pStyle w:val="FootnoteText"/>
        <w:rPr>
          <w:lang w:val="fr-CH"/>
        </w:rPr>
      </w:pPr>
      <w:r>
        <w:rPr>
          <w:rStyle w:val="FootnoteReference"/>
        </w:rPr>
        <w:footnoteRef/>
      </w:r>
      <w:r w:rsidRPr="00DF4DEA">
        <w:rPr>
          <w:lang w:val="fr-CH"/>
        </w:rPr>
        <w:t xml:space="preserve"> Source : Division de la population des Nations Unies (2024) — Perspectives mondiales de la population 2024</w:t>
      </w:r>
    </w:p>
  </w:footnote>
  <w:footnote w:id="3">
    <w:p w14:paraId="190F8D32" w14:textId="77777777" w:rsidR="003C12C0" w:rsidRPr="00DF4DEA" w:rsidRDefault="00000000">
      <w:pPr>
        <w:pStyle w:val="FootnoteText"/>
        <w:rPr>
          <w:lang w:val="fr-CH"/>
        </w:rPr>
      </w:pPr>
      <w:r>
        <w:rPr>
          <w:rStyle w:val="FootnoteReference"/>
        </w:rPr>
        <w:footnoteRef/>
      </w:r>
      <w:r w:rsidRPr="00DF4DEA">
        <w:rPr>
          <w:lang w:val="fr-CH"/>
        </w:rPr>
        <w:t xml:space="preserve"> Source : Division de la population des Nations Unies (2024) — Perspectives mondiales de la population 2024</w:t>
      </w:r>
    </w:p>
  </w:footnote>
  <w:footnote w:id="4">
    <w:p w14:paraId="190F8D33" w14:textId="77777777" w:rsidR="003C12C0" w:rsidRPr="00DF4DEA" w:rsidRDefault="00000000">
      <w:pPr>
        <w:pStyle w:val="FootnoteText"/>
        <w:rPr>
          <w:lang w:val="fr-CH"/>
        </w:rPr>
      </w:pPr>
      <w:r>
        <w:rPr>
          <w:rStyle w:val="FootnoteReference"/>
        </w:rPr>
        <w:footnoteRef/>
      </w:r>
      <w:r w:rsidRPr="00DF4DEA">
        <w:rPr>
          <w:lang w:val="fr-CH"/>
        </w:rPr>
        <w:t xml:space="preserve"> Données : population totale, urbaine, rurale RDC 1950-2025 — ONU WPP 2024</w:t>
      </w:r>
    </w:p>
  </w:footnote>
  <w:footnote w:id="5">
    <w:p w14:paraId="190F8D34" w14:textId="77777777" w:rsidR="003C12C0" w:rsidRDefault="00000000">
      <w:pPr>
        <w:pStyle w:val="FootnoteText"/>
      </w:pPr>
      <w:r>
        <w:rPr>
          <w:rStyle w:val="FootnoteReference"/>
        </w:rPr>
        <w:footnoteRef/>
      </w:r>
      <w:r>
        <w:t xml:space="preserve"> Source : UNFPA (2024) — World Population Dashboard RDC 2024</w:t>
      </w:r>
    </w:p>
  </w:footnote>
  <w:footnote w:id="6">
    <w:p w14:paraId="190F8D35" w14:textId="77777777" w:rsidR="003C12C0" w:rsidRPr="00DF4DEA" w:rsidRDefault="00000000">
      <w:pPr>
        <w:pStyle w:val="FootnoteText"/>
        <w:rPr>
          <w:lang w:val="fr-CH"/>
        </w:rPr>
      </w:pPr>
      <w:r>
        <w:rPr>
          <w:rStyle w:val="FootnoteReference"/>
        </w:rPr>
        <w:footnoteRef/>
      </w:r>
      <w:r w:rsidRPr="00DF4DEA">
        <w:rPr>
          <w:lang w:val="fr-CH"/>
        </w:rPr>
        <w:t xml:space="preserve"> Source : Division de la population des Nations Unies (2024) — Perspectives mondiales de la population 2024</w:t>
      </w:r>
    </w:p>
  </w:footnote>
  <w:footnote w:id="7">
    <w:p w14:paraId="190F8D36" w14:textId="77777777" w:rsidR="003C12C0" w:rsidRPr="00DF4DEA" w:rsidRDefault="00000000">
      <w:pPr>
        <w:pStyle w:val="FootnoteText"/>
        <w:rPr>
          <w:lang w:val="fr-CH"/>
        </w:rPr>
      </w:pPr>
      <w:r>
        <w:rPr>
          <w:rStyle w:val="FootnoteReference"/>
        </w:rPr>
        <w:footnoteRef/>
      </w:r>
      <w:r w:rsidRPr="00DF4DEA">
        <w:rPr>
          <w:lang w:val="fr-CH"/>
        </w:rPr>
        <w:t xml:space="preserve"> Source : Division de la population des Nations Unies (2024) — Perspectives mondiales de la population 2024</w:t>
      </w:r>
    </w:p>
  </w:footnote>
  <w:footnote w:id="8">
    <w:p w14:paraId="190F8D37" w14:textId="77777777" w:rsidR="003C12C0" w:rsidRPr="00DF4DEA" w:rsidRDefault="00000000">
      <w:pPr>
        <w:pStyle w:val="FootnoteText"/>
        <w:rPr>
          <w:lang w:val="fr-CH"/>
        </w:rPr>
      </w:pPr>
      <w:r>
        <w:rPr>
          <w:rStyle w:val="FootnoteReference"/>
        </w:rPr>
        <w:footnoteRef/>
      </w:r>
      <w:r w:rsidRPr="00DF4DEA">
        <w:rPr>
          <w:lang w:val="fr-CH"/>
        </w:rPr>
        <w:t xml:space="preserve"> Données : pyramide des âges RDC 2025 par sexe — ONU WPP 2024</w:t>
      </w:r>
    </w:p>
  </w:footnote>
  <w:footnote w:id="9">
    <w:p w14:paraId="190F8D38" w14:textId="77777777" w:rsidR="003C12C0" w:rsidRPr="00DF4DEA" w:rsidRDefault="00000000">
      <w:pPr>
        <w:pStyle w:val="FootnoteText"/>
        <w:rPr>
          <w:lang w:val="fr-CH"/>
        </w:rPr>
      </w:pPr>
      <w:r>
        <w:rPr>
          <w:rStyle w:val="FootnoteReference"/>
        </w:rPr>
        <w:footnoteRef/>
      </w:r>
      <w:r w:rsidRPr="00DF4DEA">
        <w:rPr>
          <w:lang w:val="fr-CH"/>
        </w:rPr>
        <w:t xml:space="preserve"> Source : Division de la population des Nations Unies (2024) — Perspectives mondiales de la population 2024</w:t>
      </w:r>
    </w:p>
  </w:footnote>
  <w:footnote w:id="10">
    <w:p w14:paraId="190F8D39" w14:textId="77777777" w:rsidR="003C12C0" w:rsidRPr="00DF4DEA" w:rsidRDefault="00000000">
      <w:pPr>
        <w:pStyle w:val="FootnoteText"/>
        <w:rPr>
          <w:lang w:val="fr-CH"/>
        </w:rPr>
      </w:pPr>
      <w:r>
        <w:rPr>
          <w:rStyle w:val="FootnoteReference"/>
        </w:rPr>
        <w:footnoteRef/>
      </w:r>
      <w:r w:rsidRPr="00DF4DEA">
        <w:rPr>
          <w:lang w:val="fr-CH"/>
        </w:rPr>
        <w:t xml:space="preserve"> Source : Banque mondiale — WDI (2024), d'après WUP 2025 Revision (Nations Unies)</w:t>
      </w:r>
    </w:p>
  </w:footnote>
  <w:footnote w:id="11">
    <w:p w14:paraId="190F8D3A" w14:textId="77777777" w:rsidR="003C12C0" w:rsidRPr="00DF4DEA" w:rsidRDefault="00000000">
      <w:pPr>
        <w:pStyle w:val="FootnoteText"/>
        <w:rPr>
          <w:lang w:val="fr-CH"/>
        </w:rPr>
      </w:pPr>
      <w:r>
        <w:rPr>
          <w:rStyle w:val="FootnoteReference"/>
        </w:rPr>
        <w:footnoteRef/>
      </w:r>
      <w:r w:rsidRPr="00DF4DEA">
        <w:rPr>
          <w:lang w:val="fr-CH"/>
        </w:rPr>
        <w:t xml:space="preserve"> Source : Division de la population des Nations Unies (2024) — Perspectives mondiales de la population 2024</w:t>
      </w:r>
    </w:p>
  </w:footnote>
  <w:footnote w:id="12">
    <w:p w14:paraId="190F8D3B" w14:textId="77777777" w:rsidR="003C12C0" w:rsidRPr="00DF4DEA" w:rsidRDefault="00000000">
      <w:pPr>
        <w:pStyle w:val="FootnoteText"/>
        <w:rPr>
          <w:lang w:val="fr-CH"/>
        </w:rPr>
      </w:pPr>
      <w:r>
        <w:rPr>
          <w:rStyle w:val="FootnoteReference"/>
        </w:rPr>
        <w:footnoteRef/>
      </w:r>
      <w:r w:rsidRPr="00DF4DEA">
        <w:rPr>
          <w:lang w:val="fr-CH"/>
        </w:rPr>
        <w:t xml:space="preserve"> Source : Banque mondiale — WDI (2024), d'après WUP 2025 Revision (Nations Unies)</w:t>
      </w:r>
    </w:p>
  </w:footnote>
  <w:footnote w:id="13">
    <w:p w14:paraId="190F8D3C" w14:textId="77777777" w:rsidR="003C12C0" w:rsidRPr="00DF4DEA" w:rsidRDefault="00000000">
      <w:pPr>
        <w:pStyle w:val="FootnoteText"/>
        <w:rPr>
          <w:lang w:val="fr-CH"/>
        </w:rPr>
      </w:pPr>
      <w:r>
        <w:rPr>
          <w:rStyle w:val="FootnoteReference"/>
        </w:rPr>
        <w:footnoteRef/>
      </w:r>
      <w:r w:rsidRPr="00DF4DEA">
        <w:rPr>
          <w:lang w:val="fr-CH"/>
        </w:rPr>
        <w:t xml:space="preserve"> Source : Division de la population des Nations Unies (2024) — Perspectives mondiales de la population 2024</w:t>
      </w:r>
    </w:p>
  </w:footnote>
  <w:footnote w:id="14">
    <w:p w14:paraId="190F8D3D" w14:textId="77777777" w:rsidR="003C12C0" w:rsidRPr="00DF4DEA" w:rsidRDefault="00000000">
      <w:pPr>
        <w:pStyle w:val="FootnoteText"/>
        <w:rPr>
          <w:lang w:val="fr-CH"/>
        </w:rPr>
      </w:pPr>
      <w:r>
        <w:rPr>
          <w:rStyle w:val="FootnoteReference"/>
        </w:rPr>
        <w:footnoteRef/>
      </w:r>
      <w:r w:rsidRPr="00DF4DEA">
        <w:rPr>
          <w:lang w:val="fr-CH"/>
        </w:rPr>
        <w:t xml:space="preserve"> Source : Banque mondiale — WDI (2024) — Croissance du PIB, RDC</w:t>
      </w:r>
    </w:p>
  </w:footnote>
  <w:footnote w:id="15">
    <w:p w14:paraId="190F8D3E" w14:textId="77777777" w:rsidR="003C12C0" w:rsidRPr="00DF4DEA" w:rsidRDefault="00000000">
      <w:pPr>
        <w:pStyle w:val="FootnoteText"/>
        <w:rPr>
          <w:lang w:val="fr-CH"/>
        </w:rPr>
      </w:pPr>
      <w:r>
        <w:rPr>
          <w:rStyle w:val="FootnoteReference"/>
        </w:rPr>
        <w:footnoteRef/>
      </w:r>
      <w:r w:rsidRPr="00DF4DEA">
        <w:rPr>
          <w:lang w:val="fr-CH"/>
        </w:rPr>
        <w:t xml:space="preserve"> Source : Banque mondiale — WDI (2024) — Croissance du PIB, RDC</w:t>
      </w:r>
    </w:p>
  </w:footnote>
  <w:footnote w:id="16">
    <w:p w14:paraId="190F8D3F" w14:textId="77777777" w:rsidR="003C12C0" w:rsidRPr="00DF4DEA" w:rsidRDefault="00000000">
      <w:pPr>
        <w:pStyle w:val="FootnoteText"/>
        <w:rPr>
          <w:lang w:val="fr-CH"/>
        </w:rPr>
      </w:pPr>
      <w:r>
        <w:rPr>
          <w:rStyle w:val="FootnoteReference"/>
        </w:rPr>
        <w:footnoteRef/>
      </w:r>
      <w:r w:rsidRPr="00DF4DEA">
        <w:rPr>
          <w:lang w:val="fr-CH"/>
        </w:rPr>
        <w:t xml:space="preserve"> Source : Banque mondiale — WDI (2024) — Croissance du PIB, RDC</w:t>
      </w:r>
    </w:p>
  </w:footnote>
  <w:footnote w:id="17">
    <w:p w14:paraId="190F8D40" w14:textId="77777777" w:rsidR="003C12C0" w:rsidRPr="00DF4DEA" w:rsidRDefault="00000000">
      <w:pPr>
        <w:pStyle w:val="FootnoteText"/>
        <w:rPr>
          <w:lang w:val="fr-CH"/>
        </w:rPr>
      </w:pPr>
      <w:r>
        <w:rPr>
          <w:rStyle w:val="FootnoteReference"/>
        </w:rPr>
        <w:footnoteRef/>
      </w:r>
      <w:r w:rsidRPr="00DF4DEA">
        <w:rPr>
          <w:lang w:val="fr-CH"/>
        </w:rPr>
        <w:t xml:space="preserve"> Source : Banque mondiale — WDI (2024) — Croissance du PIB, RDC</w:t>
      </w:r>
    </w:p>
  </w:footnote>
  <w:footnote w:id="18">
    <w:p w14:paraId="190F8D41" w14:textId="77777777" w:rsidR="003C12C0" w:rsidRPr="00DF4DEA" w:rsidRDefault="00000000">
      <w:pPr>
        <w:pStyle w:val="FootnoteText"/>
        <w:rPr>
          <w:lang w:val="fr-CH"/>
        </w:rPr>
      </w:pPr>
      <w:r>
        <w:rPr>
          <w:rStyle w:val="FootnoteReference"/>
        </w:rPr>
        <w:footnoteRef/>
      </w:r>
      <w:r w:rsidRPr="00DF4DEA">
        <w:rPr>
          <w:lang w:val="fr-CH"/>
        </w:rPr>
        <w:t xml:space="preserve"> Source : Banque mondiale — WDI (2024) — PIB par habitant, RDC</w:t>
      </w:r>
    </w:p>
  </w:footnote>
  <w:footnote w:id="19">
    <w:p w14:paraId="190F8D42" w14:textId="77777777" w:rsidR="003C12C0" w:rsidRPr="00DF4DEA" w:rsidRDefault="00000000">
      <w:pPr>
        <w:pStyle w:val="FootnoteText"/>
        <w:rPr>
          <w:lang w:val="fr-CH"/>
        </w:rPr>
      </w:pPr>
      <w:r>
        <w:rPr>
          <w:rStyle w:val="FootnoteReference"/>
        </w:rPr>
        <w:footnoteRef/>
      </w:r>
      <w:r w:rsidRPr="00DF4DEA">
        <w:rPr>
          <w:lang w:val="fr-CH"/>
        </w:rPr>
        <w:t xml:space="preserve"> Source : Banque mondiale — WDI — Gini 2020 ; enquête INS 2024 : 38,1</w:t>
      </w:r>
    </w:p>
  </w:footnote>
  <w:footnote w:id="20">
    <w:p w14:paraId="190F8D43" w14:textId="77777777" w:rsidR="003C12C0" w:rsidRPr="00DF4DEA" w:rsidRDefault="00000000">
      <w:pPr>
        <w:pStyle w:val="FootnoteText"/>
        <w:rPr>
          <w:lang w:val="fr-CH"/>
        </w:rPr>
      </w:pPr>
      <w:r>
        <w:rPr>
          <w:rStyle w:val="FootnoteReference"/>
        </w:rPr>
        <w:footnoteRef/>
      </w:r>
      <w:r w:rsidRPr="00DF4DEA">
        <w:rPr>
          <w:lang w:val="fr-CH"/>
        </w:rPr>
        <w:t xml:space="preserve"> Source : Banque mondiale (2026, citant enquête INS 2024) — 69 % de la population sous le seuil national</w:t>
      </w:r>
    </w:p>
  </w:footnote>
  <w:footnote w:id="21">
    <w:p w14:paraId="190F8D44" w14:textId="77777777" w:rsidR="003C12C0" w:rsidRPr="00DF4DEA" w:rsidRDefault="00000000">
      <w:pPr>
        <w:pStyle w:val="FootnoteText"/>
        <w:rPr>
          <w:lang w:val="fr-CH"/>
        </w:rPr>
      </w:pPr>
      <w:r>
        <w:rPr>
          <w:rStyle w:val="FootnoteReference"/>
        </w:rPr>
        <w:footnoteRef/>
      </w:r>
      <w:r w:rsidRPr="00DF4DEA">
        <w:rPr>
          <w:lang w:val="fr-CH"/>
        </w:rPr>
        <w:t xml:space="preserve"> Données : croissance PIB RDC 2000-2024 — Banque mondiale WDI</w:t>
      </w:r>
    </w:p>
  </w:footnote>
  <w:footnote w:id="22">
    <w:p w14:paraId="190F8D45" w14:textId="77777777" w:rsidR="003C12C0" w:rsidRPr="00DF4DEA" w:rsidRDefault="00000000">
      <w:pPr>
        <w:pStyle w:val="FootnoteText"/>
        <w:rPr>
          <w:lang w:val="fr-CH"/>
        </w:rPr>
      </w:pPr>
      <w:r>
        <w:rPr>
          <w:rStyle w:val="FootnoteReference"/>
        </w:rPr>
        <w:footnoteRef/>
      </w:r>
      <w:r w:rsidRPr="00DF4DEA">
        <w:rPr>
          <w:lang w:val="fr-CH"/>
        </w:rPr>
        <w:t xml:space="preserve"> Source : Banque mondiale — WDI (2024) — Emploi agricole, RDC. Total : 58,9 %, femmes : 67,8 %, hommes : 50,3 %</w:t>
      </w:r>
    </w:p>
  </w:footnote>
  <w:footnote w:id="23">
    <w:p w14:paraId="190F8D46" w14:textId="77777777" w:rsidR="003C12C0" w:rsidRPr="00DF4DEA" w:rsidRDefault="00000000">
      <w:pPr>
        <w:pStyle w:val="FootnoteText"/>
        <w:rPr>
          <w:lang w:val="fr-CH"/>
        </w:rPr>
      </w:pPr>
      <w:r>
        <w:rPr>
          <w:rStyle w:val="FootnoteReference"/>
        </w:rPr>
        <w:footnoteRef/>
      </w:r>
      <w:r w:rsidRPr="00DF4DEA">
        <w:rPr>
          <w:lang w:val="fr-CH"/>
        </w:rPr>
        <w:t xml:space="preserve"> Source : Banque mondiale — WDI (2024) — Taux de chômage modèle ILO, RDC</w:t>
      </w:r>
    </w:p>
  </w:footnote>
  <w:footnote w:id="24">
    <w:p w14:paraId="190F8D47" w14:textId="77777777" w:rsidR="003C12C0" w:rsidRPr="00DF4DEA" w:rsidRDefault="00000000">
      <w:pPr>
        <w:pStyle w:val="FootnoteText"/>
        <w:rPr>
          <w:lang w:val="fr-CH"/>
        </w:rPr>
      </w:pPr>
      <w:r>
        <w:rPr>
          <w:rStyle w:val="FootnoteReference"/>
        </w:rPr>
        <w:footnoteRef/>
      </w:r>
      <w:r w:rsidRPr="00DF4DEA">
        <w:rPr>
          <w:lang w:val="fr-CH"/>
        </w:rPr>
        <w:t xml:space="preserve"> Source : OIT, ILOSTAT — Estimations modélisées de l'emploi informel, RDC (données 2020) ; proxies WDI 2024 : emploi vulnérable 81,8 %, travailleurs indépendants 85,3 %</w:t>
      </w:r>
    </w:p>
  </w:footnote>
  <w:footnote w:id="25">
    <w:p w14:paraId="190F8D48" w14:textId="77777777" w:rsidR="003C12C0" w:rsidRPr="00DF4DEA" w:rsidRDefault="00000000">
      <w:pPr>
        <w:pStyle w:val="FootnoteText"/>
        <w:rPr>
          <w:lang w:val="fr-CH"/>
        </w:rPr>
      </w:pPr>
      <w:r>
        <w:rPr>
          <w:rStyle w:val="FootnoteReference"/>
        </w:rPr>
        <w:footnoteRef/>
      </w:r>
      <w:r w:rsidRPr="00DF4DEA">
        <w:rPr>
          <w:lang w:val="fr-CH"/>
        </w:rPr>
        <w:t xml:space="preserve"> Source : OIT, ILOSTAT — Emploi informel par sexe, RDC (2020)</w:t>
      </w:r>
    </w:p>
  </w:footnote>
  <w:footnote w:id="26">
    <w:p w14:paraId="190F8D49" w14:textId="77777777" w:rsidR="003C12C0" w:rsidRPr="00DF4DEA" w:rsidRDefault="00000000">
      <w:pPr>
        <w:pStyle w:val="FootnoteText"/>
        <w:rPr>
          <w:lang w:val="fr-CH"/>
        </w:rPr>
      </w:pPr>
      <w:r>
        <w:rPr>
          <w:rStyle w:val="FootnoteReference"/>
        </w:rPr>
        <w:footnoteRef/>
      </w:r>
      <w:r w:rsidRPr="00DF4DEA">
        <w:rPr>
          <w:lang w:val="fr-CH"/>
        </w:rPr>
        <w:t xml:space="preserve"> Source : OIT, ILOSTAT — Emploi informel par sexe, RDC (2020)</w:t>
      </w:r>
    </w:p>
  </w:footnote>
  <w:footnote w:id="27">
    <w:p w14:paraId="190F8D4A" w14:textId="77777777" w:rsidR="003C12C0" w:rsidRPr="00DF4DEA" w:rsidRDefault="00000000">
      <w:pPr>
        <w:pStyle w:val="FootnoteText"/>
        <w:rPr>
          <w:lang w:val="fr-CH"/>
        </w:rPr>
      </w:pPr>
      <w:r>
        <w:rPr>
          <w:rStyle w:val="FootnoteReference"/>
        </w:rPr>
        <w:footnoteRef/>
      </w:r>
      <w:r w:rsidRPr="00DF4DEA">
        <w:rPr>
          <w:lang w:val="fr-CH"/>
        </w:rPr>
        <w:t xml:space="preserve"> Données : taux d'activité 15+ par sexe, RDC 2023 — OIT ILOSTAT</w:t>
      </w:r>
    </w:p>
  </w:footnote>
  <w:footnote w:id="28">
    <w:p w14:paraId="190F8D4B" w14:textId="77777777" w:rsidR="003C12C0" w:rsidRPr="00DF4DEA" w:rsidRDefault="00000000">
      <w:pPr>
        <w:pStyle w:val="FootnoteText"/>
        <w:rPr>
          <w:lang w:val="fr-CH"/>
        </w:rPr>
      </w:pPr>
      <w:r>
        <w:rPr>
          <w:rStyle w:val="FootnoteReference"/>
        </w:rPr>
        <w:footnoteRef/>
      </w:r>
      <w:r w:rsidRPr="00DF4DEA">
        <w:rPr>
          <w:lang w:val="fr-CH"/>
        </w:rPr>
        <w:t xml:space="preserve"> Données : emploi informel par sexe, RDC 2020 — OIT ILOSTAT</w:t>
      </w:r>
    </w:p>
  </w:footnote>
  <w:footnote w:id="29">
    <w:p w14:paraId="190F8D4C" w14:textId="77777777" w:rsidR="003C12C0" w:rsidRPr="00DF4DEA" w:rsidRDefault="00000000">
      <w:pPr>
        <w:pStyle w:val="FootnoteText"/>
        <w:rPr>
          <w:lang w:val="fr-CH"/>
        </w:rPr>
      </w:pPr>
      <w:r>
        <w:rPr>
          <w:rStyle w:val="FootnoteReference"/>
        </w:rPr>
        <w:footnoteRef/>
      </w:r>
      <w:r w:rsidRPr="00DF4DEA">
        <w:rPr>
          <w:lang w:val="fr-CH"/>
        </w:rPr>
        <w:t xml:space="preserve"> Données : emploi par secteur RDC 2024 — Banque mondiale WDI / ILOEST</w:t>
      </w:r>
    </w:p>
  </w:footnote>
  <w:footnote w:id="30">
    <w:p w14:paraId="190F8D4D" w14:textId="77777777" w:rsidR="003C12C0" w:rsidRPr="00DF4DEA" w:rsidRDefault="00000000">
      <w:pPr>
        <w:pStyle w:val="FootnoteText"/>
        <w:rPr>
          <w:lang w:val="fr-CH"/>
        </w:rPr>
      </w:pPr>
      <w:r>
        <w:rPr>
          <w:rStyle w:val="FootnoteReference"/>
        </w:rPr>
        <w:footnoteRef/>
      </w:r>
      <w:r w:rsidRPr="00DF4DEA">
        <w:rPr>
          <w:lang w:val="fr-CH"/>
        </w:rPr>
        <w:t xml:space="preserve"> Source : Bureau International du Travail (2024) — Rapport mondial sur la protection sociale 2024-26</w:t>
      </w:r>
    </w:p>
  </w:footnote>
  <w:footnote w:id="31">
    <w:p w14:paraId="190F8D4E" w14:textId="77777777" w:rsidR="003C12C0" w:rsidRPr="00DF4DEA" w:rsidRDefault="00000000">
      <w:pPr>
        <w:pStyle w:val="FootnoteText"/>
        <w:rPr>
          <w:lang w:val="fr-CH"/>
        </w:rPr>
      </w:pPr>
      <w:r>
        <w:rPr>
          <w:rStyle w:val="FootnoteReference"/>
        </w:rPr>
        <w:footnoteRef/>
      </w:r>
      <w:r w:rsidRPr="00DF4DEA">
        <w:rPr>
          <w:lang w:val="fr-CH"/>
        </w:rPr>
        <w:t xml:space="preserve"> Source : BIT (2024) — 52,4 % de la population mondiale couverte par au moins une prestation</w:t>
      </w:r>
    </w:p>
  </w:footnote>
  <w:footnote w:id="32">
    <w:p w14:paraId="190F8D4F" w14:textId="77777777" w:rsidR="003C12C0" w:rsidRPr="00DF4DEA" w:rsidRDefault="00000000">
      <w:pPr>
        <w:pStyle w:val="FootnoteText"/>
        <w:rPr>
          <w:lang w:val="fr-CH"/>
        </w:rPr>
      </w:pPr>
      <w:r>
        <w:rPr>
          <w:rStyle w:val="FootnoteReference"/>
        </w:rPr>
        <w:footnoteRef/>
      </w:r>
      <w:r w:rsidRPr="00DF4DEA">
        <w:rPr>
          <w:lang w:val="fr-CH"/>
        </w:rPr>
        <w:t xml:space="preserve"> Source : BIT (2024) — 19,1 % de la population africaine couverte par au moins une prestation</w:t>
      </w:r>
    </w:p>
  </w:footnote>
  <w:footnote w:id="33">
    <w:p w14:paraId="190F8D50" w14:textId="77777777" w:rsidR="003C12C0" w:rsidRPr="00DF4DEA" w:rsidRDefault="00000000">
      <w:pPr>
        <w:pStyle w:val="FootnoteText"/>
        <w:rPr>
          <w:lang w:val="fr-CH"/>
        </w:rPr>
      </w:pPr>
      <w:r>
        <w:rPr>
          <w:rStyle w:val="FootnoteReference"/>
        </w:rPr>
        <w:footnoteRef/>
      </w:r>
      <w:r w:rsidRPr="00DF4DEA">
        <w:rPr>
          <w:lang w:val="fr-CH"/>
        </w:rPr>
        <w:t xml:space="preserve"> Source : Gouvernement de la RDC (2016) — Stratégie nationale de la protection sociale (SNPS)</w:t>
      </w:r>
    </w:p>
  </w:footnote>
  <w:footnote w:id="34">
    <w:p w14:paraId="190F8D51" w14:textId="77777777" w:rsidR="003C12C0" w:rsidRDefault="00000000">
      <w:pPr>
        <w:pStyle w:val="FootnoteText"/>
      </w:pPr>
      <w:r>
        <w:rPr>
          <w:rStyle w:val="FootnoteReference"/>
        </w:rPr>
        <w:footnoteRef/>
      </w:r>
      <w:r>
        <w:t xml:space="preserve"> Source : OIT (2021) Building social protection systems : International standards and human rights instruments</w:t>
      </w:r>
    </w:p>
  </w:footnote>
  <w:footnote w:id="35">
    <w:p w14:paraId="190F8D52" w14:textId="77777777" w:rsidR="003C12C0" w:rsidRPr="00DF4DEA" w:rsidRDefault="00000000">
      <w:pPr>
        <w:pStyle w:val="FootnoteText"/>
        <w:rPr>
          <w:lang w:val="fr-CH"/>
        </w:rPr>
      </w:pPr>
      <w:r>
        <w:rPr>
          <w:rStyle w:val="FootnoteReference"/>
        </w:rPr>
        <w:footnoteRef/>
      </w:r>
      <w:r w:rsidRPr="00DF4DEA">
        <w:rPr>
          <w:lang w:val="fr-CH"/>
        </w:rPr>
        <w:t xml:space="preserve"> Source : OIT (2021) — Building social protection systems — DUDH (1948), art. 25 : droit à un niveau de vie suffisant</w:t>
      </w:r>
    </w:p>
  </w:footnote>
  <w:footnote w:id="36">
    <w:p w14:paraId="190F8D53" w14:textId="77777777" w:rsidR="003C12C0" w:rsidRPr="00DF4DEA" w:rsidRDefault="00000000">
      <w:pPr>
        <w:pStyle w:val="FootnoteText"/>
        <w:rPr>
          <w:lang w:val="fr-CH"/>
        </w:rPr>
      </w:pPr>
      <w:r>
        <w:rPr>
          <w:rStyle w:val="FootnoteReference"/>
        </w:rPr>
        <w:footnoteRef/>
      </w:r>
      <w:r w:rsidRPr="00DF4DEA">
        <w:rPr>
          <w:lang w:val="fr-CH"/>
        </w:rPr>
        <w:t xml:space="preserve"> Source : OIT Convention no 102 sur la sécurité sociale (normes minimales), 1952</w:t>
      </w:r>
    </w:p>
  </w:footnote>
  <w:footnote w:id="37">
    <w:p w14:paraId="190F8D54" w14:textId="77777777" w:rsidR="003C12C0" w:rsidRPr="00DF4DEA" w:rsidRDefault="00000000">
      <w:pPr>
        <w:pStyle w:val="FootnoteText"/>
        <w:rPr>
          <w:lang w:val="fr-CH"/>
        </w:rPr>
      </w:pPr>
      <w:r>
        <w:rPr>
          <w:rStyle w:val="FootnoteReference"/>
        </w:rPr>
        <w:footnoteRef/>
      </w:r>
      <w:r w:rsidRPr="00DF4DEA">
        <w:rPr>
          <w:lang w:val="fr-CH"/>
        </w:rPr>
        <w:t xml:space="preserve"> Source : OIT Recommandation no 202 sur les socles de protection sociale, 2012</w:t>
      </w:r>
    </w:p>
  </w:footnote>
  <w:footnote w:id="38">
    <w:p w14:paraId="190F8D55" w14:textId="77777777" w:rsidR="003C12C0" w:rsidRDefault="00000000">
      <w:pPr>
        <w:pStyle w:val="FootnoteText"/>
      </w:pPr>
      <w:r>
        <w:rPr>
          <w:rStyle w:val="FootnoteReference"/>
        </w:rPr>
        <w:footnoteRef/>
      </w:r>
      <w:r>
        <w:t xml:space="preserve"> Source : OIT (2021) Building social protection systems : International standards and human rights instruments</w:t>
      </w:r>
    </w:p>
  </w:footnote>
  <w:footnote w:id="39">
    <w:p w14:paraId="190F8D56" w14:textId="77777777" w:rsidR="003C12C0" w:rsidRPr="00DF4DEA" w:rsidRDefault="00000000">
      <w:pPr>
        <w:pStyle w:val="FootnoteText"/>
        <w:rPr>
          <w:lang w:val="fr-CH"/>
        </w:rPr>
      </w:pPr>
      <w:r>
        <w:rPr>
          <w:rStyle w:val="FootnoteReference"/>
        </w:rPr>
        <w:footnoteRef/>
      </w:r>
      <w:r w:rsidRPr="00DF4DEA">
        <w:rPr>
          <w:lang w:val="fr-CH"/>
        </w:rPr>
        <w:t xml:space="preserve"> Source : OIT — Convention no 102 sur la sécurité sociale (normes minimales), 1952 — ratifiée par la RDC en 1987 (Parties V, VII, IX, X)</w:t>
      </w:r>
    </w:p>
  </w:footnote>
  <w:footnote w:id="40">
    <w:p w14:paraId="190F8D57" w14:textId="77777777" w:rsidR="003C12C0" w:rsidRPr="00DF4DEA" w:rsidRDefault="00000000">
      <w:pPr>
        <w:pStyle w:val="FootnoteText"/>
        <w:rPr>
          <w:lang w:val="fr-CH"/>
        </w:rPr>
      </w:pPr>
      <w:r>
        <w:rPr>
          <w:rStyle w:val="FootnoteReference"/>
        </w:rPr>
        <w:footnoteRef/>
      </w:r>
      <w:r w:rsidRPr="00DF4DEA">
        <w:rPr>
          <w:lang w:val="fr-CH"/>
        </w:rPr>
        <w:t xml:space="preserve"> Source : BIT (2024) — Rapport mondial sur la protection sociale 2024-26 — définition et méthodologie de l'indicateur ODD 1.3.1</w:t>
      </w:r>
    </w:p>
  </w:footnote>
  <w:footnote w:id="41">
    <w:p w14:paraId="190F8D58" w14:textId="77777777" w:rsidR="003C12C0" w:rsidRPr="00DF4DEA" w:rsidRDefault="00000000">
      <w:pPr>
        <w:pStyle w:val="FootnoteText"/>
        <w:rPr>
          <w:lang w:val="fr-CH"/>
        </w:rPr>
      </w:pPr>
      <w:r>
        <w:rPr>
          <w:rStyle w:val="FootnoteReference"/>
        </w:rPr>
        <w:footnoteRef/>
      </w:r>
      <w:r w:rsidRPr="00DF4DEA">
        <w:rPr>
          <w:lang w:val="fr-CH"/>
        </w:rPr>
        <w:t xml:space="preserve"> Source : OIT — Convention no 102 sur la sécurité sociale (normes minimales), 1952</w:t>
      </w:r>
    </w:p>
  </w:footnote>
  <w:footnote w:id="42">
    <w:p w14:paraId="190F8D59" w14:textId="77777777" w:rsidR="003C12C0" w:rsidRPr="00DF4DEA" w:rsidRDefault="00000000">
      <w:pPr>
        <w:pStyle w:val="FootnoteText"/>
        <w:rPr>
          <w:lang w:val="fr-CH"/>
        </w:rPr>
      </w:pPr>
      <w:r>
        <w:rPr>
          <w:rStyle w:val="FootnoteReference"/>
        </w:rPr>
        <w:footnoteRef/>
      </w:r>
      <w:r w:rsidRPr="00DF4DEA">
        <w:rPr>
          <w:lang w:val="fr-CH"/>
        </w:rPr>
        <w:t xml:space="preserve"> Source : CNSS RDC — Site officiel cnss.cd, consulté juin 2026</w:t>
      </w:r>
    </w:p>
  </w:footnote>
  <w:footnote w:id="43">
    <w:p w14:paraId="190F8D5A" w14:textId="77777777" w:rsidR="003C12C0" w:rsidRPr="00DF4DEA" w:rsidRDefault="00000000">
      <w:pPr>
        <w:pStyle w:val="FootnoteText"/>
        <w:rPr>
          <w:lang w:val="fr-CH"/>
        </w:rPr>
      </w:pPr>
      <w:r>
        <w:rPr>
          <w:rStyle w:val="FootnoteReference"/>
        </w:rPr>
        <w:footnoteRef/>
      </w:r>
      <w:r w:rsidRPr="00DF4DEA">
        <w:rPr>
          <w:lang w:val="fr-CH"/>
        </w:rPr>
        <w:t xml:space="preserve"> Source : CNSSAP RDC — Site officiel cnssap.cd, consulté juin 2026</w:t>
      </w:r>
    </w:p>
  </w:footnote>
  <w:footnote w:id="44">
    <w:p w14:paraId="190F8D5B" w14:textId="77777777" w:rsidR="003C12C0" w:rsidRPr="00DF4DEA" w:rsidRDefault="00000000">
      <w:pPr>
        <w:pStyle w:val="FootnoteText"/>
        <w:rPr>
          <w:lang w:val="fr-CH"/>
        </w:rPr>
      </w:pPr>
      <w:r>
        <w:rPr>
          <w:rStyle w:val="FootnoteReference"/>
        </w:rPr>
        <w:footnoteRef/>
      </w:r>
      <w:r w:rsidRPr="00DF4DEA">
        <w:rPr>
          <w:lang w:val="fr-CH"/>
        </w:rPr>
        <w:t xml:space="preserve"> CNSS RDC - branches et populations couvertes (cnss.cd, loi n°16/009)</w:t>
      </w:r>
    </w:p>
  </w:footnote>
  <w:footnote w:id="45">
    <w:p w14:paraId="190F8D5C" w14:textId="77777777" w:rsidR="003C12C0" w:rsidRPr="00DF4DEA" w:rsidRDefault="00000000">
      <w:pPr>
        <w:pStyle w:val="FootnoteText"/>
        <w:rPr>
          <w:lang w:val="fr-CH"/>
        </w:rPr>
      </w:pPr>
      <w:r>
        <w:rPr>
          <w:rStyle w:val="FootnoteReference"/>
        </w:rPr>
        <w:footnoteRef/>
      </w:r>
      <w:r w:rsidRPr="00DF4DEA">
        <w:rPr>
          <w:lang w:val="fr-CH"/>
        </w:rPr>
        <w:t xml:space="preserve"> CNSSAP RDC - branches et populations couvertes (cnssap.cd, décret 15/031, loi 22/031)</w:t>
      </w:r>
    </w:p>
  </w:footnote>
  <w:footnote w:id="46">
    <w:p w14:paraId="190F8D5D" w14:textId="77777777" w:rsidR="003C12C0" w:rsidRPr="00DF4DEA" w:rsidRDefault="00000000">
      <w:pPr>
        <w:pStyle w:val="FootnoteText"/>
        <w:rPr>
          <w:lang w:val="fr-CH"/>
        </w:rPr>
      </w:pPr>
      <w:r>
        <w:rPr>
          <w:rStyle w:val="FootnoteReference"/>
        </w:rPr>
        <w:footnoteRef/>
      </w:r>
      <w:r w:rsidRPr="00DF4DEA">
        <w:rPr>
          <w:lang w:val="fr-CH"/>
        </w:rPr>
        <w:t xml:space="preserve"> CNSS RDC - branches et populations couvertes (cnss.cd, loi n°16/009)</w:t>
      </w:r>
    </w:p>
  </w:footnote>
  <w:footnote w:id="47">
    <w:p w14:paraId="190F8D5E" w14:textId="77777777" w:rsidR="003C12C0" w:rsidRPr="00DF4DEA" w:rsidRDefault="00000000">
      <w:pPr>
        <w:pStyle w:val="FootnoteText"/>
        <w:rPr>
          <w:lang w:val="fr-CH"/>
        </w:rPr>
      </w:pPr>
      <w:r>
        <w:rPr>
          <w:rStyle w:val="FootnoteReference"/>
        </w:rPr>
        <w:footnoteRef/>
      </w:r>
      <w:r w:rsidRPr="00DF4DEA">
        <w:rPr>
          <w:lang w:val="fr-CH"/>
        </w:rPr>
        <w:t xml:space="preserve"> CNSSAP RDC - branches et populations couvertes (cnssap.cd, décret 15/031, loi 22/031)</w:t>
      </w:r>
    </w:p>
  </w:footnote>
  <w:footnote w:id="48">
    <w:p w14:paraId="190F8D5F" w14:textId="77777777" w:rsidR="003C12C0" w:rsidRPr="00DF4DEA" w:rsidRDefault="00000000">
      <w:pPr>
        <w:pStyle w:val="FootnoteText"/>
        <w:rPr>
          <w:lang w:val="fr-CH"/>
        </w:rPr>
      </w:pPr>
      <w:r>
        <w:rPr>
          <w:rStyle w:val="FootnoteReference"/>
        </w:rPr>
        <w:footnoteRef/>
      </w:r>
      <w:r w:rsidRPr="00DF4DEA">
        <w:rPr>
          <w:lang w:val="fr-CH"/>
        </w:rPr>
        <w:t xml:space="preserve"> CNSS RDC - branches et populations couvertes (cnss.cd, loi n°16/009)</w:t>
      </w:r>
    </w:p>
  </w:footnote>
  <w:footnote w:id="49">
    <w:p w14:paraId="190F8D60" w14:textId="77777777" w:rsidR="003C12C0" w:rsidRPr="00DF4DEA" w:rsidRDefault="00000000">
      <w:pPr>
        <w:pStyle w:val="FootnoteText"/>
        <w:rPr>
          <w:lang w:val="fr-CH"/>
        </w:rPr>
      </w:pPr>
      <w:r>
        <w:rPr>
          <w:rStyle w:val="FootnoteReference"/>
        </w:rPr>
        <w:footnoteRef/>
      </w:r>
      <w:r w:rsidRPr="00DF4DEA">
        <w:rPr>
          <w:lang w:val="fr-CH"/>
        </w:rPr>
        <w:t xml:space="preserve"> CNSSAP RDC - branches et populations couvertes (cnssap.cd, décret 15/031, loi 22/031)</w:t>
      </w:r>
    </w:p>
  </w:footnote>
  <w:footnote w:id="50">
    <w:p w14:paraId="190F8D61" w14:textId="77777777" w:rsidR="003C12C0" w:rsidRPr="00DF4DEA" w:rsidRDefault="00000000">
      <w:pPr>
        <w:pStyle w:val="FootnoteText"/>
        <w:rPr>
          <w:lang w:val="fr-CH"/>
        </w:rPr>
      </w:pPr>
      <w:r>
        <w:rPr>
          <w:rStyle w:val="FootnoteReference"/>
        </w:rPr>
        <w:footnoteRef/>
      </w:r>
      <w:r w:rsidRPr="00DF4DEA">
        <w:rPr>
          <w:lang w:val="fr-CH"/>
        </w:rPr>
        <w:t xml:space="preserve"> CNSS RDC - Site officiel cnss.cd et loi n°16/009 du 15 juillet 2016 - branches et populations couvertes</w:t>
      </w:r>
    </w:p>
  </w:footnote>
  <w:footnote w:id="51">
    <w:p w14:paraId="190F8D62" w14:textId="77777777" w:rsidR="003C12C0" w:rsidRPr="00DF4DEA" w:rsidRDefault="00000000">
      <w:pPr>
        <w:pStyle w:val="FootnoteText"/>
        <w:rPr>
          <w:lang w:val="fr-CH"/>
        </w:rPr>
      </w:pPr>
      <w:r>
        <w:rPr>
          <w:rStyle w:val="FootnoteReference"/>
        </w:rPr>
        <w:footnoteRef/>
      </w:r>
      <w:r w:rsidRPr="00DF4DEA">
        <w:rPr>
          <w:lang w:val="fr-CH"/>
        </w:rPr>
        <w:t xml:space="preserve"> CNSSAP RDC - Site officiel cnssap.cd ; décret n°15/031 du 14 déc. 2015 ; loi n°22/031 du 15 juil. 2022</w:t>
      </w:r>
    </w:p>
  </w:footnote>
  <w:footnote w:id="52">
    <w:p w14:paraId="190F8D63" w14:textId="77777777" w:rsidR="003C12C0" w:rsidRPr="00DF4DEA" w:rsidRDefault="00000000">
      <w:pPr>
        <w:pStyle w:val="FootnoteText"/>
        <w:rPr>
          <w:lang w:val="fr-CH"/>
        </w:rPr>
      </w:pPr>
      <w:r>
        <w:rPr>
          <w:rStyle w:val="FootnoteReference"/>
        </w:rPr>
        <w:footnoteRef/>
      </w:r>
      <w:r w:rsidRPr="00DF4DEA">
        <w:rPr>
          <w:lang w:val="fr-CH"/>
        </w:rPr>
        <w:t xml:space="preserve"> Premier bulletin statistique de la protection sociale en RDC (2023) - tableaux 3 à 7</w:t>
      </w:r>
    </w:p>
  </w:footnote>
  <w:footnote w:id="53">
    <w:p w14:paraId="190F8D64" w14:textId="77777777" w:rsidR="003C12C0" w:rsidRPr="00DF4DEA" w:rsidRDefault="00000000">
      <w:pPr>
        <w:pStyle w:val="FootnoteText"/>
        <w:rPr>
          <w:lang w:val="fr-CH"/>
        </w:rPr>
      </w:pPr>
      <w:r>
        <w:rPr>
          <w:rStyle w:val="FootnoteReference"/>
        </w:rPr>
        <w:footnoteRef/>
      </w:r>
      <w:r w:rsidRPr="00DF4DEA">
        <w:rPr>
          <w:lang w:val="fr-CH"/>
        </w:rPr>
        <w:t xml:space="preserve"> Premier bulletin statistique de la protection sociale en RDC (2023) - cartographie institutionnelle des régimes spéciaux</w:t>
      </w:r>
    </w:p>
  </w:footnote>
  <w:footnote w:id="54">
    <w:p w14:paraId="190F8D65" w14:textId="77777777" w:rsidR="003C12C0" w:rsidRPr="00DF4DEA" w:rsidRDefault="00000000">
      <w:pPr>
        <w:pStyle w:val="FootnoteText"/>
        <w:rPr>
          <w:lang w:val="fr-CH"/>
        </w:rPr>
      </w:pPr>
      <w:r>
        <w:rPr>
          <w:rStyle w:val="FootnoteReference"/>
        </w:rPr>
        <w:footnoteRef/>
      </w:r>
      <w:r w:rsidRPr="00DF4DEA">
        <w:rPr>
          <w:lang w:val="fr-CH"/>
        </w:rPr>
        <w:t xml:space="preserve"> Source : FSS RDC — Site officiel fss.cd, consulté juin 2026</w:t>
      </w:r>
    </w:p>
  </w:footnote>
  <w:footnote w:id="55">
    <w:p w14:paraId="190F8D66" w14:textId="77777777" w:rsidR="003C12C0" w:rsidRPr="00DF4DEA" w:rsidRDefault="00000000">
      <w:pPr>
        <w:pStyle w:val="FootnoteText"/>
        <w:rPr>
          <w:lang w:val="fr-CH"/>
        </w:rPr>
      </w:pPr>
      <w:r>
        <w:rPr>
          <w:rStyle w:val="FootnoteReference"/>
        </w:rPr>
        <w:footnoteRef/>
      </w:r>
      <w:r w:rsidRPr="00DF4DEA">
        <w:rPr>
          <w:lang w:val="fr-CH"/>
        </w:rPr>
        <w:t xml:space="preserve"> FSS RDC - produits et régimes opérationnels (fss.cd, juin 2026)</w:t>
      </w:r>
    </w:p>
  </w:footnote>
  <w:footnote w:id="56">
    <w:p w14:paraId="190F8D67" w14:textId="77777777" w:rsidR="003C12C0" w:rsidRPr="00DF4DEA" w:rsidRDefault="00000000">
      <w:pPr>
        <w:pStyle w:val="FootnoteText"/>
        <w:rPr>
          <w:lang w:val="fr-CH"/>
        </w:rPr>
      </w:pPr>
      <w:r>
        <w:rPr>
          <w:rStyle w:val="FootnoteReference"/>
        </w:rPr>
        <w:footnoteRef/>
      </w:r>
      <w:r w:rsidRPr="00DF4DEA">
        <w:rPr>
          <w:lang w:val="fr-CH"/>
        </w:rPr>
        <w:t xml:space="preserve"> FSS RDC - produits et régimes opérationnels (fss.cd, juin 2026)</w:t>
      </w:r>
    </w:p>
  </w:footnote>
  <w:footnote w:id="57">
    <w:p w14:paraId="190F8D68" w14:textId="77777777" w:rsidR="003C12C0" w:rsidRPr="00DF4DEA" w:rsidRDefault="00000000">
      <w:pPr>
        <w:pStyle w:val="FootnoteText"/>
        <w:rPr>
          <w:lang w:val="fr-CH"/>
        </w:rPr>
      </w:pPr>
      <w:r>
        <w:rPr>
          <w:rStyle w:val="FootnoteReference"/>
        </w:rPr>
        <w:footnoteRef/>
      </w:r>
      <w:r w:rsidRPr="00DF4DEA">
        <w:rPr>
          <w:lang w:val="fr-CH"/>
        </w:rPr>
        <w:t xml:space="preserve"> FSS RDC - produits et régimes opérationnels (fss.cd, juin 2026)</w:t>
      </w:r>
    </w:p>
  </w:footnote>
  <w:footnote w:id="58">
    <w:p w14:paraId="190F8D69" w14:textId="77777777" w:rsidR="003C12C0" w:rsidRPr="00DF4DEA" w:rsidRDefault="00000000">
      <w:pPr>
        <w:pStyle w:val="FootnoteText"/>
        <w:rPr>
          <w:lang w:val="fr-CH"/>
        </w:rPr>
      </w:pPr>
      <w:r>
        <w:rPr>
          <w:rStyle w:val="FootnoteReference"/>
        </w:rPr>
        <w:footnoteRef/>
      </w:r>
      <w:r w:rsidRPr="00DF4DEA">
        <w:rPr>
          <w:lang w:val="fr-CH"/>
        </w:rPr>
        <w:t xml:space="preserve"> FSS RDC - produits et régimes opérationnels (fss.cd, juin 2026)</w:t>
      </w:r>
    </w:p>
  </w:footnote>
  <w:footnote w:id="59">
    <w:p w14:paraId="190F8D6A" w14:textId="77777777" w:rsidR="003C12C0" w:rsidRPr="00DF4DEA" w:rsidRDefault="00000000">
      <w:pPr>
        <w:pStyle w:val="FootnoteText"/>
        <w:rPr>
          <w:lang w:val="fr-CH"/>
        </w:rPr>
      </w:pPr>
      <w:r>
        <w:rPr>
          <w:rStyle w:val="FootnoteReference"/>
        </w:rPr>
        <w:footnoteRef/>
      </w:r>
      <w:r w:rsidRPr="00DF4DEA">
        <w:rPr>
          <w:lang w:val="fr-CH"/>
        </w:rPr>
        <w:t xml:space="preserve"> Premier bulletin statistique RDC (2023) - tableau 9 : MESP</w:t>
      </w:r>
    </w:p>
  </w:footnote>
  <w:footnote w:id="60">
    <w:p w14:paraId="190F8D6B" w14:textId="77777777" w:rsidR="003C12C0" w:rsidRPr="00DF4DEA" w:rsidRDefault="00000000">
      <w:pPr>
        <w:pStyle w:val="FootnoteText"/>
        <w:rPr>
          <w:lang w:val="fr-CH"/>
        </w:rPr>
      </w:pPr>
      <w:r>
        <w:rPr>
          <w:rStyle w:val="FootnoteReference"/>
        </w:rPr>
        <w:footnoteRef/>
      </w:r>
      <w:r w:rsidRPr="00DF4DEA">
        <w:rPr>
          <w:lang w:val="fr-CH"/>
        </w:rPr>
        <w:t xml:space="preserve"> FSS RDC - Site officiel fss.cd (juin 2026) - produits et régimes opérationnels</w:t>
      </w:r>
    </w:p>
  </w:footnote>
  <w:footnote w:id="61">
    <w:p w14:paraId="190F8D6C" w14:textId="77777777" w:rsidR="003C12C0" w:rsidRPr="00DF4DEA" w:rsidRDefault="00000000">
      <w:pPr>
        <w:pStyle w:val="FootnoteText"/>
        <w:rPr>
          <w:lang w:val="fr-CH"/>
        </w:rPr>
      </w:pPr>
      <w:r>
        <w:rPr>
          <w:rStyle w:val="FootnoteReference"/>
        </w:rPr>
        <w:footnoteRef/>
      </w:r>
      <w:r w:rsidRPr="00DF4DEA">
        <w:rPr>
          <w:lang w:val="fr-CH"/>
        </w:rPr>
        <w:t xml:space="preserve"> Premier bulletin statistique de la protection sociale en RDC (2023) - tableau 9 : MESP</w:t>
      </w:r>
    </w:p>
  </w:footnote>
  <w:footnote w:id="62">
    <w:p w14:paraId="190F8D6D" w14:textId="77777777" w:rsidR="003C12C0" w:rsidRPr="00DF4DEA" w:rsidRDefault="00000000">
      <w:pPr>
        <w:pStyle w:val="FootnoteText"/>
        <w:rPr>
          <w:lang w:val="fr-CH"/>
        </w:rPr>
      </w:pPr>
      <w:r>
        <w:rPr>
          <w:rStyle w:val="FootnoteReference"/>
        </w:rPr>
        <w:footnoteRef/>
      </w:r>
      <w:r w:rsidRPr="00DF4DEA">
        <w:rPr>
          <w:lang w:val="fr-CH"/>
        </w:rPr>
        <w:t xml:space="preserve"> CNSSAP RDC - Base légale MESP incluse dans le champ CNSSAP / santé des agents publics</w:t>
      </w:r>
    </w:p>
  </w:footnote>
  <w:footnote w:id="63">
    <w:p w14:paraId="190F8D6E" w14:textId="77777777" w:rsidR="003C12C0" w:rsidRPr="00DF4DEA" w:rsidRDefault="00000000">
      <w:pPr>
        <w:pStyle w:val="FootnoteText"/>
        <w:rPr>
          <w:lang w:val="fr-CH"/>
        </w:rPr>
      </w:pPr>
      <w:r>
        <w:rPr>
          <w:rStyle w:val="FootnoteReference"/>
        </w:rPr>
        <w:footnoteRef/>
      </w:r>
      <w:r w:rsidRPr="00DF4DEA">
        <w:rPr>
          <w:lang w:val="fr-CH"/>
        </w:rPr>
        <w:t xml:space="preserve"> OIT — Recommandation no 202 (2012) — §8 : les socles de protection sociale comprennent des garanties minimales pour les populations non couvertes par les régimes contributifs</w:t>
      </w:r>
    </w:p>
  </w:footnote>
  <w:footnote w:id="64">
    <w:p w14:paraId="190F8D6F" w14:textId="77777777" w:rsidR="003C12C0" w:rsidRPr="00DF4DEA" w:rsidRDefault="00000000">
      <w:pPr>
        <w:pStyle w:val="FootnoteText"/>
        <w:rPr>
          <w:lang w:val="fr-CH"/>
        </w:rPr>
      </w:pPr>
      <w:r>
        <w:rPr>
          <w:rStyle w:val="FootnoteReference"/>
        </w:rPr>
        <w:footnoteRef/>
      </w:r>
      <w:r w:rsidRPr="00DF4DEA">
        <w:rPr>
          <w:lang w:val="fr-CH"/>
        </w:rPr>
        <w:t xml:space="preserve"> Premier bulletin statistique de la protection sociale en RDC (2023) — ch. 2.3 : programmes non contributifs d'assistance sociale</w:t>
      </w:r>
    </w:p>
  </w:footnote>
  <w:footnote w:id="65">
    <w:p w14:paraId="190F8D70" w14:textId="77777777" w:rsidR="003C12C0" w:rsidRPr="00DF4DEA" w:rsidRDefault="00000000">
      <w:pPr>
        <w:pStyle w:val="FootnoteText"/>
        <w:rPr>
          <w:lang w:val="fr-CH"/>
        </w:rPr>
      </w:pPr>
      <w:r>
        <w:rPr>
          <w:rStyle w:val="FootnoteReference"/>
        </w:rPr>
        <w:footnoteRef/>
      </w:r>
      <w:r w:rsidRPr="00DF4DEA">
        <w:rPr>
          <w:lang w:val="fr-CH"/>
        </w:rPr>
        <w:t xml:space="preserve"> PAM — Transferts de ressources sans conditions (TRC) — 4 037 575 bénéficiaires en 2021, 3 795 530 en 2022</w:t>
      </w:r>
    </w:p>
  </w:footnote>
  <w:footnote w:id="66">
    <w:p w14:paraId="190F8D71" w14:textId="77777777" w:rsidR="003C12C0" w:rsidRPr="00DF4DEA" w:rsidRDefault="00000000">
      <w:pPr>
        <w:pStyle w:val="FootnoteText"/>
        <w:rPr>
          <w:lang w:val="fr-CH"/>
        </w:rPr>
      </w:pPr>
      <w:r>
        <w:rPr>
          <w:rStyle w:val="FootnoteReference"/>
        </w:rPr>
        <w:footnoteRef/>
      </w:r>
      <w:r w:rsidRPr="00DF4DEA">
        <w:rPr>
          <w:lang w:val="fr-CH"/>
        </w:rPr>
        <w:t xml:space="preserve"> PAM RDC — site officiel wfp.org (consulté juin 2026) et Premier bulletin (2023)</w:t>
      </w:r>
    </w:p>
  </w:footnote>
  <w:footnote w:id="67">
    <w:p w14:paraId="190F8D72" w14:textId="77777777" w:rsidR="003C12C0" w:rsidRPr="00DF4DEA" w:rsidRDefault="00000000">
      <w:pPr>
        <w:pStyle w:val="FootnoteText"/>
        <w:rPr>
          <w:lang w:val="fr-CH"/>
        </w:rPr>
      </w:pPr>
      <w:r>
        <w:rPr>
          <w:rStyle w:val="FootnoteReference"/>
        </w:rPr>
        <w:footnoteRef/>
      </w:r>
      <w:r w:rsidRPr="00DF4DEA">
        <w:rPr>
          <w:lang w:val="fr-CH"/>
        </w:rPr>
        <w:t xml:space="preserve"> PAM + MEPST — Programme national de cantines scolaires — phase pilote initiée en 2023 pour consolider la gratuité de l'enseignement primaire</w:t>
      </w:r>
    </w:p>
  </w:footnote>
  <w:footnote w:id="68">
    <w:p w14:paraId="190F8D73" w14:textId="77777777" w:rsidR="003C12C0" w:rsidRPr="00DF4DEA" w:rsidRDefault="00000000">
      <w:pPr>
        <w:pStyle w:val="FootnoteText"/>
        <w:rPr>
          <w:lang w:val="fr-CH"/>
        </w:rPr>
      </w:pPr>
      <w:r>
        <w:rPr>
          <w:rStyle w:val="FootnoteReference"/>
        </w:rPr>
        <w:footnoteRef/>
      </w:r>
      <w:r w:rsidRPr="00DF4DEA">
        <w:rPr>
          <w:lang w:val="fr-CH"/>
        </w:rPr>
        <w:t xml:space="preserve"> PAM RDC — cantines scolaires : phase pilote, écoles publiques, objectif nutritionnel et scolarisation</w:t>
      </w:r>
    </w:p>
  </w:footnote>
  <w:footnote w:id="69">
    <w:p w14:paraId="190F8D74" w14:textId="77777777" w:rsidR="003C12C0" w:rsidRPr="00DF4DEA" w:rsidRDefault="00000000">
      <w:pPr>
        <w:pStyle w:val="FootnoteText"/>
        <w:rPr>
          <w:lang w:val="fr-CH"/>
        </w:rPr>
      </w:pPr>
      <w:r>
        <w:rPr>
          <w:rStyle w:val="FootnoteReference"/>
        </w:rPr>
        <w:footnoteRef/>
      </w:r>
      <w:r w:rsidRPr="00DF4DEA">
        <w:rPr>
          <w:lang w:val="fr-CH"/>
        </w:rPr>
        <w:t xml:space="preserve"> UNICEF — Cash + Nutrition (Tanganyika) — 226 648 enfants bénéficiaires en 2021 ; programme humanitaire récurrent</w:t>
      </w:r>
    </w:p>
  </w:footnote>
  <w:footnote w:id="70">
    <w:p w14:paraId="190F8D75" w14:textId="77777777" w:rsidR="003C12C0" w:rsidRPr="00DF4DEA" w:rsidRDefault="00000000">
      <w:pPr>
        <w:pStyle w:val="FootnoteText"/>
        <w:rPr>
          <w:lang w:val="fr-CH"/>
        </w:rPr>
      </w:pPr>
      <w:r>
        <w:rPr>
          <w:rStyle w:val="FootnoteReference"/>
        </w:rPr>
        <w:footnoteRef/>
      </w:r>
      <w:r w:rsidRPr="00DF4DEA">
        <w:rPr>
          <w:lang w:val="fr-CH"/>
        </w:rPr>
        <w:t xml:space="preserve"> Source : Premier bulletin (2023) citant données UNICEF 2021 — province de Tanganyika</w:t>
      </w:r>
    </w:p>
  </w:footnote>
  <w:footnote w:id="71">
    <w:p w14:paraId="190F8D76" w14:textId="77777777" w:rsidR="003C12C0" w:rsidRPr="00DF4DEA" w:rsidRDefault="00000000">
      <w:pPr>
        <w:pStyle w:val="FootnoteText"/>
        <w:rPr>
          <w:lang w:val="fr-CH"/>
        </w:rPr>
      </w:pPr>
      <w:r>
        <w:rPr>
          <w:rStyle w:val="FootnoteReference"/>
        </w:rPr>
        <w:footnoteRef/>
      </w:r>
      <w:r w:rsidRPr="00DF4DEA">
        <w:rPr>
          <w:lang w:val="fr-CH"/>
        </w:rPr>
        <w:t xml:space="preserve"> Premier bulletin statistique de la protection sociale en RDC (2023) — ch. 2.3 : cartographie des programmes non contributifs</w:t>
      </w:r>
    </w:p>
  </w:footnote>
  <w:footnote w:id="72">
    <w:p w14:paraId="190F8D77" w14:textId="77777777" w:rsidR="003C12C0" w:rsidRPr="00DF4DEA" w:rsidRDefault="00000000">
      <w:pPr>
        <w:pStyle w:val="FootnoteText"/>
        <w:rPr>
          <w:lang w:val="fr-CH"/>
        </w:rPr>
      </w:pPr>
      <w:r>
        <w:rPr>
          <w:rStyle w:val="FootnoteReference"/>
        </w:rPr>
        <w:footnoteRef/>
      </w:r>
      <w:r w:rsidRPr="00DF4DEA">
        <w:rPr>
          <w:lang w:val="fr-CH"/>
        </w:rPr>
        <w:t xml:space="preserve"> PAM — site officiel wfp.org (consulté juin 2026)</w:t>
      </w:r>
    </w:p>
  </w:footnote>
  <w:footnote w:id="73">
    <w:p w14:paraId="190F8D78" w14:textId="77777777" w:rsidR="003C12C0" w:rsidRPr="00DF4DEA" w:rsidRDefault="00000000">
      <w:pPr>
        <w:pStyle w:val="FootnoteText"/>
        <w:rPr>
          <w:lang w:val="fr-CH"/>
        </w:rPr>
      </w:pPr>
      <w:r>
        <w:rPr>
          <w:rStyle w:val="FootnoteReference"/>
        </w:rPr>
        <w:footnoteRef/>
      </w:r>
      <w:r w:rsidRPr="00DF4DEA">
        <w:rPr>
          <w:lang w:val="fr-CH"/>
        </w:rPr>
        <w:t xml:space="preserve"> UNICEF RDC — transferts monétaires humanitaires (2021-2022, actif intermittent)</w:t>
      </w:r>
    </w:p>
  </w:footnote>
  <w:footnote w:id="74">
    <w:p w14:paraId="190F8D79" w14:textId="77777777" w:rsidR="003C12C0" w:rsidRPr="00DF4DEA" w:rsidRDefault="00000000">
      <w:pPr>
        <w:pStyle w:val="FootnoteText"/>
        <w:rPr>
          <w:lang w:val="fr-CH"/>
        </w:rPr>
      </w:pPr>
      <w:r>
        <w:rPr>
          <w:rStyle w:val="FootnoteReference"/>
        </w:rPr>
        <w:footnoteRef/>
      </w:r>
      <w:r w:rsidRPr="00DF4DEA">
        <w:rPr>
          <w:lang w:val="fr-CH"/>
        </w:rPr>
        <w:t xml:space="preserve"> OIT — Recommandation no 202 sur les socles de protection sociale (2012)</w:t>
      </w:r>
    </w:p>
  </w:footnote>
  <w:footnote w:id="75">
    <w:p w14:paraId="190F8D7A" w14:textId="77777777" w:rsidR="003C12C0" w:rsidRPr="00DF4DEA" w:rsidRDefault="00000000">
      <w:pPr>
        <w:pStyle w:val="FootnoteText"/>
        <w:rPr>
          <w:lang w:val="fr-CH"/>
        </w:rPr>
      </w:pPr>
      <w:r>
        <w:rPr>
          <w:rStyle w:val="FootnoteReference"/>
        </w:rPr>
        <w:footnoteRef/>
      </w:r>
      <w:r w:rsidRPr="00DF4DEA">
        <w:rPr>
          <w:lang w:val="fr-CH"/>
        </w:rPr>
        <w:t xml:space="preserve"> Gratuité de l'enseignement primaire — Instruction n°001/MINEPSP/CABMIN/2019 — suppression des frais de scolarité dans les écoles primaires publiques. 18,4 millions de bénéficiaires estimés en 2022 (MEPST).</w:t>
      </w:r>
    </w:p>
  </w:footnote>
  <w:footnote w:id="76">
    <w:p w14:paraId="190F8D7B" w14:textId="77777777" w:rsidR="003C12C0" w:rsidRPr="00DF4DEA" w:rsidRDefault="00000000">
      <w:pPr>
        <w:pStyle w:val="FootnoteText"/>
        <w:rPr>
          <w:lang w:val="fr-CH"/>
        </w:rPr>
      </w:pPr>
      <w:r>
        <w:rPr>
          <w:rStyle w:val="FootnoteReference"/>
        </w:rPr>
        <w:footnoteRef/>
      </w:r>
      <w:r w:rsidRPr="00DF4DEA">
        <w:rPr>
          <w:lang w:val="fr-CH"/>
        </w:rPr>
        <w:t xml:space="preserve"> Gratuité de la maternité — arrêté ministériel MSPHPS — soins d'accouchement gratuits dans les formations sanitaires publiques. Opérationnalité variable selon les zones et la disponibilité des intrants.</w:t>
      </w:r>
    </w:p>
  </w:footnote>
  <w:footnote w:id="77">
    <w:p w14:paraId="190F8D7C" w14:textId="77777777" w:rsidR="003C12C0" w:rsidRPr="00DF4DEA" w:rsidRDefault="00000000">
      <w:pPr>
        <w:pStyle w:val="FootnoteText"/>
        <w:rPr>
          <w:lang w:val="fr-CH"/>
        </w:rPr>
      </w:pPr>
      <w:r>
        <w:rPr>
          <w:rStyle w:val="FootnoteReference"/>
        </w:rPr>
        <w:footnoteRef/>
      </w:r>
      <w:r w:rsidRPr="00DF4DEA">
        <w:rPr>
          <w:lang w:val="fr-CH"/>
        </w:rPr>
        <w:t xml:space="preserve"> Premier bulletin (2023), tableau 11 — interventions du MSPHPS : vaccination, kits médicaux, moustiquaires, dépistage VIH/TB. Données de couverture non consolidées.</w:t>
      </w:r>
    </w:p>
  </w:footnote>
  <w:footnote w:id="78">
    <w:p w14:paraId="190F8D7D" w14:textId="77777777" w:rsidR="003C12C0" w:rsidRPr="00DF4DEA" w:rsidRDefault="00000000">
      <w:pPr>
        <w:pStyle w:val="FootnoteText"/>
        <w:rPr>
          <w:lang w:val="fr-CH"/>
        </w:rPr>
      </w:pPr>
      <w:r>
        <w:rPr>
          <w:rStyle w:val="FootnoteReference"/>
        </w:rPr>
        <w:footnoteRef/>
      </w:r>
      <w:r w:rsidRPr="00DF4DEA">
        <w:rPr>
          <w:lang w:val="fr-CH"/>
        </w:rPr>
        <w:t xml:space="preserve"> THIMO — composante travaux publics du projet STEP (Fonds Social RDC / Banque mondiale) — 150 000 personnes ciblées dans les provinces de l'Est. Projet STEP clôturé en février 2024. Éventuels programmes HIMO successeurs non documentés à la date de rédaction.</w:t>
      </w:r>
    </w:p>
  </w:footnote>
  <w:footnote w:id="79">
    <w:p w14:paraId="190F8D7E" w14:textId="77777777" w:rsidR="003C12C0" w:rsidRPr="00DF4DEA" w:rsidRDefault="00000000">
      <w:pPr>
        <w:pStyle w:val="FootnoteText"/>
        <w:rPr>
          <w:lang w:val="fr-CH"/>
        </w:rPr>
      </w:pPr>
      <w:r>
        <w:rPr>
          <w:rStyle w:val="FootnoteReference"/>
        </w:rPr>
        <w:footnoteRef/>
      </w:r>
      <w:r w:rsidRPr="00DF4DEA">
        <w:rPr>
          <w:lang w:val="fr-CH"/>
        </w:rPr>
        <w:t xml:space="preserve"> Premier bulletin (2023), tableau 12 — MINAS : Centres de promotion sociale (812 540 bénéficiaires en 2022), Centres d'apprentissage professionnel pour PHV (214 152 bénéficiaires en 2022).</w:t>
      </w:r>
    </w:p>
  </w:footnote>
  <w:footnote w:id="80">
    <w:p w14:paraId="190F8D7F" w14:textId="77777777" w:rsidR="003C12C0" w:rsidRPr="00DF4DEA" w:rsidRDefault="00000000">
      <w:pPr>
        <w:pStyle w:val="FootnoteText"/>
        <w:rPr>
          <w:lang w:val="fr-CH"/>
        </w:rPr>
      </w:pPr>
      <w:r>
        <w:rPr>
          <w:rStyle w:val="FootnoteReference"/>
        </w:rPr>
        <w:footnoteRef/>
      </w:r>
      <w:r w:rsidRPr="00DF4DEA">
        <w:rPr>
          <w:lang w:val="fr-CH"/>
        </w:rPr>
        <w:t xml:space="preserve"> Premier bulletin statistique de la protection sociale en RDC (2023) — tableaux 10, 11, 12 : gratuité éducation, interventions MSPHPS et MINAS</w:t>
      </w:r>
    </w:p>
  </w:footnote>
  <w:footnote w:id="81">
    <w:p w14:paraId="190F8D80" w14:textId="77777777" w:rsidR="003C12C0" w:rsidRPr="00DF4DEA" w:rsidRDefault="00000000">
      <w:pPr>
        <w:pStyle w:val="FootnoteText"/>
        <w:rPr>
          <w:lang w:val="fr-CH"/>
        </w:rPr>
      </w:pPr>
      <w:r>
        <w:rPr>
          <w:rStyle w:val="FootnoteReference"/>
        </w:rPr>
        <w:footnoteRef/>
      </w:r>
      <w:r w:rsidRPr="00DF4DEA">
        <w:rPr>
          <w:lang w:val="fr-CH"/>
        </w:rPr>
        <w:t xml:space="preserve"> Programmes gouvernementaux non contributifs RDC — MEPST, gratuité enseignement (2019–2025) ; MSPHPS gratuité maternité ; Fonds Social RDC STEP/THIMO</w:t>
      </w:r>
    </w:p>
  </w:footnote>
  <w:footnote w:id="82">
    <w:p w14:paraId="190F8D81" w14:textId="77777777" w:rsidR="003C12C0" w:rsidRPr="00DF4DEA" w:rsidRDefault="00000000">
      <w:pPr>
        <w:pStyle w:val="FootnoteText"/>
        <w:rPr>
          <w:lang w:val="fr-CH"/>
        </w:rPr>
      </w:pPr>
      <w:r>
        <w:rPr>
          <w:rStyle w:val="FootnoteReference"/>
        </w:rPr>
        <w:footnoteRef/>
      </w:r>
      <w:r w:rsidRPr="00DF4DEA">
        <w:rPr>
          <w:lang w:val="fr-CH"/>
        </w:rPr>
        <w:t xml:space="preserve"> Gouvernement RDC — Stratégie nationale de la protection sociale (SNPS), 2016</w:t>
      </w:r>
    </w:p>
  </w:footnote>
  <w:footnote w:id="83">
    <w:p w14:paraId="190F8D82" w14:textId="77777777" w:rsidR="003C12C0" w:rsidRPr="00DF4DEA" w:rsidRDefault="00000000">
      <w:pPr>
        <w:pStyle w:val="FootnoteText"/>
        <w:rPr>
          <w:lang w:val="fr-CH"/>
        </w:rPr>
      </w:pPr>
      <w:r>
        <w:rPr>
          <w:rStyle w:val="FootnoteReference"/>
        </w:rPr>
        <w:footnoteRef/>
      </w:r>
      <w:r w:rsidRPr="00DF4DEA">
        <w:rPr>
          <w:lang w:val="fr-CH"/>
        </w:rPr>
        <w:t xml:space="preserve"> Annexe A.1 — Classification niveau 3 : dispositifs mentionnés à titre contextuel</w:t>
      </w:r>
    </w:p>
  </w:footnote>
  <w:footnote w:id="84">
    <w:p w14:paraId="190F8D83" w14:textId="77777777" w:rsidR="003C12C0" w:rsidRPr="00DF4DEA" w:rsidRDefault="00000000">
      <w:pPr>
        <w:pStyle w:val="FootnoteText"/>
        <w:rPr>
          <w:lang w:val="fr-CH"/>
        </w:rPr>
      </w:pPr>
      <w:r>
        <w:rPr>
          <w:rStyle w:val="FootnoteReference"/>
        </w:rPr>
        <w:footnoteRef/>
      </w:r>
      <w:r w:rsidRPr="00DF4DEA">
        <w:rPr>
          <w:lang w:val="fr-CH"/>
        </w:rPr>
        <w:t xml:space="preserve"> Source : ESS OIT — tableaux statistiques standardises</w:t>
      </w:r>
    </w:p>
  </w:footnote>
  <w:footnote w:id="85">
    <w:p w14:paraId="190F8D84" w14:textId="77777777" w:rsidR="003C12C0" w:rsidRPr="00DF4DEA" w:rsidRDefault="00000000">
      <w:pPr>
        <w:pStyle w:val="FootnoteText"/>
        <w:rPr>
          <w:lang w:val="fr-CH"/>
        </w:rPr>
      </w:pPr>
      <w:r>
        <w:rPr>
          <w:rStyle w:val="FootnoteReference"/>
        </w:rPr>
        <w:footnoteRef/>
      </w:r>
      <w:r w:rsidRPr="00DF4DEA">
        <w:rPr>
          <w:lang w:val="fr-CH"/>
        </w:rPr>
        <w:t xml:space="preserve"> Source : ESS OIT — tableaux statistiques standardises</w:t>
      </w:r>
    </w:p>
  </w:footnote>
  <w:footnote w:id="86">
    <w:p w14:paraId="190F8D85" w14:textId="77777777" w:rsidR="003C12C0" w:rsidRPr="00DF4DEA" w:rsidRDefault="00000000">
      <w:pPr>
        <w:pStyle w:val="FootnoteText"/>
        <w:rPr>
          <w:lang w:val="fr-CH"/>
        </w:rPr>
      </w:pPr>
      <w:r>
        <w:rPr>
          <w:rStyle w:val="FootnoteReference"/>
        </w:rPr>
        <w:footnoteRef/>
      </w:r>
      <w:r w:rsidRPr="00DF4DEA">
        <w:rPr>
          <w:lang w:val="fr-CH"/>
        </w:rPr>
        <w:t xml:space="preserve"> Source : ESS OIT — tableaux statistiques standardises</w:t>
      </w:r>
    </w:p>
  </w:footnote>
  <w:footnote w:id="87">
    <w:p w14:paraId="190F8D86" w14:textId="77777777" w:rsidR="003C12C0" w:rsidRPr="00DF4DEA" w:rsidRDefault="00000000">
      <w:pPr>
        <w:pStyle w:val="FootnoteText"/>
        <w:rPr>
          <w:lang w:val="fr-CH"/>
        </w:rPr>
      </w:pPr>
      <w:r>
        <w:rPr>
          <w:rStyle w:val="FootnoteReference"/>
        </w:rPr>
        <w:footnoteRef/>
      </w:r>
      <w:r w:rsidRPr="00DF4DEA">
        <w:rPr>
          <w:lang w:val="fr-CH"/>
        </w:rPr>
        <w:t xml:space="preserve"> Source : ESS OIT — tableaux statistiques standardises</w:t>
      </w:r>
    </w:p>
  </w:footnote>
  <w:footnote w:id="88">
    <w:p w14:paraId="190F8D87" w14:textId="77777777" w:rsidR="003C12C0" w:rsidRPr="00DF4DEA" w:rsidRDefault="00000000">
      <w:pPr>
        <w:pStyle w:val="FootnoteText"/>
        <w:rPr>
          <w:lang w:val="fr-CH"/>
        </w:rPr>
      </w:pPr>
      <w:r>
        <w:rPr>
          <w:rStyle w:val="FootnoteReference"/>
        </w:rPr>
        <w:footnoteRef/>
      </w:r>
      <w:r w:rsidRPr="00DF4DEA">
        <w:rPr>
          <w:lang w:val="fr-CH"/>
        </w:rPr>
        <w:t xml:space="preserve"> Source : ESS OIT — tableaux statistiques standardises</w:t>
      </w:r>
    </w:p>
  </w:footnote>
  <w:footnote w:id="89">
    <w:p w14:paraId="190F8D88" w14:textId="77777777" w:rsidR="003C12C0" w:rsidRPr="00DF4DEA" w:rsidRDefault="00000000">
      <w:pPr>
        <w:pStyle w:val="FootnoteText"/>
        <w:rPr>
          <w:lang w:val="fr-CH"/>
        </w:rPr>
      </w:pPr>
      <w:r>
        <w:rPr>
          <w:rStyle w:val="FootnoteReference"/>
        </w:rPr>
        <w:footnoteRef/>
      </w:r>
      <w:r w:rsidRPr="00DF4DEA">
        <w:rPr>
          <w:lang w:val="fr-CH"/>
        </w:rPr>
        <w:t xml:space="preserve"> Source : ESS OIT — tableaux statistiques standardises</w:t>
      </w:r>
    </w:p>
  </w:footnote>
  <w:footnote w:id="90">
    <w:p w14:paraId="190F8D89" w14:textId="77777777" w:rsidR="003C12C0" w:rsidRPr="00DF4DEA" w:rsidRDefault="00000000">
      <w:pPr>
        <w:pStyle w:val="FootnoteText"/>
        <w:rPr>
          <w:lang w:val="fr-CH"/>
        </w:rPr>
      </w:pPr>
      <w:r>
        <w:rPr>
          <w:rStyle w:val="FootnoteReference"/>
        </w:rPr>
        <w:footnoteRef/>
      </w:r>
      <w:r w:rsidRPr="00DF4DEA">
        <w:rPr>
          <w:lang w:val="fr-CH"/>
        </w:rPr>
        <w:t xml:space="preserve"> Source : ESS OIT — tableaux statistiques standardises</w:t>
      </w:r>
    </w:p>
  </w:footnote>
  <w:footnote w:id="91">
    <w:p w14:paraId="190F8D8A" w14:textId="77777777" w:rsidR="003C12C0" w:rsidRPr="00DF4DEA" w:rsidRDefault="00000000">
      <w:pPr>
        <w:pStyle w:val="FootnoteText"/>
        <w:rPr>
          <w:lang w:val="fr-CH"/>
        </w:rPr>
      </w:pPr>
      <w:r>
        <w:rPr>
          <w:rStyle w:val="FootnoteReference"/>
        </w:rPr>
        <w:footnoteRef/>
      </w:r>
      <w:r w:rsidRPr="00DF4DEA">
        <w:rPr>
          <w:lang w:val="fr-CH"/>
        </w:rPr>
        <w:t xml:space="preserve"> Source : ESS OIT — tableaux statistiques standardises</w:t>
      </w:r>
    </w:p>
  </w:footnote>
  <w:footnote w:id="92">
    <w:p w14:paraId="190F8D8B" w14:textId="77777777" w:rsidR="003C12C0" w:rsidRPr="00DF4DEA" w:rsidRDefault="00000000">
      <w:pPr>
        <w:pStyle w:val="FootnoteText"/>
        <w:rPr>
          <w:lang w:val="fr-CH"/>
        </w:rPr>
      </w:pPr>
      <w:r>
        <w:rPr>
          <w:rStyle w:val="FootnoteReference"/>
        </w:rPr>
        <w:footnoteRef/>
      </w:r>
      <w:r w:rsidRPr="00DF4DEA">
        <w:rPr>
          <w:lang w:val="fr-CH"/>
        </w:rPr>
        <w:t xml:space="preserve"> Source : ESS OIT — tableaux statistiques standardises</w:t>
      </w:r>
    </w:p>
  </w:footnote>
  <w:footnote w:id="93">
    <w:p w14:paraId="190F8D8C" w14:textId="77777777" w:rsidR="003C12C0" w:rsidRPr="00DF4DEA" w:rsidRDefault="00000000">
      <w:pPr>
        <w:pStyle w:val="FootnoteText"/>
        <w:rPr>
          <w:lang w:val="fr-CH"/>
        </w:rPr>
      </w:pPr>
      <w:r>
        <w:rPr>
          <w:rStyle w:val="FootnoteReference"/>
        </w:rPr>
        <w:footnoteRef/>
      </w:r>
      <w:r w:rsidRPr="00DF4DEA">
        <w:rPr>
          <w:lang w:val="fr-CH"/>
        </w:rPr>
        <w:t xml:space="preserve"> Source : ESS OIT — tableaux statistiques standardises</w:t>
      </w:r>
    </w:p>
  </w:footnote>
  <w:footnote w:id="94">
    <w:p w14:paraId="190F8D8D" w14:textId="77777777" w:rsidR="003C12C0" w:rsidRPr="00DF4DEA" w:rsidRDefault="00000000">
      <w:pPr>
        <w:pStyle w:val="FootnoteText"/>
        <w:rPr>
          <w:lang w:val="fr-CH"/>
        </w:rPr>
      </w:pPr>
      <w:r>
        <w:rPr>
          <w:rStyle w:val="FootnoteReference"/>
        </w:rPr>
        <w:footnoteRef/>
      </w:r>
      <w:r w:rsidRPr="00DF4DEA">
        <w:rPr>
          <w:lang w:val="fr-CH"/>
        </w:rPr>
        <w:t xml:space="preserve"> Source : ESS OIT — tableaux statistiques standardises</w:t>
      </w:r>
    </w:p>
  </w:footnote>
  <w:footnote w:id="95">
    <w:p w14:paraId="190F8D8E" w14:textId="77777777" w:rsidR="003C12C0" w:rsidRPr="00DF4DEA" w:rsidRDefault="00000000">
      <w:pPr>
        <w:pStyle w:val="FootnoteText"/>
        <w:rPr>
          <w:lang w:val="fr-CH"/>
        </w:rPr>
      </w:pPr>
      <w:r>
        <w:rPr>
          <w:rStyle w:val="FootnoteReference"/>
        </w:rPr>
        <w:footnoteRef/>
      </w:r>
      <w:r w:rsidRPr="00DF4DEA">
        <w:rPr>
          <w:lang w:val="fr-CH"/>
        </w:rPr>
        <w:t xml:space="preserve"> Source : ESS OIT — tableaux statistiques standardises</w:t>
      </w:r>
    </w:p>
  </w:footnote>
  <w:footnote w:id="96">
    <w:p w14:paraId="190F8D8F" w14:textId="77777777" w:rsidR="003C12C0" w:rsidRPr="00DF4DEA" w:rsidRDefault="00000000">
      <w:pPr>
        <w:pStyle w:val="FootnoteText"/>
        <w:rPr>
          <w:lang w:val="fr-CH"/>
        </w:rPr>
      </w:pPr>
      <w:r>
        <w:rPr>
          <w:rStyle w:val="FootnoteReference"/>
        </w:rPr>
        <w:footnoteRef/>
      </w:r>
      <w:r w:rsidRPr="00DF4DEA">
        <w:rPr>
          <w:lang w:val="fr-CH"/>
        </w:rPr>
        <w:t xml:space="preserve"> Source : ESS OIT — tableaux statistiques standardises</w:t>
      </w:r>
    </w:p>
  </w:footnote>
  <w:footnote w:id="97">
    <w:p w14:paraId="190F8D90" w14:textId="77777777" w:rsidR="003C12C0" w:rsidRPr="00DF4DEA" w:rsidRDefault="00000000">
      <w:pPr>
        <w:pStyle w:val="FootnoteText"/>
        <w:rPr>
          <w:lang w:val="fr-CH"/>
        </w:rPr>
      </w:pPr>
      <w:r>
        <w:rPr>
          <w:rStyle w:val="FootnoteReference"/>
        </w:rPr>
        <w:footnoteRef/>
      </w:r>
      <w:r w:rsidRPr="00DF4DEA">
        <w:rPr>
          <w:lang w:val="fr-CH"/>
        </w:rPr>
        <w:t xml:space="preserve"> Source : FSS RDC — Site officiel fss.cd, consulté juin 2026 — Loi n°18/035 du 13 décembre 2018 ; Décret n°22/13 du 09 avril 2022</w:t>
      </w:r>
    </w:p>
  </w:footnote>
  <w:footnote w:id="98">
    <w:p w14:paraId="190F8D91" w14:textId="77777777" w:rsidR="003C12C0" w:rsidRPr="00DF4DEA" w:rsidRDefault="00000000">
      <w:pPr>
        <w:pStyle w:val="FootnoteText"/>
        <w:rPr>
          <w:lang w:val="fr-CH"/>
        </w:rPr>
      </w:pPr>
      <w:r>
        <w:rPr>
          <w:rStyle w:val="FootnoteReference"/>
        </w:rPr>
        <w:footnoteRef/>
      </w:r>
      <w:r w:rsidRPr="00DF4DEA">
        <w:rPr>
          <w:lang w:val="fr-CH"/>
        </w:rPr>
        <w:t xml:space="preserve"> Source : ESS OIT — tableaux statistiques standardises</w:t>
      </w:r>
    </w:p>
  </w:footnote>
  <w:footnote w:id="99">
    <w:p w14:paraId="190F8D92" w14:textId="77777777" w:rsidR="003C12C0" w:rsidRPr="00DF4DEA" w:rsidRDefault="00000000">
      <w:pPr>
        <w:pStyle w:val="FootnoteText"/>
        <w:rPr>
          <w:lang w:val="fr-CH"/>
        </w:rPr>
      </w:pPr>
      <w:r>
        <w:rPr>
          <w:rStyle w:val="FootnoteReference"/>
        </w:rPr>
        <w:footnoteRef/>
      </w:r>
      <w:r w:rsidRPr="00DF4DEA">
        <w:rPr>
          <w:lang w:val="fr-CH"/>
        </w:rPr>
        <w:t xml:space="preserve"> Source : ESS OIT — tableaux statistiques standardises</w:t>
      </w:r>
    </w:p>
  </w:footnote>
  <w:footnote w:id="100">
    <w:p w14:paraId="190F8D93" w14:textId="77777777" w:rsidR="003C12C0" w:rsidRPr="00DF4DEA" w:rsidRDefault="00000000">
      <w:pPr>
        <w:pStyle w:val="FootnoteText"/>
        <w:rPr>
          <w:lang w:val="fr-CH"/>
        </w:rPr>
      </w:pPr>
      <w:r>
        <w:rPr>
          <w:rStyle w:val="FootnoteReference"/>
        </w:rPr>
        <w:footnoteRef/>
      </w:r>
      <w:r w:rsidRPr="00DF4DEA">
        <w:rPr>
          <w:lang w:val="fr-CH"/>
        </w:rPr>
        <w:t xml:space="preserve"> Source : ESS OIT — tableaux statistiques standardises</w:t>
      </w:r>
    </w:p>
  </w:footnote>
  <w:footnote w:id="101">
    <w:p w14:paraId="190F8D94" w14:textId="77777777" w:rsidR="003C12C0" w:rsidRPr="00DF4DEA" w:rsidRDefault="00000000">
      <w:pPr>
        <w:pStyle w:val="FootnoteText"/>
        <w:rPr>
          <w:lang w:val="fr-CH"/>
        </w:rPr>
      </w:pPr>
      <w:r>
        <w:rPr>
          <w:rStyle w:val="FootnoteReference"/>
        </w:rPr>
        <w:footnoteRef/>
      </w:r>
      <w:r w:rsidRPr="00DF4DEA">
        <w:rPr>
          <w:lang w:val="fr-CH"/>
        </w:rPr>
        <w:t xml:space="preserve"> Source : ESS OIT — tableaux statistiques standardises</w:t>
      </w:r>
    </w:p>
  </w:footnote>
  <w:footnote w:id="102">
    <w:p w14:paraId="190F8D95" w14:textId="77777777" w:rsidR="003C12C0" w:rsidRPr="00DF4DEA" w:rsidRDefault="00000000">
      <w:pPr>
        <w:pStyle w:val="FootnoteText"/>
        <w:rPr>
          <w:lang w:val="fr-CH"/>
        </w:rPr>
      </w:pPr>
      <w:r>
        <w:rPr>
          <w:rStyle w:val="FootnoteReference"/>
        </w:rPr>
        <w:footnoteRef/>
      </w:r>
      <w:r w:rsidRPr="00DF4DEA">
        <w:rPr>
          <w:lang w:val="fr-CH"/>
        </w:rPr>
        <w:t xml:space="preserve"> Source : ESS OIT — tableaux statistiques standardises</w:t>
      </w:r>
    </w:p>
  </w:footnote>
  <w:footnote w:id="103">
    <w:p w14:paraId="190F8D96" w14:textId="77777777" w:rsidR="003C12C0" w:rsidRPr="00DF4DEA" w:rsidRDefault="00000000">
      <w:pPr>
        <w:pStyle w:val="FootnoteText"/>
        <w:rPr>
          <w:lang w:val="fr-CH"/>
        </w:rPr>
      </w:pPr>
      <w:r>
        <w:rPr>
          <w:rStyle w:val="FootnoteReference"/>
        </w:rPr>
        <w:footnoteRef/>
      </w:r>
      <w:r w:rsidRPr="00DF4DEA">
        <w:rPr>
          <w:lang w:val="fr-CH"/>
        </w:rPr>
        <w:t xml:space="preserve"> Source : ESS OIT — tableaux statistiques standardises</w:t>
      </w:r>
    </w:p>
  </w:footnote>
  <w:footnote w:id="104">
    <w:p w14:paraId="190F8D97" w14:textId="77777777" w:rsidR="003C12C0" w:rsidRPr="00DF4DEA" w:rsidRDefault="00000000">
      <w:pPr>
        <w:pStyle w:val="FootnoteText"/>
        <w:rPr>
          <w:lang w:val="fr-CH"/>
        </w:rPr>
      </w:pPr>
      <w:r>
        <w:rPr>
          <w:rStyle w:val="FootnoteReference"/>
        </w:rPr>
        <w:footnoteRef/>
      </w:r>
      <w:r w:rsidRPr="00DF4DEA">
        <w:rPr>
          <w:lang w:val="fr-CH"/>
        </w:rPr>
        <w:t xml:space="preserve"> Source : ESS OIT — tableaux statistiques standardises</w:t>
      </w:r>
    </w:p>
  </w:footnote>
  <w:footnote w:id="105">
    <w:p w14:paraId="190F8D98" w14:textId="77777777" w:rsidR="003C12C0" w:rsidRPr="00DF4DEA" w:rsidRDefault="00000000">
      <w:pPr>
        <w:pStyle w:val="FootnoteText"/>
        <w:rPr>
          <w:lang w:val="fr-CH"/>
        </w:rPr>
      </w:pPr>
      <w:r>
        <w:rPr>
          <w:rStyle w:val="FootnoteReference"/>
        </w:rPr>
        <w:footnoteRef/>
      </w:r>
      <w:r w:rsidRPr="00DF4DEA">
        <w:rPr>
          <w:lang w:val="fr-CH"/>
        </w:rPr>
        <w:t xml:space="preserve"> Source : ESS OIT — tableaux statistiques standardises</w:t>
      </w:r>
    </w:p>
  </w:footnote>
  <w:footnote w:id="106">
    <w:p w14:paraId="190F8D99" w14:textId="77777777" w:rsidR="003C12C0" w:rsidRPr="00DF4DEA" w:rsidRDefault="00000000">
      <w:pPr>
        <w:pStyle w:val="FootnoteText"/>
        <w:rPr>
          <w:lang w:val="fr-CH"/>
        </w:rPr>
      </w:pPr>
      <w:r>
        <w:rPr>
          <w:rStyle w:val="FootnoteReference"/>
        </w:rPr>
        <w:footnoteRef/>
      </w:r>
      <w:r w:rsidRPr="00DF4DEA">
        <w:rPr>
          <w:lang w:val="fr-CH"/>
        </w:rPr>
        <w:t xml:space="preserve"> Source : ESS OIT — tableaux statistiques standardises</w:t>
      </w:r>
    </w:p>
  </w:footnote>
  <w:footnote w:id="107">
    <w:p w14:paraId="190F8D9A" w14:textId="77777777" w:rsidR="003C12C0" w:rsidRPr="00DF4DEA" w:rsidRDefault="00000000">
      <w:pPr>
        <w:pStyle w:val="FootnoteText"/>
        <w:rPr>
          <w:lang w:val="fr-CH"/>
        </w:rPr>
      </w:pPr>
      <w:r>
        <w:rPr>
          <w:rStyle w:val="FootnoteReference"/>
        </w:rPr>
        <w:footnoteRef/>
      </w:r>
      <w:r w:rsidRPr="00DF4DEA">
        <w:rPr>
          <w:lang w:val="fr-CH"/>
        </w:rPr>
        <w:t xml:space="preserve"> Source : ESS OIT — tableaux statistiques standardises</w:t>
      </w:r>
    </w:p>
  </w:footnote>
  <w:footnote w:id="108">
    <w:p w14:paraId="190F8D9B" w14:textId="77777777" w:rsidR="003C12C0" w:rsidRPr="00DF4DEA" w:rsidRDefault="00000000">
      <w:pPr>
        <w:pStyle w:val="FootnoteText"/>
        <w:rPr>
          <w:lang w:val="fr-CH"/>
        </w:rPr>
      </w:pPr>
      <w:r>
        <w:rPr>
          <w:rStyle w:val="FootnoteReference"/>
        </w:rPr>
        <w:footnoteRef/>
      </w:r>
      <w:r w:rsidRPr="00DF4DEA">
        <w:rPr>
          <w:lang w:val="fr-CH"/>
        </w:rPr>
        <w:t xml:space="preserve"> Source : ESS OIT — tableaux statistiques standardises</w:t>
      </w:r>
    </w:p>
  </w:footnote>
  <w:footnote w:id="109">
    <w:p w14:paraId="190F8D9C" w14:textId="77777777" w:rsidR="003C12C0" w:rsidRPr="00DF4DEA" w:rsidRDefault="00000000">
      <w:pPr>
        <w:pStyle w:val="FootnoteText"/>
        <w:rPr>
          <w:lang w:val="fr-CH"/>
        </w:rPr>
      </w:pPr>
      <w:r>
        <w:rPr>
          <w:rStyle w:val="FootnoteReference"/>
        </w:rPr>
        <w:footnoteRef/>
      </w:r>
      <w:r w:rsidRPr="00DF4DEA">
        <w:rPr>
          <w:lang w:val="fr-CH"/>
        </w:rPr>
        <w:t xml:space="preserve"> Source : OIT — Convention no 102 (1952) — les neuf branches de risques : maternité, maladie, accident du travail, invalidité, vieillesse, décès, chômage, Parties II à X</w:t>
      </w:r>
    </w:p>
  </w:footnote>
  <w:footnote w:id="110">
    <w:p w14:paraId="190F8D9D" w14:textId="77777777" w:rsidR="003C12C0" w:rsidRPr="00DF4DEA" w:rsidRDefault="00000000">
      <w:pPr>
        <w:pStyle w:val="FootnoteText"/>
        <w:rPr>
          <w:lang w:val="fr-CH"/>
        </w:rPr>
      </w:pPr>
      <w:r>
        <w:rPr>
          <w:rStyle w:val="FootnoteReference"/>
        </w:rPr>
        <w:footnoteRef/>
      </w:r>
      <w:r w:rsidRPr="00DF4DEA">
        <w:rPr>
          <w:lang w:val="fr-CH"/>
        </w:rPr>
        <w:t xml:space="preserve"> Source : OIT — Recommandation no 202 (2012) — les programmes non contributifs font partie intégrante de la protection sociale</w:t>
      </w:r>
    </w:p>
  </w:footnote>
  <w:footnote w:id="111">
    <w:p w14:paraId="190F8D9E" w14:textId="77777777" w:rsidR="003C12C0" w:rsidRPr="00DF4DEA" w:rsidRDefault="00000000">
      <w:pPr>
        <w:pStyle w:val="FootnoteText"/>
        <w:rPr>
          <w:lang w:val="fr-CH"/>
        </w:rPr>
      </w:pPr>
      <w:r>
        <w:rPr>
          <w:rStyle w:val="FootnoteReference"/>
        </w:rPr>
        <w:footnoteRef/>
      </w:r>
      <w:r w:rsidRPr="00DF4DEA">
        <w:rPr>
          <w:lang w:val="fr-CH"/>
        </w:rPr>
        <w:t xml:space="preserve"> OIT - Convention no 102 (1952) - art. 6 : assurance volontaire supervisée par l'État</w:t>
      </w:r>
    </w:p>
  </w:footnote>
  <w:footnote w:id="112">
    <w:p w14:paraId="190F8D9F" w14:textId="77777777" w:rsidR="003C12C0" w:rsidRPr="00DF4DEA" w:rsidRDefault="00000000">
      <w:pPr>
        <w:pStyle w:val="FootnoteText"/>
        <w:rPr>
          <w:lang w:val="fr-CH"/>
        </w:rPr>
      </w:pPr>
      <w:r>
        <w:rPr>
          <w:rStyle w:val="FootnoteReference"/>
        </w:rPr>
        <w:footnoteRef/>
      </w:r>
      <w:r w:rsidRPr="00DF4DEA">
        <w:rPr>
          <w:lang w:val="fr-CH"/>
        </w:rPr>
        <w:t xml:space="preserve"> OIT - Recommandation no 202 (2012) - par. 5 : les socles peuvent être mis en œuvre par des transferts contributifs ou non contributifs</w:t>
      </w:r>
    </w:p>
  </w:footnote>
  <w:footnote w:id="113">
    <w:p w14:paraId="190F8DA0" w14:textId="77777777" w:rsidR="003C12C0" w:rsidRPr="00DF4DEA" w:rsidRDefault="00000000">
      <w:pPr>
        <w:pStyle w:val="FootnoteText"/>
        <w:rPr>
          <w:lang w:val="fr-CH"/>
        </w:rPr>
      </w:pPr>
      <w:r>
        <w:rPr>
          <w:rStyle w:val="FootnoteReference"/>
        </w:rPr>
        <w:footnoteRef/>
      </w:r>
      <w:r w:rsidRPr="00DF4DEA">
        <w:rPr>
          <w:lang w:val="fr-CH"/>
        </w:rPr>
        <w:t xml:space="preserve"> OIT (2021) - Building social protection systems - cadre analytique des dispositifs statutaires et non statutaires</w:t>
      </w:r>
    </w:p>
  </w:footnote>
  <w:footnote w:id="114">
    <w:p w14:paraId="190F8DA1" w14:textId="77777777" w:rsidR="003C12C0" w:rsidRPr="00DF4DEA" w:rsidRDefault="00000000">
      <w:pPr>
        <w:pStyle w:val="FootnoteText"/>
        <w:rPr>
          <w:lang w:val="fr-CH"/>
        </w:rPr>
      </w:pPr>
      <w:r>
        <w:rPr>
          <w:rStyle w:val="FootnoteReference"/>
        </w:rPr>
        <w:footnoteRef/>
      </w:r>
      <w:r w:rsidRPr="00DF4DEA">
        <w:rPr>
          <w:lang w:val="fr-CH"/>
        </w:rPr>
        <w:t xml:space="preserve"> OIT - Convention no 102 (1952) - art. 1 par. 2 : la prestation peut être directe (en nature) ou indirecte (remboursement)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2B251D8"/>
    <w:lvl w:ilvl="0">
      <w:start w:val="1"/>
      <w:numFmt w:val="decimal"/>
      <w:pStyle w:val="ListNumber5"/>
      <w:lvlText w:val="%1."/>
      <w:lvlJc w:val="left"/>
      <w:pPr>
        <w:tabs>
          <w:tab w:val="num" w:pos="1557"/>
        </w:tabs>
        <w:ind w:left="1557" w:hanging="360"/>
      </w:pPr>
    </w:lvl>
  </w:abstractNum>
  <w:abstractNum w:abstractNumId="1" w15:restartNumberingAfterBreak="0">
    <w:nsid w:val="FFFFFF7D"/>
    <w:multiLevelType w:val="singleLevel"/>
    <w:tmpl w:val="E80A86F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EAE3364"/>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69DC811A"/>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9708A34E"/>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9F8652A6"/>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8AB61326"/>
    <w:lvl w:ilvl="0">
      <w:start w:val="1"/>
      <w:numFmt w:val="bullet"/>
      <w:pStyle w:val="ListBullet2"/>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4E2EB1C4"/>
    <w:lvl w:ilvl="0">
      <w:start w:val="1"/>
      <w:numFmt w:val="decimal"/>
      <w:pStyle w:val="ListNumber2"/>
      <w:lvlText w:val="%1."/>
      <w:lvlJc w:val="left"/>
      <w:pPr>
        <w:tabs>
          <w:tab w:val="num" w:pos="360"/>
        </w:tabs>
        <w:ind w:left="360" w:hanging="360"/>
      </w:pPr>
    </w:lvl>
  </w:abstractNum>
  <w:abstractNum w:abstractNumId="8" w15:restartNumberingAfterBreak="0">
    <w:nsid w:val="FFFFFF89"/>
    <w:multiLevelType w:val="singleLevel"/>
    <w:tmpl w:val="4218101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7D2EB5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1A20061B"/>
    <w:multiLevelType w:val="hybridMultilevel"/>
    <w:tmpl w:val="68389EA0"/>
    <w:styleLink w:val="MJ1"/>
    <w:lvl w:ilvl="0" w:tplc="68389EA0">
      <w:start w:val="1"/>
      <w:numFmt w:val="decimal"/>
      <w:lvlText w:val="1.%1"/>
      <w:lvlJc w:val="left"/>
      <w:pPr>
        <w:ind w:left="533" w:hanging="533"/>
      </w:pPr>
      <w:rPr>
        <w:rFonts w:hint="default"/>
      </w:rPr>
    </w:lvl>
    <w:lvl w:ilvl="1" w:tplc="F35A4A6C">
      <w:start w:val="1"/>
      <w:numFmt w:val="lowerLetter"/>
      <w:lvlText w:val="%2."/>
      <w:lvlJc w:val="left"/>
      <w:pPr>
        <w:ind w:left="1980" w:hanging="360"/>
      </w:pPr>
      <w:rPr>
        <w:rFonts w:hint="default"/>
      </w:rPr>
    </w:lvl>
    <w:lvl w:ilvl="2" w:tplc="8F0EAA02">
      <w:start w:val="1"/>
      <w:numFmt w:val="lowerRoman"/>
      <w:lvlText w:val="%3."/>
      <w:lvlJc w:val="right"/>
      <w:pPr>
        <w:ind w:left="2700" w:hanging="180"/>
      </w:pPr>
      <w:rPr>
        <w:rFonts w:hint="default"/>
      </w:rPr>
    </w:lvl>
    <w:lvl w:ilvl="3" w:tplc="9C4EE08C">
      <w:start w:val="1"/>
      <w:numFmt w:val="decimal"/>
      <w:lvlText w:val="%4."/>
      <w:lvlJc w:val="left"/>
      <w:pPr>
        <w:ind w:left="3420" w:hanging="360"/>
      </w:pPr>
      <w:rPr>
        <w:rFonts w:hint="default"/>
      </w:rPr>
    </w:lvl>
    <w:lvl w:ilvl="4" w:tplc="E81E4BB6">
      <w:start w:val="1"/>
      <w:numFmt w:val="lowerLetter"/>
      <w:lvlText w:val="%5."/>
      <w:lvlJc w:val="left"/>
      <w:pPr>
        <w:ind w:left="4140" w:hanging="360"/>
      </w:pPr>
      <w:rPr>
        <w:rFonts w:hint="default"/>
      </w:rPr>
    </w:lvl>
    <w:lvl w:ilvl="5" w:tplc="EC368516">
      <w:start w:val="1"/>
      <w:numFmt w:val="lowerRoman"/>
      <w:lvlText w:val="%6."/>
      <w:lvlJc w:val="right"/>
      <w:pPr>
        <w:ind w:left="4860" w:hanging="180"/>
      </w:pPr>
      <w:rPr>
        <w:rFonts w:hint="default"/>
      </w:rPr>
    </w:lvl>
    <w:lvl w:ilvl="6" w:tplc="2916BC64">
      <w:start w:val="1"/>
      <w:numFmt w:val="decimal"/>
      <w:lvlText w:val="%7."/>
      <w:lvlJc w:val="left"/>
      <w:pPr>
        <w:ind w:left="5580" w:hanging="360"/>
      </w:pPr>
      <w:rPr>
        <w:rFonts w:hint="default"/>
      </w:rPr>
    </w:lvl>
    <w:lvl w:ilvl="7" w:tplc="D7B015C6">
      <w:start w:val="1"/>
      <w:numFmt w:val="lowerLetter"/>
      <w:lvlText w:val="%8."/>
      <w:lvlJc w:val="left"/>
      <w:pPr>
        <w:ind w:left="6300" w:hanging="360"/>
      </w:pPr>
      <w:rPr>
        <w:rFonts w:hint="default"/>
      </w:rPr>
    </w:lvl>
    <w:lvl w:ilvl="8" w:tplc="8AB85112">
      <w:start w:val="1"/>
      <w:numFmt w:val="lowerRoman"/>
      <w:lvlText w:val="%9."/>
      <w:lvlJc w:val="right"/>
      <w:pPr>
        <w:ind w:left="7020" w:hanging="180"/>
      </w:pPr>
      <w:rPr>
        <w:rFonts w:hint="default"/>
      </w:rPr>
    </w:lvl>
  </w:abstractNum>
  <w:abstractNum w:abstractNumId="11" w15:restartNumberingAfterBreak="0">
    <w:nsid w:val="23FA6741"/>
    <w:multiLevelType w:val="hybridMultilevel"/>
    <w:tmpl w:val="5190919C"/>
    <w:lvl w:ilvl="0" w:tplc="71E27E00">
      <w:start w:val="9"/>
      <w:numFmt w:val="bullet"/>
      <w:pStyle w:val="TableTitle"/>
      <w:lvlText w:val=""/>
      <w:lvlJc w:val="left"/>
      <w:pPr>
        <w:ind w:left="720" w:hanging="360"/>
      </w:pPr>
      <w:rPr>
        <w:rFonts w:ascii="Wingdings 3" w:eastAsiaTheme="minorHAnsi" w:hAnsi="Wingdings 3" w:cstheme="minorBidi" w:hint="default"/>
        <w:color w:val="808080" w:themeColor="background1" w:themeShade="80"/>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5CA6EA8"/>
    <w:multiLevelType w:val="hybridMultilevel"/>
    <w:tmpl w:val="4740DE1E"/>
    <w:lvl w:ilvl="0" w:tplc="BF34DE62">
      <w:start w:val="1"/>
      <w:numFmt w:val="decimal"/>
      <w:pStyle w:val="ParaNum"/>
      <w:lvlText w:val="%1."/>
      <w:lvlJc w:val="left"/>
      <w:pPr>
        <w:ind w:left="360" w:hanging="360"/>
      </w:pPr>
      <w:rPr>
        <w:rFonts w:ascii="Noto Sans" w:hAnsi="Noto Sans" w:cs="Noto Sans" w:hint="default"/>
        <w:b/>
        <w:i w:val="0"/>
        <w:color w:val="1E2DBE"/>
        <w:sz w:val="18"/>
        <w:szCs w:val="18"/>
      </w:rPr>
    </w:lvl>
    <w:lvl w:ilvl="1" w:tplc="032621D4">
      <w:start w:val="1"/>
      <w:numFmt w:val="lowerLetter"/>
      <w:lvlText w:val="(%2)"/>
      <w:lvlJc w:val="left"/>
      <w:pPr>
        <w:ind w:left="2227" w:hanging="720"/>
      </w:pPr>
      <w:rPr>
        <w:rFonts w:hint="default"/>
      </w:rPr>
    </w:lvl>
    <w:lvl w:ilvl="2" w:tplc="6868C14E">
      <w:start w:val="1"/>
      <w:numFmt w:val="lowerRoman"/>
      <w:lvlText w:val="(%3)"/>
      <w:lvlJc w:val="right"/>
      <w:pPr>
        <w:ind w:left="2587" w:hanging="180"/>
      </w:pPr>
      <w:rPr>
        <w:rFonts w:hint="default"/>
      </w:rPr>
    </w:lvl>
    <w:lvl w:ilvl="3" w:tplc="0809000F" w:tentative="1">
      <w:start w:val="1"/>
      <w:numFmt w:val="decimal"/>
      <w:lvlText w:val="%4."/>
      <w:lvlJc w:val="left"/>
      <w:pPr>
        <w:ind w:left="3307" w:hanging="360"/>
      </w:pPr>
    </w:lvl>
    <w:lvl w:ilvl="4" w:tplc="08090019" w:tentative="1">
      <w:start w:val="1"/>
      <w:numFmt w:val="lowerLetter"/>
      <w:lvlText w:val="%5."/>
      <w:lvlJc w:val="left"/>
      <w:pPr>
        <w:ind w:left="4027" w:hanging="360"/>
      </w:pPr>
    </w:lvl>
    <w:lvl w:ilvl="5" w:tplc="0809001B" w:tentative="1">
      <w:start w:val="1"/>
      <w:numFmt w:val="lowerRoman"/>
      <w:lvlText w:val="%6."/>
      <w:lvlJc w:val="right"/>
      <w:pPr>
        <w:ind w:left="4747" w:hanging="180"/>
      </w:pPr>
    </w:lvl>
    <w:lvl w:ilvl="6" w:tplc="0809000F" w:tentative="1">
      <w:start w:val="1"/>
      <w:numFmt w:val="decimal"/>
      <w:lvlText w:val="%7."/>
      <w:lvlJc w:val="left"/>
      <w:pPr>
        <w:ind w:left="5467" w:hanging="360"/>
      </w:pPr>
    </w:lvl>
    <w:lvl w:ilvl="7" w:tplc="08090019" w:tentative="1">
      <w:start w:val="1"/>
      <w:numFmt w:val="lowerLetter"/>
      <w:lvlText w:val="%8."/>
      <w:lvlJc w:val="left"/>
      <w:pPr>
        <w:ind w:left="6187" w:hanging="360"/>
      </w:pPr>
    </w:lvl>
    <w:lvl w:ilvl="8" w:tplc="0809001B" w:tentative="1">
      <w:start w:val="1"/>
      <w:numFmt w:val="lowerRoman"/>
      <w:lvlText w:val="%9."/>
      <w:lvlJc w:val="right"/>
      <w:pPr>
        <w:ind w:left="6907" w:hanging="180"/>
      </w:pPr>
    </w:lvl>
  </w:abstractNum>
  <w:abstractNum w:abstractNumId="13" w15:restartNumberingAfterBreak="0">
    <w:nsid w:val="2B406FEE"/>
    <w:multiLevelType w:val="hybridMultilevel"/>
    <w:tmpl w:val="28D6DF3C"/>
    <w:lvl w:ilvl="0" w:tplc="88BAA8BA">
      <w:start w:val="1"/>
      <w:numFmt w:val="bullet"/>
      <w:pStyle w:val="ListBullet1"/>
      <w:lvlText w:val=""/>
      <w:lvlJc w:val="left"/>
      <w:pPr>
        <w:ind w:left="1069" w:hanging="360"/>
      </w:pPr>
      <w:rPr>
        <w:rFonts w:ascii="Symbol" w:hAnsi="Symbol" w:hint="default"/>
        <w:b w:val="0"/>
        <w:i w:val="0"/>
        <w:color w:val="auto"/>
        <w:sz w:val="24"/>
      </w:rPr>
    </w:lvl>
    <w:lvl w:ilvl="1" w:tplc="20000003">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14" w15:restartNumberingAfterBreak="0">
    <w:nsid w:val="2E884A97"/>
    <w:multiLevelType w:val="hybridMultilevel"/>
    <w:tmpl w:val="C5FE17A8"/>
    <w:lvl w:ilvl="0" w:tplc="6FDCEE76">
      <w:start w:val="1"/>
      <w:numFmt w:val="bullet"/>
      <w:pStyle w:val="KeyList"/>
      <w:lvlText w:val=""/>
      <w:lvlJc w:val="left"/>
      <w:pPr>
        <w:ind w:left="360" w:hanging="360"/>
      </w:pPr>
      <w:rPr>
        <w:rFonts w:ascii="Wingdings 3" w:hAnsi="Wingdings 3" w:cs="Symbol" w:hint="default"/>
        <w:b w:val="0"/>
        <w:i w:val="0"/>
        <w:color w:val="FA3C4B"/>
        <w:sz w:val="18"/>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cs="Wingdings" w:hint="default"/>
      </w:rPr>
    </w:lvl>
    <w:lvl w:ilvl="3" w:tplc="100C0001" w:tentative="1">
      <w:start w:val="1"/>
      <w:numFmt w:val="bullet"/>
      <w:lvlText w:val=""/>
      <w:lvlJc w:val="left"/>
      <w:pPr>
        <w:ind w:left="2880" w:hanging="360"/>
      </w:pPr>
      <w:rPr>
        <w:rFonts w:ascii="Symbol" w:hAnsi="Symbol" w:cs="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cs="Wingdings" w:hint="default"/>
      </w:rPr>
    </w:lvl>
    <w:lvl w:ilvl="6" w:tplc="100C0001" w:tentative="1">
      <w:start w:val="1"/>
      <w:numFmt w:val="bullet"/>
      <w:lvlText w:val=""/>
      <w:lvlJc w:val="left"/>
      <w:pPr>
        <w:ind w:left="5040" w:hanging="360"/>
      </w:pPr>
      <w:rPr>
        <w:rFonts w:ascii="Symbol" w:hAnsi="Symbol" w:cs="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cs="Wingdings" w:hint="default"/>
      </w:rPr>
    </w:lvl>
  </w:abstractNum>
  <w:abstractNum w:abstractNumId="15" w15:restartNumberingAfterBreak="0">
    <w:nsid w:val="33783FE5"/>
    <w:multiLevelType w:val="hybridMultilevel"/>
    <w:tmpl w:val="F8E898C2"/>
    <w:lvl w:ilvl="0" w:tplc="44749756">
      <w:start w:val="1"/>
      <w:numFmt w:val="decimal"/>
      <w:lvlRestart w:val="0"/>
      <w:pStyle w:val="QuotationNum"/>
      <w:lvlText w:val="%1."/>
      <w:lvlJc w:val="right"/>
      <w:pPr>
        <w:tabs>
          <w:tab w:val="num" w:pos="3175"/>
        </w:tabs>
        <w:ind w:left="3175" w:hanging="113"/>
      </w:pPr>
      <w:rPr>
        <w:rFonts w:ascii="Times New Roman" w:hAnsi="Times New Roman" w:hint="default"/>
        <w:b/>
        <w:i w:val="0"/>
        <w:sz w:val="24"/>
      </w:rPr>
    </w:lvl>
    <w:lvl w:ilvl="1" w:tplc="04090019" w:tentative="1">
      <w:start w:val="1"/>
      <w:numFmt w:val="lowerLetter"/>
      <w:lvlText w:val="%2."/>
      <w:lvlJc w:val="left"/>
      <w:pPr>
        <w:tabs>
          <w:tab w:val="num" w:pos="3481"/>
        </w:tabs>
        <w:ind w:left="3481" w:hanging="360"/>
      </w:pPr>
    </w:lvl>
    <w:lvl w:ilvl="2" w:tplc="0409001B" w:tentative="1">
      <w:start w:val="1"/>
      <w:numFmt w:val="lowerRoman"/>
      <w:lvlText w:val="%3."/>
      <w:lvlJc w:val="right"/>
      <w:pPr>
        <w:tabs>
          <w:tab w:val="num" w:pos="4201"/>
        </w:tabs>
        <w:ind w:left="4201" w:hanging="180"/>
      </w:pPr>
    </w:lvl>
    <w:lvl w:ilvl="3" w:tplc="0409000F" w:tentative="1">
      <w:start w:val="1"/>
      <w:numFmt w:val="decimal"/>
      <w:lvlText w:val="%4."/>
      <w:lvlJc w:val="left"/>
      <w:pPr>
        <w:tabs>
          <w:tab w:val="num" w:pos="4921"/>
        </w:tabs>
        <w:ind w:left="4921" w:hanging="360"/>
      </w:pPr>
    </w:lvl>
    <w:lvl w:ilvl="4" w:tplc="04090019" w:tentative="1">
      <w:start w:val="1"/>
      <w:numFmt w:val="lowerLetter"/>
      <w:lvlText w:val="%5."/>
      <w:lvlJc w:val="left"/>
      <w:pPr>
        <w:tabs>
          <w:tab w:val="num" w:pos="5641"/>
        </w:tabs>
        <w:ind w:left="5641" w:hanging="360"/>
      </w:pPr>
    </w:lvl>
    <w:lvl w:ilvl="5" w:tplc="0409001B" w:tentative="1">
      <w:start w:val="1"/>
      <w:numFmt w:val="lowerRoman"/>
      <w:lvlText w:val="%6."/>
      <w:lvlJc w:val="right"/>
      <w:pPr>
        <w:tabs>
          <w:tab w:val="num" w:pos="6361"/>
        </w:tabs>
        <w:ind w:left="6361" w:hanging="180"/>
      </w:pPr>
    </w:lvl>
    <w:lvl w:ilvl="6" w:tplc="0409000F" w:tentative="1">
      <w:start w:val="1"/>
      <w:numFmt w:val="decimal"/>
      <w:lvlText w:val="%7."/>
      <w:lvlJc w:val="left"/>
      <w:pPr>
        <w:tabs>
          <w:tab w:val="num" w:pos="7081"/>
        </w:tabs>
        <w:ind w:left="7081" w:hanging="360"/>
      </w:pPr>
    </w:lvl>
    <w:lvl w:ilvl="7" w:tplc="04090019" w:tentative="1">
      <w:start w:val="1"/>
      <w:numFmt w:val="lowerLetter"/>
      <w:lvlText w:val="%8."/>
      <w:lvlJc w:val="left"/>
      <w:pPr>
        <w:tabs>
          <w:tab w:val="num" w:pos="7801"/>
        </w:tabs>
        <w:ind w:left="7801" w:hanging="360"/>
      </w:pPr>
    </w:lvl>
    <w:lvl w:ilvl="8" w:tplc="0409001B" w:tentative="1">
      <w:start w:val="1"/>
      <w:numFmt w:val="lowerRoman"/>
      <w:lvlText w:val="%9."/>
      <w:lvlJc w:val="right"/>
      <w:pPr>
        <w:tabs>
          <w:tab w:val="num" w:pos="8521"/>
        </w:tabs>
        <w:ind w:left="8521" w:hanging="180"/>
      </w:pPr>
    </w:lvl>
  </w:abstractNum>
  <w:abstractNum w:abstractNumId="16" w15:restartNumberingAfterBreak="0">
    <w:nsid w:val="36FE7601"/>
    <w:multiLevelType w:val="hybridMultilevel"/>
    <w:tmpl w:val="68389EA0"/>
    <w:name w:val="ParagrapheMJ"/>
    <w:numStyleLink w:val="MJ1"/>
  </w:abstractNum>
  <w:abstractNum w:abstractNumId="17" w15:restartNumberingAfterBreak="0">
    <w:nsid w:val="382E7CB0"/>
    <w:multiLevelType w:val="hybridMultilevel"/>
    <w:tmpl w:val="7FF0B7D0"/>
    <w:lvl w:ilvl="0" w:tplc="9BD025BA">
      <w:start w:val="1"/>
      <w:numFmt w:val="decimal"/>
      <w:pStyle w:val="BoxNum"/>
      <w:lvlText w:val="%1."/>
      <w:lvlJc w:val="left"/>
      <w:pPr>
        <w:tabs>
          <w:tab w:val="num" w:pos="397"/>
        </w:tabs>
        <w:ind w:left="39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AB915A4"/>
    <w:multiLevelType w:val="hybridMultilevel"/>
    <w:tmpl w:val="3078B282"/>
    <w:lvl w:ilvl="0" w:tplc="D5F83EC8">
      <w:start w:val="1"/>
      <w:numFmt w:val="bullet"/>
      <w:pStyle w:val="QuoteDescription"/>
      <w:lvlText w:val=""/>
      <w:lvlJc w:val="left"/>
      <w:pPr>
        <w:ind w:left="720" w:hanging="360"/>
      </w:pPr>
      <w:rPr>
        <w:rFonts w:ascii="Wingdings 3" w:hAnsi="Wingdings 3" w:cs="Symbol" w:hint="default"/>
        <w:color w:val="FA3C4B"/>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cs="Wingdings" w:hint="default"/>
      </w:rPr>
    </w:lvl>
    <w:lvl w:ilvl="3" w:tplc="100C0001" w:tentative="1">
      <w:start w:val="1"/>
      <w:numFmt w:val="bullet"/>
      <w:lvlText w:val=""/>
      <w:lvlJc w:val="left"/>
      <w:pPr>
        <w:ind w:left="2880" w:hanging="360"/>
      </w:pPr>
      <w:rPr>
        <w:rFonts w:ascii="Symbol" w:hAnsi="Symbol" w:cs="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cs="Wingdings" w:hint="default"/>
      </w:rPr>
    </w:lvl>
    <w:lvl w:ilvl="6" w:tplc="100C0001" w:tentative="1">
      <w:start w:val="1"/>
      <w:numFmt w:val="bullet"/>
      <w:lvlText w:val=""/>
      <w:lvlJc w:val="left"/>
      <w:pPr>
        <w:ind w:left="5040" w:hanging="360"/>
      </w:pPr>
      <w:rPr>
        <w:rFonts w:ascii="Symbol" w:hAnsi="Symbol" w:cs="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cs="Wingdings" w:hint="default"/>
      </w:rPr>
    </w:lvl>
  </w:abstractNum>
  <w:abstractNum w:abstractNumId="19" w15:restartNumberingAfterBreak="0">
    <w:nsid w:val="3B7409BC"/>
    <w:multiLevelType w:val="multilevel"/>
    <w:tmpl w:val="8690AE12"/>
    <w:lvl w:ilvl="0">
      <w:start w:val="1"/>
      <w:numFmt w:val="bullet"/>
      <w:pStyle w:val="Caption"/>
      <w:lvlText w:val=""/>
      <w:lvlJc w:val="left"/>
      <w:pPr>
        <w:ind w:left="502" w:hanging="360"/>
      </w:pPr>
      <w:rPr>
        <w:rFonts w:ascii="Wingdings 3" w:hAnsi="Wingdings 3" w:hint="default"/>
        <w:color w:val="808080"/>
        <w:sz w:val="18"/>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2509"/>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0" w15:restartNumberingAfterBreak="0">
    <w:nsid w:val="3BB668D6"/>
    <w:multiLevelType w:val="multilevel"/>
    <w:tmpl w:val="9D44E034"/>
    <w:styleLink w:val="ListNumILO"/>
    <w:lvl w:ilvl="0">
      <w:start w:val="1"/>
      <w:numFmt w:val="decimal"/>
      <w:lvlText w:val="%1."/>
      <w:lvlJc w:val="left"/>
      <w:pPr>
        <w:ind w:left="700" w:hanging="360"/>
      </w:pPr>
      <w:rPr>
        <w:rFonts w:cs="Times New Roman" w:hint="default"/>
        <w:b/>
        <w:i w:val="0"/>
        <w:color w:val="1E2DBE"/>
        <w:sz w:val="18"/>
        <w:szCs w:val="20"/>
      </w:rPr>
    </w:lvl>
    <w:lvl w:ilvl="1">
      <w:start w:val="1"/>
      <w:numFmt w:val="lowerLetter"/>
      <w:lvlText w:val="%2."/>
      <w:lvlJc w:val="left"/>
      <w:pPr>
        <w:ind w:left="454" w:hanging="22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DAD6061"/>
    <w:multiLevelType w:val="hybridMultilevel"/>
    <w:tmpl w:val="F12485C4"/>
    <w:lvl w:ilvl="0" w:tplc="31D4D8B4">
      <w:start w:val="1"/>
      <w:numFmt w:val="bullet"/>
      <w:pStyle w:val="Indent2"/>
      <w:lvlText w:val="o"/>
      <w:lvlJc w:val="left"/>
      <w:pPr>
        <w:ind w:left="900" w:hanging="360"/>
      </w:pPr>
      <w:rPr>
        <w:rFonts w:ascii="Courier New" w:hAnsi="Courier New" w:cs="Courier New" w:hint="default"/>
        <w:color w:val="1E2DBE"/>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2" w15:restartNumberingAfterBreak="0">
    <w:nsid w:val="49C01582"/>
    <w:multiLevelType w:val="multilevel"/>
    <w:tmpl w:val="E34201AE"/>
    <w:styleLink w:val="ListNoNumILO"/>
    <w:lvl w:ilvl="0">
      <w:start w:val="1"/>
      <w:numFmt w:val="bullet"/>
      <w:lvlText w:val="●"/>
      <w:lvlJc w:val="left"/>
      <w:pPr>
        <w:ind w:left="227" w:hanging="227"/>
      </w:pPr>
      <w:rPr>
        <w:rFonts w:ascii="Verdana" w:hAnsi="Verdana" w:hint="default"/>
        <w:color w:val="1E2DBE"/>
      </w:rPr>
    </w:lvl>
    <w:lvl w:ilvl="1">
      <w:start w:val="1"/>
      <w:numFmt w:val="bullet"/>
      <w:lvlRestart w:val="0"/>
      <w:lvlText w:val="●"/>
      <w:lvlJc w:val="left"/>
      <w:pPr>
        <w:ind w:left="454" w:hanging="227"/>
      </w:pPr>
      <w:rPr>
        <w:rFonts w:ascii="Verdana" w:hAnsi="Verdana" w:hint="default"/>
        <w:color w:val="1E2DB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E820D88"/>
    <w:multiLevelType w:val="hybridMultilevel"/>
    <w:tmpl w:val="A2B22CC2"/>
    <w:lvl w:ilvl="0" w:tplc="80E2DF92">
      <w:start w:val="1"/>
      <w:numFmt w:val="decimal"/>
      <w:pStyle w:val="AppendixQuotationNum"/>
      <w:lvlText w:val="%1."/>
      <w:lvlJc w:val="left"/>
      <w:pPr>
        <w:tabs>
          <w:tab w:val="num" w:pos="2884"/>
        </w:tabs>
        <w:ind w:left="288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F622E27"/>
    <w:multiLevelType w:val="hybridMultilevel"/>
    <w:tmpl w:val="12F81A52"/>
    <w:lvl w:ilvl="0" w:tplc="2E445D1A">
      <w:start w:val="1"/>
      <w:numFmt w:val="bullet"/>
      <w:pStyle w:val="ListBullet20"/>
      <w:lvlText w:val="o"/>
      <w:lvlJc w:val="left"/>
      <w:pPr>
        <w:ind w:left="927" w:hanging="360"/>
      </w:pPr>
      <w:rPr>
        <w:rFonts w:ascii="Symbol" w:hAnsi="Symbol" w:hint="default"/>
        <w:b w:val="0"/>
        <w:i w:val="0"/>
        <w:color w:val="1E2CBD"/>
        <w:sz w:val="18"/>
        <w:szCs w:val="20"/>
      </w:rPr>
    </w:lvl>
    <w:lvl w:ilvl="1" w:tplc="33B87FF4">
      <w:start w:val="1"/>
      <w:numFmt w:val="lowerLetter"/>
      <w:lvlText w:val="(%2)"/>
      <w:lvlJc w:val="left"/>
      <w:pPr>
        <w:ind w:left="2433" w:hanging="720"/>
      </w:pPr>
      <w:rPr>
        <w:rFonts w:hint="default"/>
        <w:b w:val="0"/>
        <w:bCs/>
        <w:color w:val="auto"/>
      </w:rPr>
    </w:lvl>
    <w:lvl w:ilvl="2" w:tplc="0809001B" w:tentative="1">
      <w:start w:val="1"/>
      <w:numFmt w:val="lowerRoman"/>
      <w:lvlText w:val="%3."/>
      <w:lvlJc w:val="right"/>
      <w:pPr>
        <w:ind w:left="2793" w:hanging="180"/>
      </w:pPr>
    </w:lvl>
    <w:lvl w:ilvl="3" w:tplc="0809000F" w:tentative="1">
      <w:start w:val="1"/>
      <w:numFmt w:val="decimal"/>
      <w:lvlText w:val="%4."/>
      <w:lvlJc w:val="left"/>
      <w:pPr>
        <w:ind w:left="3513" w:hanging="360"/>
      </w:pPr>
    </w:lvl>
    <w:lvl w:ilvl="4" w:tplc="08090019" w:tentative="1">
      <w:start w:val="1"/>
      <w:numFmt w:val="lowerLetter"/>
      <w:lvlText w:val="%5."/>
      <w:lvlJc w:val="left"/>
      <w:pPr>
        <w:ind w:left="4233" w:hanging="360"/>
      </w:pPr>
    </w:lvl>
    <w:lvl w:ilvl="5" w:tplc="0809001B" w:tentative="1">
      <w:start w:val="1"/>
      <w:numFmt w:val="lowerRoman"/>
      <w:lvlText w:val="%6."/>
      <w:lvlJc w:val="right"/>
      <w:pPr>
        <w:ind w:left="4953" w:hanging="180"/>
      </w:pPr>
    </w:lvl>
    <w:lvl w:ilvl="6" w:tplc="0809000F" w:tentative="1">
      <w:start w:val="1"/>
      <w:numFmt w:val="decimal"/>
      <w:lvlText w:val="%7."/>
      <w:lvlJc w:val="left"/>
      <w:pPr>
        <w:ind w:left="5673" w:hanging="360"/>
      </w:pPr>
    </w:lvl>
    <w:lvl w:ilvl="7" w:tplc="08090019" w:tentative="1">
      <w:start w:val="1"/>
      <w:numFmt w:val="lowerLetter"/>
      <w:lvlText w:val="%8."/>
      <w:lvlJc w:val="left"/>
      <w:pPr>
        <w:ind w:left="6393" w:hanging="360"/>
      </w:pPr>
    </w:lvl>
    <w:lvl w:ilvl="8" w:tplc="0809001B" w:tentative="1">
      <w:start w:val="1"/>
      <w:numFmt w:val="lowerRoman"/>
      <w:lvlText w:val="%9."/>
      <w:lvlJc w:val="right"/>
      <w:pPr>
        <w:ind w:left="7113" w:hanging="180"/>
      </w:pPr>
    </w:lvl>
  </w:abstractNum>
  <w:abstractNum w:abstractNumId="25" w15:restartNumberingAfterBreak="0">
    <w:nsid w:val="626B75C2"/>
    <w:multiLevelType w:val="hybridMultilevel"/>
    <w:tmpl w:val="B686EA5C"/>
    <w:lvl w:ilvl="0" w:tplc="29FABDD0">
      <w:start w:val="1"/>
      <w:numFmt w:val="decimal"/>
      <w:lvlRestart w:val="0"/>
      <w:pStyle w:val="Numbered"/>
      <w:lvlText w:val="%1."/>
      <w:lvlJc w:val="right"/>
      <w:pPr>
        <w:tabs>
          <w:tab w:val="num" w:pos="1553"/>
        </w:tabs>
        <w:ind w:left="1553" w:hanging="113"/>
      </w:pPr>
      <w:rPr>
        <w:rFonts w:ascii="Times New Roman" w:hAnsi="Times New Roman" w:hint="default"/>
        <w:b w:val="0"/>
        <w:i w:val="0"/>
        <w:sz w:val="22"/>
        <w:szCs w:val="22"/>
      </w:rPr>
    </w:lvl>
    <w:lvl w:ilvl="1" w:tplc="04090019">
      <w:start w:val="1"/>
      <w:numFmt w:val="lowerLetter"/>
      <w:lvlText w:val="%2."/>
      <w:lvlJc w:val="left"/>
      <w:pPr>
        <w:tabs>
          <w:tab w:val="num" w:pos="2539"/>
        </w:tabs>
        <w:ind w:left="2539" w:hanging="360"/>
      </w:pPr>
    </w:lvl>
    <w:lvl w:ilvl="2" w:tplc="0409001B" w:tentative="1">
      <w:start w:val="1"/>
      <w:numFmt w:val="lowerRoman"/>
      <w:lvlText w:val="%3."/>
      <w:lvlJc w:val="right"/>
      <w:pPr>
        <w:tabs>
          <w:tab w:val="num" w:pos="3259"/>
        </w:tabs>
        <w:ind w:left="3259" w:hanging="180"/>
      </w:pPr>
    </w:lvl>
    <w:lvl w:ilvl="3" w:tplc="0409000F" w:tentative="1">
      <w:start w:val="1"/>
      <w:numFmt w:val="decimal"/>
      <w:lvlText w:val="%4."/>
      <w:lvlJc w:val="left"/>
      <w:pPr>
        <w:tabs>
          <w:tab w:val="num" w:pos="3979"/>
        </w:tabs>
        <w:ind w:left="3979" w:hanging="360"/>
      </w:pPr>
    </w:lvl>
    <w:lvl w:ilvl="4" w:tplc="04090019" w:tentative="1">
      <w:start w:val="1"/>
      <w:numFmt w:val="lowerLetter"/>
      <w:lvlText w:val="%5."/>
      <w:lvlJc w:val="left"/>
      <w:pPr>
        <w:tabs>
          <w:tab w:val="num" w:pos="4699"/>
        </w:tabs>
        <w:ind w:left="4699" w:hanging="360"/>
      </w:pPr>
    </w:lvl>
    <w:lvl w:ilvl="5" w:tplc="0409001B" w:tentative="1">
      <w:start w:val="1"/>
      <w:numFmt w:val="lowerRoman"/>
      <w:lvlText w:val="%6."/>
      <w:lvlJc w:val="right"/>
      <w:pPr>
        <w:tabs>
          <w:tab w:val="num" w:pos="5419"/>
        </w:tabs>
        <w:ind w:left="5419" w:hanging="180"/>
      </w:pPr>
    </w:lvl>
    <w:lvl w:ilvl="6" w:tplc="0409000F" w:tentative="1">
      <w:start w:val="1"/>
      <w:numFmt w:val="decimal"/>
      <w:lvlText w:val="%7."/>
      <w:lvlJc w:val="left"/>
      <w:pPr>
        <w:tabs>
          <w:tab w:val="num" w:pos="6139"/>
        </w:tabs>
        <w:ind w:left="6139" w:hanging="360"/>
      </w:pPr>
    </w:lvl>
    <w:lvl w:ilvl="7" w:tplc="04090019" w:tentative="1">
      <w:start w:val="1"/>
      <w:numFmt w:val="lowerLetter"/>
      <w:lvlText w:val="%8."/>
      <w:lvlJc w:val="left"/>
      <w:pPr>
        <w:tabs>
          <w:tab w:val="num" w:pos="6859"/>
        </w:tabs>
        <w:ind w:left="6859" w:hanging="360"/>
      </w:pPr>
    </w:lvl>
    <w:lvl w:ilvl="8" w:tplc="0409001B" w:tentative="1">
      <w:start w:val="1"/>
      <w:numFmt w:val="lowerRoman"/>
      <w:lvlText w:val="%9."/>
      <w:lvlJc w:val="right"/>
      <w:pPr>
        <w:tabs>
          <w:tab w:val="num" w:pos="7579"/>
        </w:tabs>
        <w:ind w:left="7579" w:hanging="180"/>
      </w:pPr>
    </w:lvl>
  </w:abstractNum>
  <w:num w:numId="1" w16cid:durableId="1810367245">
    <w:abstractNumId w:val="14"/>
  </w:num>
  <w:num w:numId="2" w16cid:durableId="1298999044">
    <w:abstractNumId w:val="18"/>
  </w:num>
  <w:num w:numId="3" w16cid:durableId="1537038235">
    <w:abstractNumId w:val="12"/>
  </w:num>
  <w:num w:numId="4" w16cid:durableId="1316491415">
    <w:abstractNumId w:val="24"/>
  </w:num>
  <w:num w:numId="5" w16cid:durableId="1699044691">
    <w:abstractNumId w:val="22"/>
  </w:num>
  <w:num w:numId="6" w16cid:durableId="583731629">
    <w:abstractNumId w:val="7"/>
  </w:num>
  <w:num w:numId="7" w16cid:durableId="289866685">
    <w:abstractNumId w:val="23"/>
  </w:num>
  <w:num w:numId="8" w16cid:durableId="1539275454">
    <w:abstractNumId w:val="17"/>
  </w:num>
  <w:num w:numId="9" w16cid:durableId="365906456">
    <w:abstractNumId w:val="15"/>
  </w:num>
  <w:num w:numId="10" w16cid:durableId="978728212">
    <w:abstractNumId w:val="8"/>
  </w:num>
  <w:num w:numId="11" w16cid:durableId="899051245">
    <w:abstractNumId w:val="6"/>
  </w:num>
  <w:num w:numId="12" w16cid:durableId="332726400">
    <w:abstractNumId w:val="5"/>
  </w:num>
  <w:num w:numId="13" w16cid:durableId="619997077">
    <w:abstractNumId w:val="4"/>
  </w:num>
  <w:num w:numId="14" w16cid:durableId="1309239020">
    <w:abstractNumId w:val="3"/>
  </w:num>
  <w:num w:numId="15" w16cid:durableId="69742398">
    <w:abstractNumId w:val="2"/>
  </w:num>
  <w:num w:numId="16" w16cid:durableId="1336298838">
    <w:abstractNumId w:val="1"/>
  </w:num>
  <w:num w:numId="17" w16cid:durableId="1541824823">
    <w:abstractNumId w:val="0"/>
  </w:num>
  <w:num w:numId="18" w16cid:durableId="394010212">
    <w:abstractNumId w:val="25"/>
  </w:num>
  <w:num w:numId="19" w16cid:durableId="581837476">
    <w:abstractNumId w:val="21"/>
  </w:num>
  <w:num w:numId="20" w16cid:durableId="1564170552">
    <w:abstractNumId w:val="20"/>
  </w:num>
  <w:num w:numId="21" w16cid:durableId="1478644510">
    <w:abstractNumId w:val="13"/>
  </w:num>
  <w:num w:numId="22" w16cid:durableId="1380402951">
    <w:abstractNumId w:val="11"/>
  </w:num>
  <w:num w:numId="23" w16cid:durableId="784618148">
    <w:abstractNumId w:val="10"/>
  </w:num>
  <w:num w:numId="24" w16cid:durableId="862012927">
    <w:abstractNumId w:val="19"/>
  </w:num>
  <w:num w:numId="25" w16cid:durableId="744062023">
    <w:abstractNumId w:val="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s-ES" w:vendorID="64" w:dllVersion="0" w:nlCheck="1" w:checkStyle="0"/>
  <w:activeWritingStyle w:appName="MSWord" w:lang="fr-CH" w:vendorID="64" w:dllVersion="0" w:nlCheck="1" w:checkStyle="0"/>
  <w:activeWritingStyle w:appName="MSWord" w:lang="fr-FR" w:vendorID="64" w:dllVersion="0" w:nlCheck="1" w:checkStyle="0"/>
  <w:activeWritingStyle w:appName="MSWord" w:lang="en-US" w:vendorID="64" w:dllVersion="0" w:nlCheck="1" w:checkStyle="0"/>
  <w:activeWritingStyle w:appName="MSWord" w:lang="en-GB"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hyphenationZone w:val="425"/>
  <w:clickAndTypeStyle w:val="NormalBody"/>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10"/>
    <w:rsid w:val="00000541"/>
    <w:rsid w:val="000006DE"/>
    <w:rsid w:val="00000C58"/>
    <w:rsid w:val="00000E1B"/>
    <w:rsid w:val="00000FDC"/>
    <w:rsid w:val="000010EF"/>
    <w:rsid w:val="00001134"/>
    <w:rsid w:val="00001168"/>
    <w:rsid w:val="0000162A"/>
    <w:rsid w:val="0000180E"/>
    <w:rsid w:val="0000270E"/>
    <w:rsid w:val="00002843"/>
    <w:rsid w:val="00002855"/>
    <w:rsid w:val="0000295A"/>
    <w:rsid w:val="00002E24"/>
    <w:rsid w:val="000031F6"/>
    <w:rsid w:val="00003753"/>
    <w:rsid w:val="00003A82"/>
    <w:rsid w:val="00003DD3"/>
    <w:rsid w:val="00003F21"/>
    <w:rsid w:val="00004002"/>
    <w:rsid w:val="0000442D"/>
    <w:rsid w:val="000044A9"/>
    <w:rsid w:val="000046BE"/>
    <w:rsid w:val="000047B8"/>
    <w:rsid w:val="000048F1"/>
    <w:rsid w:val="00004B29"/>
    <w:rsid w:val="00004D80"/>
    <w:rsid w:val="00004E7A"/>
    <w:rsid w:val="00005457"/>
    <w:rsid w:val="000055B2"/>
    <w:rsid w:val="000059FF"/>
    <w:rsid w:val="00005BA9"/>
    <w:rsid w:val="00005E21"/>
    <w:rsid w:val="00005F46"/>
    <w:rsid w:val="0000623F"/>
    <w:rsid w:val="000064FB"/>
    <w:rsid w:val="00006528"/>
    <w:rsid w:val="0000681B"/>
    <w:rsid w:val="00006BBD"/>
    <w:rsid w:val="00006CF6"/>
    <w:rsid w:val="00006D99"/>
    <w:rsid w:val="000070EC"/>
    <w:rsid w:val="00007184"/>
    <w:rsid w:val="000076A2"/>
    <w:rsid w:val="000077C0"/>
    <w:rsid w:val="00007CAD"/>
    <w:rsid w:val="00007FA7"/>
    <w:rsid w:val="00010016"/>
    <w:rsid w:val="0001016F"/>
    <w:rsid w:val="00010334"/>
    <w:rsid w:val="000106E1"/>
    <w:rsid w:val="00010AB8"/>
    <w:rsid w:val="00010AE4"/>
    <w:rsid w:val="00010CE8"/>
    <w:rsid w:val="00010E4F"/>
    <w:rsid w:val="00010F7A"/>
    <w:rsid w:val="00011050"/>
    <w:rsid w:val="00011214"/>
    <w:rsid w:val="000114CB"/>
    <w:rsid w:val="00011519"/>
    <w:rsid w:val="00011A3A"/>
    <w:rsid w:val="00011B0D"/>
    <w:rsid w:val="00011FB2"/>
    <w:rsid w:val="00012146"/>
    <w:rsid w:val="00012189"/>
    <w:rsid w:val="00012281"/>
    <w:rsid w:val="00012291"/>
    <w:rsid w:val="0001237F"/>
    <w:rsid w:val="0001257C"/>
    <w:rsid w:val="00012709"/>
    <w:rsid w:val="00012BF4"/>
    <w:rsid w:val="000131DA"/>
    <w:rsid w:val="00013326"/>
    <w:rsid w:val="000133B0"/>
    <w:rsid w:val="00013B50"/>
    <w:rsid w:val="00013DCD"/>
    <w:rsid w:val="00014048"/>
    <w:rsid w:val="000140FC"/>
    <w:rsid w:val="0001435B"/>
    <w:rsid w:val="000143E8"/>
    <w:rsid w:val="000145D2"/>
    <w:rsid w:val="00014629"/>
    <w:rsid w:val="00014799"/>
    <w:rsid w:val="00014940"/>
    <w:rsid w:val="00014F73"/>
    <w:rsid w:val="00015016"/>
    <w:rsid w:val="000151ED"/>
    <w:rsid w:val="00015346"/>
    <w:rsid w:val="00015716"/>
    <w:rsid w:val="00015747"/>
    <w:rsid w:val="000158AB"/>
    <w:rsid w:val="00015FAD"/>
    <w:rsid w:val="00016438"/>
    <w:rsid w:val="0001651F"/>
    <w:rsid w:val="0001677E"/>
    <w:rsid w:val="000167E3"/>
    <w:rsid w:val="000169EF"/>
    <w:rsid w:val="00016F99"/>
    <w:rsid w:val="00017546"/>
    <w:rsid w:val="00017626"/>
    <w:rsid w:val="00017972"/>
    <w:rsid w:val="000179A2"/>
    <w:rsid w:val="00017A21"/>
    <w:rsid w:val="00017B15"/>
    <w:rsid w:val="00017B24"/>
    <w:rsid w:val="00017BC7"/>
    <w:rsid w:val="00017D3B"/>
    <w:rsid w:val="00017E1B"/>
    <w:rsid w:val="00017F10"/>
    <w:rsid w:val="00017F98"/>
    <w:rsid w:val="00020061"/>
    <w:rsid w:val="0002019E"/>
    <w:rsid w:val="00020236"/>
    <w:rsid w:val="000202A1"/>
    <w:rsid w:val="00020361"/>
    <w:rsid w:val="000203B8"/>
    <w:rsid w:val="00020665"/>
    <w:rsid w:val="00020DFA"/>
    <w:rsid w:val="000212E9"/>
    <w:rsid w:val="0002132C"/>
    <w:rsid w:val="000214FA"/>
    <w:rsid w:val="00021544"/>
    <w:rsid w:val="00021721"/>
    <w:rsid w:val="00021916"/>
    <w:rsid w:val="000219CF"/>
    <w:rsid w:val="00021BB6"/>
    <w:rsid w:val="00021D24"/>
    <w:rsid w:val="00021D99"/>
    <w:rsid w:val="00021F6F"/>
    <w:rsid w:val="00022029"/>
    <w:rsid w:val="00022371"/>
    <w:rsid w:val="000223DE"/>
    <w:rsid w:val="00022925"/>
    <w:rsid w:val="00022F6D"/>
    <w:rsid w:val="0002305C"/>
    <w:rsid w:val="0002372E"/>
    <w:rsid w:val="000237E5"/>
    <w:rsid w:val="0002398E"/>
    <w:rsid w:val="000239AA"/>
    <w:rsid w:val="00023C64"/>
    <w:rsid w:val="00023D6C"/>
    <w:rsid w:val="00023E2E"/>
    <w:rsid w:val="00024063"/>
    <w:rsid w:val="000240ED"/>
    <w:rsid w:val="000244D2"/>
    <w:rsid w:val="00024560"/>
    <w:rsid w:val="000247D4"/>
    <w:rsid w:val="00025157"/>
    <w:rsid w:val="0002515C"/>
    <w:rsid w:val="00025185"/>
    <w:rsid w:val="000252A6"/>
    <w:rsid w:val="000252FD"/>
    <w:rsid w:val="000257EF"/>
    <w:rsid w:val="00025BAA"/>
    <w:rsid w:val="00025DAA"/>
    <w:rsid w:val="00025DF7"/>
    <w:rsid w:val="00025FB8"/>
    <w:rsid w:val="00026268"/>
    <w:rsid w:val="0002639B"/>
    <w:rsid w:val="00026829"/>
    <w:rsid w:val="00026A2A"/>
    <w:rsid w:val="00026A4F"/>
    <w:rsid w:val="0002701A"/>
    <w:rsid w:val="000271CF"/>
    <w:rsid w:val="00027298"/>
    <w:rsid w:val="00027498"/>
    <w:rsid w:val="000276B7"/>
    <w:rsid w:val="00027A20"/>
    <w:rsid w:val="0003026B"/>
    <w:rsid w:val="000306CF"/>
    <w:rsid w:val="000307F6"/>
    <w:rsid w:val="00030843"/>
    <w:rsid w:val="00030BF3"/>
    <w:rsid w:val="00030E04"/>
    <w:rsid w:val="00030ED8"/>
    <w:rsid w:val="00030EF4"/>
    <w:rsid w:val="000311CE"/>
    <w:rsid w:val="00031ADD"/>
    <w:rsid w:val="00031C18"/>
    <w:rsid w:val="00031C52"/>
    <w:rsid w:val="00031C6B"/>
    <w:rsid w:val="00031F6A"/>
    <w:rsid w:val="00031FD4"/>
    <w:rsid w:val="000321C4"/>
    <w:rsid w:val="00032452"/>
    <w:rsid w:val="000326BC"/>
    <w:rsid w:val="00032AD0"/>
    <w:rsid w:val="00032AFF"/>
    <w:rsid w:val="00032C47"/>
    <w:rsid w:val="00032CED"/>
    <w:rsid w:val="00032CF0"/>
    <w:rsid w:val="00032D70"/>
    <w:rsid w:val="0003303A"/>
    <w:rsid w:val="000332D5"/>
    <w:rsid w:val="00033749"/>
    <w:rsid w:val="00033CC0"/>
    <w:rsid w:val="00033E17"/>
    <w:rsid w:val="00033E9E"/>
    <w:rsid w:val="0003413B"/>
    <w:rsid w:val="00034169"/>
    <w:rsid w:val="0003416D"/>
    <w:rsid w:val="00034631"/>
    <w:rsid w:val="00034654"/>
    <w:rsid w:val="00034905"/>
    <w:rsid w:val="00034AF9"/>
    <w:rsid w:val="0003524C"/>
    <w:rsid w:val="00035416"/>
    <w:rsid w:val="00035458"/>
    <w:rsid w:val="000355BB"/>
    <w:rsid w:val="00035F4D"/>
    <w:rsid w:val="000360E2"/>
    <w:rsid w:val="0003666B"/>
    <w:rsid w:val="0003682F"/>
    <w:rsid w:val="00036AB5"/>
    <w:rsid w:val="00036ADF"/>
    <w:rsid w:val="00036BC5"/>
    <w:rsid w:val="00036C34"/>
    <w:rsid w:val="00036C55"/>
    <w:rsid w:val="0003715D"/>
    <w:rsid w:val="0003722C"/>
    <w:rsid w:val="00037524"/>
    <w:rsid w:val="0003793B"/>
    <w:rsid w:val="00037AA3"/>
    <w:rsid w:val="00037C72"/>
    <w:rsid w:val="00037DBA"/>
    <w:rsid w:val="00037F08"/>
    <w:rsid w:val="00037FB8"/>
    <w:rsid w:val="00040202"/>
    <w:rsid w:val="00040305"/>
    <w:rsid w:val="00040493"/>
    <w:rsid w:val="00040505"/>
    <w:rsid w:val="00040673"/>
    <w:rsid w:val="000406E3"/>
    <w:rsid w:val="00040891"/>
    <w:rsid w:val="00040A01"/>
    <w:rsid w:val="00040BF6"/>
    <w:rsid w:val="00040C6D"/>
    <w:rsid w:val="00040E94"/>
    <w:rsid w:val="00040FE8"/>
    <w:rsid w:val="000410EC"/>
    <w:rsid w:val="000411BE"/>
    <w:rsid w:val="000413AA"/>
    <w:rsid w:val="00041496"/>
    <w:rsid w:val="00041DFB"/>
    <w:rsid w:val="00042221"/>
    <w:rsid w:val="0004236B"/>
    <w:rsid w:val="000423C4"/>
    <w:rsid w:val="0004250A"/>
    <w:rsid w:val="00042871"/>
    <w:rsid w:val="00042AC0"/>
    <w:rsid w:val="00042ADA"/>
    <w:rsid w:val="00042CD4"/>
    <w:rsid w:val="00043111"/>
    <w:rsid w:val="00043627"/>
    <w:rsid w:val="000437CA"/>
    <w:rsid w:val="00043A31"/>
    <w:rsid w:val="00043ACA"/>
    <w:rsid w:val="00043BBB"/>
    <w:rsid w:val="00043F14"/>
    <w:rsid w:val="000443AB"/>
    <w:rsid w:val="00044501"/>
    <w:rsid w:val="00044B06"/>
    <w:rsid w:val="00044B96"/>
    <w:rsid w:val="00044CAF"/>
    <w:rsid w:val="00045227"/>
    <w:rsid w:val="0004544B"/>
    <w:rsid w:val="000454DE"/>
    <w:rsid w:val="00045854"/>
    <w:rsid w:val="00045FF4"/>
    <w:rsid w:val="00046140"/>
    <w:rsid w:val="00046182"/>
    <w:rsid w:val="0004638D"/>
    <w:rsid w:val="000463C4"/>
    <w:rsid w:val="0004678E"/>
    <w:rsid w:val="000467E0"/>
    <w:rsid w:val="00046863"/>
    <w:rsid w:val="00046E2B"/>
    <w:rsid w:val="0004733E"/>
    <w:rsid w:val="00047351"/>
    <w:rsid w:val="000476B5"/>
    <w:rsid w:val="000476F1"/>
    <w:rsid w:val="00047716"/>
    <w:rsid w:val="00047737"/>
    <w:rsid w:val="00047B17"/>
    <w:rsid w:val="00047B4A"/>
    <w:rsid w:val="00047BF4"/>
    <w:rsid w:val="00050250"/>
    <w:rsid w:val="000508A5"/>
    <w:rsid w:val="00050C69"/>
    <w:rsid w:val="00050DA1"/>
    <w:rsid w:val="00050F74"/>
    <w:rsid w:val="0005100B"/>
    <w:rsid w:val="0005160C"/>
    <w:rsid w:val="00051762"/>
    <w:rsid w:val="00051794"/>
    <w:rsid w:val="00051ADB"/>
    <w:rsid w:val="00051AE8"/>
    <w:rsid w:val="0005263A"/>
    <w:rsid w:val="000528D7"/>
    <w:rsid w:val="00052D64"/>
    <w:rsid w:val="0005323D"/>
    <w:rsid w:val="000532D2"/>
    <w:rsid w:val="0005352F"/>
    <w:rsid w:val="0005373E"/>
    <w:rsid w:val="000541A6"/>
    <w:rsid w:val="00054A39"/>
    <w:rsid w:val="00054E67"/>
    <w:rsid w:val="00054F58"/>
    <w:rsid w:val="00054FC5"/>
    <w:rsid w:val="000550AB"/>
    <w:rsid w:val="000551D3"/>
    <w:rsid w:val="000553BB"/>
    <w:rsid w:val="0005555D"/>
    <w:rsid w:val="000555F4"/>
    <w:rsid w:val="0005564F"/>
    <w:rsid w:val="00055845"/>
    <w:rsid w:val="0005585B"/>
    <w:rsid w:val="000559E6"/>
    <w:rsid w:val="00055A34"/>
    <w:rsid w:val="00055C51"/>
    <w:rsid w:val="00055E78"/>
    <w:rsid w:val="00055F11"/>
    <w:rsid w:val="00056041"/>
    <w:rsid w:val="0005606E"/>
    <w:rsid w:val="0005608B"/>
    <w:rsid w:val="00056393"/>
    <w:rsid w:val="00056758"/>
    <w:rsid w:val="0005685D"/>
    <w:rsid w:val="00056A90"/>
    <w:rsid w:val="00056BA6"/>
    <w:rsid w:val="00056C7D"/>
    <w:rsid w:val="00057457"/>
    <w:rsid w:val="000574CB"/>
    <w:rsid w:val="000575E0"/>
    <w:rsid w:val="00057651"/>
    <w:rsid w:val="000576A5"/>
    <w:rsid w:val="0005790D"/>
    <w:rsid w:val="00057FE8"/>
    <w:rsid w:val="00060130"/>
    <w:rsid w:val="000601E9"/>
    <w:rsid w:val="000606FD"/>
    <w:rsid w:val="00060734"/>
    <w:rsid w:val="00060A92"/>
    <w:rsid w:val="00060D3E"/>
    <w:rsid w:val="00060D7E"/>
    <w:rsid w:val="0006107E"/>
    <w:rsid w:val="000613B7"/>
    <w:rsid w:val="00061644"/>
    <w:rsid w:val="00061766"/>
    <w:rsid w:val="000617CD"/>
    <w:rsid w:val="000619D0"/>
    <w:rsid w:val="000619F4"/>
    <w:rsid w:val="00061BCD"/>
    <w:rsid w:val="00061F56"/>
    <w:rsid w:val="0006231B"/>
    <w:rsid w:val="000625EA"/>
    <w:rsid w:val="0006268E"/>
    <w:rsid w:val="00062A24"/>
    <w:rsid w:val="00062F17"/>
    <w:rsid w:val="00062F9E"/>
    <w:rsid w:val="00063093"/>
    <w:rsid w:val="00063A06"/>
    <w:rsid w:val="00063AD7"/>
    <w:rsid w:val="00063D21"/>
    <w:rsid w:val="00063ECB"/>
    <w:rsid w:val="000642BF"/>
    <w:rsid w:val="000648E4"/>
    <w:rsid w:val="00064A49"/>
    <w:rsid w:val="00064D74"/>
    <w:rsid w:val="00064DA6"/>
    <w:rsid w:val="0006545A"/>
    <w:rsid w:val="000654F5"/>
    <w:rsid w:val="0006553F"/>
    <w:rsid w:val="0006565A"/>
    <w:rsid w:val="00065A25"/>
    <w:rsid w:val="00065C4F"/>
    <w:rsid w:val="00065CB8"/>
    <w:rsid w:val="00065DFC"/>
    <w:rsid w:val="00065F36"/>
    <w:rsid w:val="00065F89"/>
    <w:rsid w:val="000661E4"/>
    <w:rsid w:val="000661FD"/>
    <w:rsid w:val="000663D9"/>
    <w:rsid w:val="000664A1"/>
    <w:rsid w:val="00066694"/>
    <w:rsid w:val="000667A2"/>
    <w:rsid w:val="00066851"/>
    <w:rsid w:val="000669E0"/>
    <w:rsid w:val="00066DFA"/>
    <w:rsid w:val="000670BD"/>
    <w:rsid w:val="00067575"/>
    <w:rsid w:val="000675F3"/>
    <w:rsid w:val="00067739"/>
    <w:rsid w:val="00067C94"/>
    <w:rsid w:val="00070326"/>
    <w:rsid w:val="00070556"/>
    <w:rsid w:val="00070589"/>
    <w:rsid w:val="000708BE"/>
    <w:rsid w:val="0007090F"/>
    <w:rsid w:val="000709AD"/>
    <w:rsid w:val="000709E5"/>
    <w:rsid w:val="00070C36"/>
    <w:rsid w:val="00070D00"/>
    <w:rsid w:val="00070EEF"/>
    <w:rsid w:val="00071112"/>
    <w:rsid w:val="000712C4"/>
    <w:rsid w:val="00071614"/>
    <w:rsid w:val="000719D2"/>
    <w:rsid w:val="00071AA9"/>
    <w:rsid w:val="00071B6F"/>
    <w:rsid w:val="00071C8D"/>
    <w:rsid w:val="00071DD1"/>
    <w:rsid w:val="0007200B"/>
    <w:rsid w:val="00072031"/>
    <w:rsid w:val="00072535"/>
    <w:rsid w:val="000728EC"/>
    <w:rsid w:val="00072B1D"/>
    <w:rsid w:val="000730C9"/>
    <w:rsid w:val="00073214"/>
    <w:rsid w:val="0007331C"/>
    <w:rsid w:val="00073445"/>
    <w:rsid w:val="00073541"/>
    <w:rsid w:val="00073815"/>
    <w:rsid w:val="00073BA8"/>
    <w:rsid w:val="00074409"/>
    <w:rsid w:val="000744BD"/>
    <w:rsid w:val="00074630"/>
    <w:rsid w:val="0007491D"/>
    <w:rsid w:val="000751F2"/>
    <w:rsid w:val="00075258"/>
    <w:rsid w:val="000752DE"/>
    <w:rsid w:val="000752FA"/>
    <w:rsid w:val="00075328"/>
    <w:rsid w:val="00075473"/>
    <w:rsid w:val="000754B2"/>
    <w:rsid w:val="000754F5"/>
    <w:rsid w:val="00075724"/>
    <w:rsid w:val="00075771"/>
    <w:rsid w:val="0007577C"/>
    <w:rsid w:val="000757EE"/>
    <w:rsid w:val="00075A04"/>
    <w:rsid w:val="00075BBA"/>
    <w:rsid w:val="00075BD2"/>
    <w:rsid w:val="00075FEB"/>
    <w:rsid w:val="00076384"/>
    <w:rsid w:val="00076476"/>
    <w:rsid w:val="000766BF"/>
    <w:rsid w:val="00076739"/>
    <w:rsid w:val="00076BC9"/>
    <w:rsid w:val="00076C0E"/>
    <w:rsid w:val="00076F01"/>
    <w:rsid w:val="0007704D"/>
    <w:rsid w:val="000770BF"/>
    <w:rsid w:val="0007768B"/>
    <w:rsid w:val="000777DA"/>
    <w:rsid w:val="00077B14"/>
    <w:rsid w:val="00077BBA"/>
    <w:rsid w:val="00077E18"/>
    <w:rsid w:val="00077F70"/>
    <w:rsid w:val="0008011E"/>
    <w:rsid w:val="000802CD"/>
    <w:rsid w:val="000802F9"/>
    <w:rsid w:val="00080531"/>
    <w:rsid w:val="0008064D"/>
    <w:rsid w:val="0008088E"/>
    <w:rsid w:val="0008091D"/>
    <w:rsid w:val="00080B2B"/>
    <w:rsid w:val="00080B89"/>
    <w:rsid w:val="00080E4F"/>
    <w:rsid w:val="00080F03"/>
    <w:rsid w:val="000811B6"/>
    <w:rsid w:val="000813B5"/>
    <w:rsid w:val="000814E1"/>
    <w:rsid w:val="000814F0"/>
    <w:rsid w:val="00081C9C"/>
    <w:rsid w:val="00081F94"/>
    <w:rsid w:val="0008202A"/>
    <w:rsid w:val="0008205C"/>
    <w:rsid w:val="00082380"/>
    <w:rsid w:val="00082687"/>
    <w:rsid w:val="000826EA"/>
    <w:rsid w:val="0008281F"/>
    <w:rsid w:val="00082B06"/>
    <w:rsid w:val="00083157"/>
    <w:rsid w:val="00083F1D"/>
    <w:rsid w:val="00083F28"/>
    <w:rsid w:val="0008436D"/>
    <w:rsid w:val="000843FB"/>
    <w:rsid w:val="00084490"/>
    <w:rsid w:val="00084827"/>
    <w:rsid w:val="0008490E"/>
    <w:rsid w:val="00084A01"/>
    <w:rsid w:val="00084B3D"/>
    <w:rsid w:val="00084B80"/>
    <w:rsid w:val="00084DAE"/>
    <w:rsid w:val="000850BB"/>
    <w:rsid w:val="00085247"/>
    <w:rsid w:val="00085383"/>
    <w:rsid w:val="0008547A"/>
    <w:rsid w:val="000855ED"/>
    <w:rsid w:val="0008597B"/>
    <w:rsid w:val="00085D1D"/>
    <w:rsid w:val="000861C5"/>
    <w:rsid w:val="000862B7"/>
    <w:rsid w:val="000862E0"/>
    <w:rsid w:val="000863FE"/>
    <w:rsid w:val="0008641D"/>
    <w:rsid w:val="00086463"/>
    <w:rsid w:val="0008668E"/>
    <w:rsid w:val="000866A0"/>
    <w:rsid w:val="00086AF1"/>
    <w:rsid w:val="00086DD9"/>
    <w:rsid w:val="00086E81"/>
    <w:rsid w:val="00086F87"/>
    <w:rsid w:val="000870F3"/>
    <w:rsid w:val="000871F6"/>
    <w:rsid w:val="0008738F"/>
    <w:rsid w:val="000873A1"/>
    <w:rsid w:val="00087407"/>
    <w:rsid w:val="00087861"/>
    <w:rsid w:val="000878BF"/>
    <w:rsid w:val="00087B46"/>
    <w:rsid w:val="00087B58"/>
    <w:rsid w:val="00087CD7"/>
    <w:rsid w:val="00087D1A"/>
    <w:rsid w:val="00087E5D"/>
    <w:rsid w:val="00087F8F"/>
    <w:rsid w:val="0009000A"/>
    <w:rsid w:val="00090393"/>
    <w:rsid w:val="000903FF"/>
    <w:rsid w:val="00090514"/>
    <w:rsid w:val="0009055F"/>
    <w:rsid w:val="0009060B"/>
    <w:rsid w:val="000908BD"/>
    <w:rsid w:val="000909C7"/>
    <w:rsid w:val="00090E65"/>
    <w:rsid w:val="0009142F"/>
    <w:rsid w:val="0009159A"/>
    <w:rsid w:val="000916AA"/>
    <w:rsid w:val="000918AB"/>
    <w:rsid w:val="00091D3A"/>
    <w:rsid w:val="00091D7D"/>
    <w:rsid w:val="000923B4"/>
    <w:rsid w:val="000926DB"/>
    <w:rsid w:val="00092FD0"/>
    <w:rsid w:val="00093014"/>
    <w:rsid w:val="00093067"/>
    <w:rsid w:val="000932DC"/>
    <w:rsid w:val="000933F6"/>
    <w:rsid w:val="00093506"/>
    <w:rsid w:val="00093651"/>
    <w:rsid w:val="000940DE"/>
    <w:rsid w:val="0009447C"/>
    <w:rsid w:val="000944F1"/>
    <w:rsid w:val="00094587"/>
    <w:rsid w:val="00094772"/>
    <w:rsid w:val="000948F8"/>
    <w:rsid w:val="00094ECB"/>
    <w:rsid w:val="0009509A"/>
    <w:rsid w:val="00095155"/>
    <w:rsid w:val="000951FB"/>
    <w:rsid w:val="000956DB"/>
    <w:rsid w:val="00095B8D"/>
    <w:rsid w:val="00095C1B"/>
    <w:rsid w:val="00095C6B"/>
    <w:rsid w:val="000961C3"/>
    <w:rsid w:val="0009630B"/>
    <w:rsid w:val="000963DF"/>
    <w:rsid w:val="00096752"/>
    <w:rsid w:val="00096760"/>
    <w:rsid w:val="00096813"/>
    <w:rsid w:val="0009693B"/>
    <w:rsid w:val="00096A7C"/>
    <w:rsid w:val="00096AB0"/>
    <w:rsid w:val="00096CA5"/>
    <w:rsid w:val="00096FAD"/>
    <w:rsid w:val="0009703E"/>
    <w:rsid w:val="0009712E"/>
    <w:rsid w:val="000973D5"/>
    <w:rsid w:val="00097595"/>
    <w:rsid w:val="000976E7"/>
    <w:rsid w:val="00097781"/>
    <w:rsid w:val="00097AA3"/>
    <w:rsid w:val="00097BA0"/>
    <w:rsid w:val="00097E06"/>
    <w:rsid w:val="000A032E"/>
    <w:rsid w:val="000A0632"/>
    <w:rsid w:val="000A0895"/>
    <w:rsid w:val="000A099F"/>
    <w:rsid w:val="000A09C6"/>
    <w:rsid w:val="000A0A41"/>
    <w:rsid w:val="000A0D6D"/>
    <w:rsid w:val="000A0E4B"/>
    <w:rsid w:val="000A0E7E"/>
    <w:rsid w:val="000A0F03"/>
    <w:rsid w:val="000A11ED"/>
    <w:rsid w:val="000A12AF"/>
    <w:rsid w:val="000A1376"/>
    <w:rsid w:val="000A1794"/>
    <w:rsid w:val="000A1AAA"/>
    <w:rsid w:val="000A1CFB"/>
    <w:rsid w:val="000A1EEE"/>
    <w:rsid w:val="000A21A6"/>
    <w:rsid w:val="000A24C3"/>
    <w:rsid w:val="000A2619"/>
    <w:rsid w:val="000A29CF"/>
    <w:rsid w:val="000A33A7"/>
    <w:rsid w:val="000A33BD"/>
    <w:rsid w:val="000A3436"/>
    <w:rsid w:val="000A3603"/>
    <w:rsid w:val="000A3B92"/>
    <w:rsid w:val="000A4171"/>
    <w:rsid w:val="000A42B9"/>
    <w:rsid w:val="000A4473"/>
    <w:rsid w:val="000A44C2"/>
    <w:rsid w:val="000A4643"/>
    <w:rsid w:val="000A493B"/>
    <w:rsid w:val="000A4C62"/>
    <w:rsid w:val="000A528E"/>
    <w:rsid w:val="000A5392"/>
    <w:rsid w:val="000A53C0"/>
    <w:rsid w:val="000A5444"/>
    <w:rsid w:val="000A546A"/>
    <w:rsid w:val="000A554D"/>
    <w:rsid w:val="000A5589"/>
    <w:rsid w:val="000A559A"/>
    <w:rsid w:val="000A568A"/>
    <w:rsid w:val="000A5A84"/>
    <w:rsid w:val="000A5E23"/>
    <w:rsid w:val="000A5ED9"/>
    <w:rsid w:val="000A5F19"/>
    <w:rsid w:val="000A62E1"/>
    <w:rsid w:val="000A673F"/>
    <w:rsid w:val="000A676C"/>
    <w:rsid w:val="000A678E"/>
    <w:rsid w:val="000A6AA8"/>
    <w:rsid w:val="000A6D4D"/>
    <w:rsid w:val="000A6D87"/>
    <w:rsid w:val="000A6EB0"/>
    <w:rsid w:val="000A6FCD"/>
    <w:rsid w:val="000A70EF"/>
    <w:rsid w:val="000A7153"/>
    <w:rsid w:val="000A721E"/>
    <w:rsid w:val="000A721F"/>
    <w:rsid w:val="000A73FE"/>
    <w:rsid w:val="000A749C"/>
    <w:rsid w:val="000A7732"/>
    <w:rsid w:val="000B03B2"/>
    <w:rsid w:val="000B0466"/>
    <w:rsid w:val="000B04E9"/>
    <w:rsid w:val="000B0B2B"/>
    <w:rsid w:val="000B0C3C"/>
    <w:rsid w:val="000B0E7D"/>
    <w:rsid w:val="000B0EE8"/>
    <w:rsid w:val="000B107C"/>
    <w:rsid w:val="000B1305"/>
    <w:rsid w:val="000B1691"/>
    <w:rsid w:val="000B16D0"/>
    <w:rsid w:val="000B16DF"/>
    <w:rsid w:val="000B17C9"/>
    <w:rsid w:val="000B1C9C"/>
    <w:rsid w:val="000B227B"/>
    <w:rsid w:val="000B23DC"/>
    <w:rsid w:val="000B2431"/>
    <w:rsid w:val="000B2480"/>
    <w:rsid w:val="000B24A8"/>
    <w:rsid w:val="000B2650"/>
    <w:rsid w:val="000B2697"/>
    <w:rsid w:val="000B2B32"/>
    <w:rsid w:val="000B2B5E"/>
    <w:rsid w:val="000B2C78"/>
    <w:rsid w:val="000B2D12"/>
    <w:rsid w:val="000B2E14"/>
    <w:rsid w:val="000B2E8E"/>
    <w:rsid w:val="000B3885"/>
    <w:rsid w:val="000B3A61"/>
    <w:rsid w:val="000B3BE2"/>
    <w:rsid w:val="000B3CB8"/>
    <w:rsid w:val="000B3D64"/>
    <w:rsid w:val="000B3F8D"/>
    <w:rsid w:val="000B402A"/>
    <w:rsid w:val="000B4500"/>
    <w:rsid w:val="000B462A"/>
    <w:rsid w:val="000B46AE"/>
    <w:rsid w:val="000B4878"/>
    <w:rsid w:val="000B4912"/>
    <w:rsid w:val="000B49EE"/>
    <w:rsid w:val="000B4C45"/>
    <w:rsid w:val="000B4CB5"/>
    <w:rsid w:val="000B4D44"/>
    <w:rsid w:val="000B5138"/>
    <w:rsid w:val="000B53DB"/>
    <w:rsid w:val="000B5476"/>
    <w:rsid w:val="000B576E"/>
    <w:rsid w:val="000B5E33"/>
    <w:rsid w:val="000B5FCD"/>
    <w:rsid w:val="000B5FF2"/>
    <w:rsid w:val="000B60AA"/>
    <w:rsid w:val="000B610D"/>
    <w:rsid w:val="000B6459"/>
    <w:rsid w:val="000B6662"/>
    <w:rsid w:val="000B678C"/>
    <w:rsid w:val="000B6A0A"/>
    <w:rsid w:val="000B6AEC"/>
    <w:rsid w:val="000B6F6C"/>
    <w:rsid w:val="000B703D"/>
    <w:rsid w:val="000B7305"/>
    <w:rsid w:val="000B7406"/>
    <w:rsid w:val="000B75A0"/>
    <w:rsid w:val="000B781A"/>
    <w:rsid w:val="000B7A34"/>
    <w:rsid w:val="000B7C2B"/>
    <w:rsid w:val="000B7C36"/>
    <w:rsid w:val="000C0023"/>
    <w:rsid w:val="000C03CD"/>
    <w:rsid w:val="000C0495"/>
    <w:rsid w:val="000C0548"/>
    <w:rsid w:val="000C065C"/>
    <w:rsid w:val="000C0A31"/>
    <w:rsid w:val="000C0EE8"/>
    <w:rsid w:val="000C0F02"/>
    <w:rsid w:val="000C11B1"/>
    <w:rsid w:val="000C1393"/>
    <w:rsid w:val="000C166E"/>
    <w:rsid w:val="000C16B0"/>
    <w:rsid w:val="000C186E"/>
    <w:rsid w:val="000C1BF2"/>
    <w:rsid w:val="000C1CFF"/>
    <w:rsid w:val="000C1D73"/>
    <w:rsid w:val="000C1DBA"/>
    <w:rsid w:val="000C202A"/>
    <w:rsid w:val="000C213F"/>
    <w:rsid w:val="000C21BC"/>
    <w:rsid w:val="000C23C4"/>
    <w:rsid w:val="000C2442"/>
    <w:rsid w:val="000C24E6"/>
    <w:rsid w:val="000C25B7"/>
    <w:rsid w:val="000C27B9"/>
    <w:rsid w:val="000C2A0D"/>
    <w:rsid w:val="000C2C7F"/>
    <w:rsid w:val="000C2EDD"/>
    <w:rsid w:val="000C3190"/>
    <w:rsid w:val="000C333D"/>
    <w:rsid w:val="000C3407"/>
    <w:rsid w:val="000C353C"/>
    <w:rsid w:val="000C39C2"/>
    <w:rsid w:val="000C3A76"/>
    <w:rsid w:val="000C3D7E"/>
    <w:rsid w:val="000C3DF7"/>
    <w:rsid w:val="000C3E0B"/>
    <w:rsid w:val="000C4164"/>
    <w:rsid w:val="000C4302"/>
    <w:rsid w:val="000C4653"/>
    <w:rsid w:val="000C47F0"/>
    <w:rsid w:val="000C493B"/>
    <w:rsid w:val="000C4B02"/>
    <w:rsid w:val="000C4E01"/>
    <w:rsid w:val="000C4E6F"/>
    <w:rsid w:val="000C51C6"/>
    <w:rsid w:val="000C533C"/>
    <w:rsid w:val="000C55D1"/>
    <w:rsid w:val="000C55D6"/>
    <w:rsid w:val="000C5636"/>
    <w:rsid w:val="000C5B3E"/>
    <w:rsid w:val="000C5D21"/>
    <w:rsid w:val="000C5DEF"/>
    <w:rsid w:val="000C61FD"/>
    <w:rsid w:val="000C6434"/>
    <w:rsid w:val="000C6577"/>
    <w:rsid w:val="000C66A8"/>
    <w:rsid w:val="000C6B21"/>
    <w:rsid w:val="000C6B54"/>
    <w:rsid w:val="000C6DCA"/>
    <w:rsid w:val="000C6EE3"/>
    <w:rsid w:val="000C7155"/>
    <w:rsid w:val="000C75CE"/>
    <w:rsid w:val="000C7A69"/>
    <w:rsid w:val="000C7B24"/>
    <w:rsid w:val="000C7C6A"/>
    <w:rsid w:val="000D0021"/>
    <w:rsid w:val="000D0329"/>
    <w:rsid w:val="000D0631"/>
    <w:rsid w:val="000D077D"/>
    <w:rsid w:val="000D07CF"/>
    <w:rsid w:val="000D0DEA"/>
    <w:rsid w:val="000D0F34"/>
    <w:rsid w:val="000D10A4"/>
    <w:rsid w:val="000D1285"/>
    <w:rsid w:val="000D142E"/>
    <w:rsid w:val="000D1727"/>
    <w:rsid w:val="000D1A74"/>
    <w:rsid w:val="000D1B60"/>
    <w:rsid w:val="000D1C5A"/>
    <w:rsid w:val="000D1D3B"/>
    <w:rsid w:val="000D2080"/>
    <w:rsid w:val="000D2202"/>
    <w:rsid w:val="000D2340"/>
    <w:rsid w:val="000D243A"/>
    <w:rsid w:val="000D24B9"/>
    <w:rsid w:val="000D2731"/>
    <w:rsid w:val="000D27C4"/>
    <w:rsid w:val="000D29BC"/>
    <w:rsid w:val="000D2A01"/>
    <w:rsid w:val="000D2C20"/>
    <w:rsid w:val="000D2F8F"/>
    <w:rsid w:val="000D31DD"/>
    <w:rsid w:val="000D33CC"/>
    <w:rsid w:val="000D37C5"/>
    <w:rsid w:val="000D3996"/>
    <w:rsid w:val="000D420F"/>
    <w:rsid w:val="000D43EC"/>
    <w:rsid w:val="000D442B"/>
    <w:rsid w:val="000D453D"/>
    <w:rsid w:val="000D46F2"/>
    <w:rsid w:val="000D4AD0"/>
    <w:rsid w:val="000D4BA6"/>
    <w:rsid w:val="000D4D1C"/>
    <w:rsid w:val="000D4F30"/>
    <w:rsid w:val="000D4F3D"/>
    <w:rsid w:val="000D4F5C"/>
    <w:rsid w:val="000D50CE"/>
    <w:rsid w:val="000D5127"/>
    <w:rsid w:val="000D5405"/>
    <w:rsid w:val="000D5488"/>
    <w:rsid w:val="000D580D"/>
    <w:rsid w:val="000D59F7"/>
    <w:rsid w:val="000D5A8D"/>
    <w:rsid w:val="000D5B26"/>
    <w:rsid w:val="000D5BB6"/>
    <w:rsid w:val="000D5E82"/>
    <w:rsid w:val="000D5F05"/>
    <w:rsid w:val="000D626E"/>
    <w:rsid w:val="000D643A"/>
    <w:rsid w:val="000D6C19"/>
    <w:rsid w:val="000D6EE5"/>
    <w:rsid w:val="000D7121"/>
    <w:rsid w:val="000D7256"/>
    <w:rsid w:val="000D7278"/>
    <w:rsid w:val="000D732A"/>
    <w:rsid w:val="000D7554"/>
    <w:rsid w:val="000D7607"/>
    <w:rsid w:val="000D766F"/>
    <w:rsid w:val="000D789E"/>
    <w:rsid w:val="000D7972"/>
    <w:rsid w:val="000D7B29"/>
    <w:rsid w:val="000E0366"/>
    <w:rsid w:val="000E050C"/>
    <w:rsid w:val="000E05F0"/>
    <w:rsid w:val="000E082B"/>
    <w:rsid w:val="000E0CAC"/>
    <w:rsid w:val="000E0CB0"/>
    <w:rsid w:val="000E0ECD"/>
    <w:rsid w:val="000E0F11"/>
    <w:rsid w:val="000E0F1A"/>
    <w:rsid w:val="000E0FA4"/>
    <w:rsid w:val="000E0FCE"/>
    <w:rsid w:val="000E10AB"/>
    <w:rsid w:val="000E152F"/>
    <w:rsid w:val="000E153E"/>
    <w:rsid w:val="000E170B"/>
    <w:rsid w:val="000E17D7"/>
    <w:rsid w:val="000E17DD"/>
    <w:rsid w:val="000E193E"/>
    <w:rsid w:val="000E1B04"/>
    <w:rsid w:val="000E1C45"/>
    <w:rsid w:val="000E1F33"/>
    <w:rsid w:val="000E22BE"/>
    <w:rsid w:val="000E2472"/>
    <w:rsid w:val="000E25F6"/>
    <w:rsid w:val="000E2A28"/>
    <w:rsid w:val="000E2AD4"/>
    <w:rsid w:val="000E2C99"/>
    <w:rsid w:val="000E2FBD"/>
    <w:rsid w:val="000E381B"/>
    <w:rsid w:val="000E3918"/>
    <w:rsid w:val="000E3AAB"/>
    <w:rsid w:val="000E3AE7"/>
    <w:rsid w:val="000E3BFA"/>
    <w:rsid w:val="000E3D91"/>
    <w:rsid w:val="000E47F2"/>
    <w:rsid w:val="000E495F"/>
    <w:rsid w:val="000E49E6"/>
    <w:rsid w:val="000E4A2E"/>
    <w:rsid w:val="000E4E28"/>
    <w:rsid w:val="000E5121"/>
    <w:rsid w:val="000E5360"/>
    <w:rsid w:val="000E5C37"/>
    <w:rsid w:val="000E5CDD"/>
    <w:rsid w:val="000E5D1C"/>
    <w:rsid w:val="000E5E48"/>
    <w:rsid w:val="000E62FA"/>
    <w:rsid w:val="000E6302"/>
    <w:rsid w:val="000E639E"/>
    <w:rsid w:val="000E63E2"/>
    <w:rsid w:val="000E6433"/>
    <w:rsid w:val="000E68B9"/>
    <w:rsid w:val="000E6B23"/>
    <w:rsid w:val="000E6BF8"/>
    <w:rsid w:val="000E7021"/>
    <w:rsid w:val="000E7315"/>
    <w:rsid w:val="000E745C"/>
    <w:rsid w:val="000E7499"/>
    <w:rsid w:val="000E7585"/>
    <w:rsid w:val="000E76EA"/>
    <w:rsid w:val="000E783F"/>
    <w:rsid w:val="000E7E42"/>
    <w:rsid w:val="000E7EEF"/>
    <w:rsid w:val="000E7F1D"/>
    <w:rsid w:val="000E7F84"/>
    <w:rsid w:val="000F0191"/>
    <w:rsid w:val="000F03EB"/>
    <w:rsid w:val="000F041A"/>
    <w:rsid w:val="000F07BA"/>
    <w:rsid w:val="000F07FA"/>
    <w:rsid w:val="000F108E"/>
    <w:rsid w:val="000F1146"/>
    <w:rsid w:val="000F14B3"/>
    <w:rsid w:val="000F14E9"/>
    <w:rsid w:val="000F1BDC"/>
    <w:rsid w:val="000F200A"/>
    <w:rsid w:val="000F22A4"/>
    <w:rsid w:val="000F2476"/>
    <w:rsid w:val="000F2908"/>
    <w:rsid w:val="000F2BAA"/>
    <w:rsid w:val="000F2C70"/>
    <w:rsid w:val="000F2C9F"/>
    <w:rsid w:val="000F2CCD"/>
    <w:rsid w:val="000F2CE0"/>
    <w:rsid w:val="000F2DF4"/>
    <w:rsid w:val="000F3129"/>
    <w:rsid w:val="000F31E2"/>
    <w:rsid w:val="000F36BD"/>
    <w:rsid w:val="000F3A03"/>
    <w:rsid w:val="000F3C66"/>
    <w:rsid w:val="000F3D0B"/>
    <w:rsid w:val="000F3D11"/>
    <w:rsid w:val="000F413B"/>
    <w:rsid w:val="000F42AC"/>
    <w:rsid w:val="000F46F4"/>
    <w:rsid w:val="000F4861"/>
    <w:rsid w:val="000F4969"/>
    <w:rsid w:val="000F4AA5"/>
    <w:rsid w:val="000F4BD7"/>
    <w:rsid w:val="000F4EFD"/>
    <w:rsid w:val="000F4F62"/>
    <w:rsid w:val="000F4F65"/>
    <w:rsid w:val="000F51C5"/>
    <w:rsid w:val="000F52C8"/>
    <w:rsid w:val="000F56A8"/>
    <w:rsid w:val="000F5817"/>
    <w:rsid w:val="000F59D9"/>
    <w:rsid w:val="000F5D6B"/>
    <w:rsid w:val="000F5E71"/>
    <w:rsid w:val="000F62B8"/>
    <w:rsid w:val="000F63C1"/>
    <w:rsid w:val="000F6436"/>
    <w:rsid w:val="000F6884"/>
    <w:rsid w:val="000F6E19"/>
    <w:rsid w:val="000F6E63"/>
    <w:rsid w:val="000F6F99"/>
    <w:rsid w:val="000F7580"/>
    <w:rsid w:val="000F799D"/>
    <w:rsid w:val="000F7D7C"/>
    <w:rsid w:val="000F7EFA"/>
    <w:rsid w:val="00100423"/>
    <w:rsid w:val="00100483"/>
    <w:rsid w:val="00100A80"/>
    <w:rsid w:val="00100C06"/>
    <w:rsid w:val="00100CD7"/>
    <w:rsid w:val="00100DFB"/>
    <w:rsid w:val="001010A0"/>
    <w:rsid w:val="0010134D"/>
    <w:rsid w:val="001013D0"/>
    <w:rsid w:val="00101401"/>
    <w:rsid w:val="0010141C"/>
    <w:rsid w:val="001015F8"/>
    <w:rsid w:val="001017AA"/>
    <w:rsid w:val="00101821"/>
    <w:rsid w:val="00101976"/>
    <w:rsid w:val="001019FF"/>
    <w:rsid w:val="0010237B"/>
    <w:rsid w:val="0010260A"/>
    <w:rsid w:val="0010291A"/>
    <w:rsid w:val="00102954"/>
    <w:rsid w:val="00102D2C"/>
    <w:rsid w:val="00103555"/>
    <w:rsid w:val="0010378F"/>
    <w:rsid w:val="001037FD"/>
    <w:rsid w:val="00103AB6"/>
    <w:rsid w:val="00103B38"/>
    <w:rsid w:val="00103CEC"/>
    <w:rsid w:val="00104021"/>
    <w:rsid w:val="0010408B"/>
    <w:rsid w:val="00104175"/>
    <w:rsid w:val="00104195"/>
    <w:rsid w:val="001041C5"/>
    <w:rsid w:val="001044D3"/>
    <w:rsid w:val="001044DB"/>
    <w:rsid w:val="00104AF2"/>
    <w:rsid w:val="00104EA2"/>
    <w:rsid w:val="00104F0C"/>
    <w:rsid w:val="00104F85"/>
    <w:rsid w:val="001052A0"/>
    <w:rsid w:val="001054AA"/>
    <w:rsid w:val="00105988"/>
    <w:rsid w:val="00105CD6"/>
    <w:rsid w:val="00105E93"/>
    <w:rsid w:val="00106043"/>
    <w:rsid w:val="0010607C"/>
    <w:rsid w:val="001062D1"/>
    <w:rsid w:val="00106449"/>
    <w:rsid w:val="00106602"/>
    <w:rsid w:val="00106A1F"/>
    <w:rsid w:val="00106A3A"/>
    <w:rsid w:val="00106C38"/>
    <w:rsid w:val="00106D35"/>
    <w:rsid w:val="001073FD"/>
    <w:rsid w:val="00107AB3"/>
    <w:rsid w:val="0011011F"/>
    <w:rsid w:val="0011034A"/>
    <w:rsid w:val="0011069F"/>
    <w:rsid w:val="00110735"/>
    <w:rsid w:val="00110A2A"/>
    <w:rsid w:val="00110BFD"/>
    <w:rsid w:val="00110E45"/>
    <w:rsid w:val="0011102F"/>
    <w:rsid w:val="00111560"/>
    <w:rsid w:val="0011165C"/>
    <w:rsid w:val="00111887"/>
    <w:rsid w:val="001118D2"/>
    <w:rsid w:val="001118F2"/>
    <w:rsid w:val="0011191A"/>
    <w:rsid w:val="001119B0"/>
    <w:rsid w:val="00111B37"/>
    <w:rsid w:val="00111C06"/>
    <w:rsid w:val="00111DB3"/>
    <w:rsid w:val="00112235"/>
    <w:rsid w:val="00112320"/>
    <w:rsid w:val="00112384"/>
    <w:rsid w:val="0011273F"/>
    <w:rsid w:val="0011287E"/>
    <w:rsid w:val="00112A14"/>
    <w:rsid w:val="00112AB2"/>
    <w:rsid w:val="00112DE5"/>
    <w:rsid w:val="00113093"/>
    <w:rsid w:val="00113204"/>
    <w:rsid w:val="00113380"/>
    <w:rsid w:val="00113BDC"/>
    <w:rsid w:val="001140D0"/>
    <w:rsid w:val="00114400"/>
    <w:rsid w:val="00114545"/>
    <w:rsid w:val="001145AC"/>
    <w:rsid w:val="00114737"/>
    <w:rsid w:val="001148D2"/>
    <w:rsid w:val="0011497C"/>
    <w:rsid w:val="00114A32"/>
    <w:rsid w:val="00114A52"/>
    <w:rsid w:val="00114BB4"/>
    <w:rsid w:val="00114CEC"/>
    <w:rsid w:val="00114E4A"/>
    <w:rsid w:val="00114ED1"/>
    <w:rsid w:val="00115680"/>
    <w:rsid w:val="001156EF"/>
    <w:rsid w:val="00115852"/>
    <w:rsid w:val="001159DF"/>
    <w:rsid w:val="00115A57"/>
    <w:rsid w:val="00116063"/>
    <w:rsid w:val="0011627A"/>
    <w:rsid w:val="00116291"/>
    <w:rsid w:val="001164AB"/>
    <w:rsid w:val="0011676C"/>
    <w:rsid w:val="001167E6"/>
    <w:rsid w:val="0011690F"/>
    <w:rsid w:val="00116C3B"/>
    <w:rsid w:val="00117089"/>
    <w:rsid w:val="001170B3"/>
    <w:rsid w:val="00117114"/>
    <w:rsid w:val="00117185"/>
    <w:rsid w:val="001172E2"/>
    <w:rsid w:val="0011731C"/>
    <w:rsid w:val="00117333"/>
    <w:rsid w:val="00117662"/>
    <w:rsid w:val="00117D61"/>
    <w:rsid w:val="001201F8"/>
    <w:rsid w:val="00120562"/>
    <w:rsid w:val="00120587"/>
    <w:rsid w:val="00120B73"/>
    <w:rsid w:val="00120C2A"/>
    <w:rsid w:val="00120C58"/>
    <w:rsid w:val="00120EA6"/>
    <w:rsid w:val="00120F05"/>
    <w:rsid w:val="00121124"/>
    <w:rsid w:val="00121228"/>
    <w:rsid w:val="0012167E"/>
    <w:rsid w:val="001216BA"/>
    <w:rsid w:val="001219B3"/>
    <w:rsid w:val="00121AA8"/>
    <w:rsid w:val="00121AB1"/>
    <w:rsid w:val="00121E06"/>
    <w:rsid w:val="00121E6B"/>
    <w:rsid w:val="00121F39"/>
    <w:rsid w:val="00122287"/>
    <w:rsid w:val="001223BF"/>
    <w:rsid w:val="0012249A"/>
    <w:rsid w:val="001227CA"/>
    <w:rsid w:val="001229C4"/>
    <w:rsid w:val="00122A5F"/>
    <w:rsid w:val="00122A9C"/>
    <w:rsid w:val="00122C0A"/>
    <w:rsid w:val="00123020"/>
    <w:rsid w:val="001232E5"/>
    <w:rsid w:val="0012357C"/>
    <w:rsid w:val="00123663"/>
    <w:rsid w:val="001236AC"/>
    <w:rsid w:val="00123912"/>
    <w:rsid w:val="00123B24"/>
    <w:rsid w:val="00123DFE"/>
    <w:rsid w:val="00124010"/>
    <w:rsid w:val="001241BA"/>
    <w:rsid w:val="00124202"/>
    <w:rsid w:val="00124413"/>
    <w:rsid w:val="001244F5"/>
    <w:rsid w:val="001245D2"/>
    <w:rsid w:val="0012463E"/>
    <w:rsid w:val="001246DA"/>
    <w:rsid w:val="0012477C"/>
    <w:rsid w:val="00124E36"/>
    <w:rsid w:val="0012547B"/>
    <w:rsid w:val="00125602"/>
    <w:rsid w:val="0012563D"/>
    <w:rsid w:val="0012566C"/>
    <w:rsid w:val="00125679"/>
    <w:rsid w:val="001256A4"/>
    <w:rsid w:val="00125824"/>
    <w:rsid w:val="00125C60"/>
    <w:rsid w:val="00125D50"/>
    <w:rsid w:val="0012635D"/>
    <w:rsid w:val="00126485"/>
    <w:rsid w:val="001264BF"/>
    <w:rsid w:val="00126521"/>
    <w:rsid w:val="0012671D"/>
    <w:rsid w:val="00126880"/>
    <w:rsid w:val="00126A6F"/>
    <w:rsid w:val="00126DAF"/>
    <w:rsid w:val="00127091"/>
    <w:rsid w:val="00127532"/>
    <w:rsid w:val="001276A2"/>
    <w:rsid w:val="00127E6F"/>
    <w:rsid w:val="00127F9F"/>
    <w:rsid w:val="00130301"/>
    <w:rsid w:val="001305D3"/>
    <w:rsid w:val="0013075F"/>
    <w:rsid w:val="00130762"/>
    <w:rsid w:val="001307C0"/>
    <w:rsid w:val="0013083D"/>
    <w:rsid w:val="00130BB8"/>
    <w:rsid w:val="00130C96"/>
    <w:rsid w:val="00130E93"/>
    <w:rsid w:val="00130EBA"/>
    <w:rsid w:val="001310B1"/>
    <w:rsid w:val="0013130E"/>
    <w:rsid w:val="001313E6"/>
    <w:rsid w:val="0013177E"/>
    <w:rsid w:val="00131B1B"/>
    <w:rsid w:val="00131D49"/>
    <w:rsid w:val="00132238"/>
    <w:rsid w:val="0013223D"/>
    <w:rsid w:val="00132374"/>
    <w:rsid w:val="00132673"/>
    <w:rsid w:val="001326E0"/>
    <w:rsid w:val="00132DED"/>
    <w:rsid w:val="00132EA1"/>
    <w:rsid w:val="00132F98"/>
    <w:rsid w:val="0013349A"/>
    <w:rsid w:val="00133863"/>
    <w:rsid w:val="001339AD"/>
    <w:rsid w:val="00133BF9"/>
    <w:rsid w:val="00133D0E"/>
    <w:rsid w:val="00133D52"/>
    <w:rsid w:val="0013400B"/>
    <w:rsid w:val="00134147"/>
    <w:rsid w:val="00134355"/>
    <w:rsid w:val="0013481D"/>
    <w:rsid w:val="00134B00"/>
    <w:rsid w:val="00134B71"/>
    <w:rsid w:val="001350D3"/>
    <w:rsid w:val="0013555D"/>
    <w:rsid w:val="00135684"/>
    <w:rsid w:val="001356E5"/>
    <w:rsid w:val="0013583D"/>
    <w:rsid w:val="00135C37"/>
    <w:rsid w:val="00135EBA"/>
    <w:rsid w:val="00136156"/>
    <w:rsid w:val="0013616A"/>
    <w:rsid w:val="0013649E"/>
    <w:rsid w:val="0013682E"/>
    <w:rsid w:val="00136A1F"/>
    <w:rsid w:val="00136C45"/>
    <w:rsid w:val="00136C5D"/>
    <w:rsid w:val="00136C6A"/>
    <w:rsid w:val="00137366"/>
    <w:rsid w:val="001377C5"/>
    <w:rsid w:val="00137C0D"/>
    <w:rsid w:val="00137F48"/>
    <w:rsid w:val="0014006D"/>
    <w:rsid w:val="0014008D"/>
    <w:rsid w:val="001400B1"/>
    <w:rsid w:val="00140158"/>
    <w:rsid w:val="00140181"/>
    <w:rsid w:val="00140228"/>
    <w:rsid w:val="0014034B"/>
    <w:rsid w:val="00140439"/>
    <w:rsid w:val="0014053C"/>
    <w:rsid w:val="001408AA"/>
    <w:rsid w:val="001409D1"/>
    <w:rsid w:val="00140A2B"/>
    <w:rsid w:val="00141217"/>
    <w:rsid w:val="001412E9"/>
    <w:rsid w:val="0014154A"/>
    <w:rsid w:val="00141552"/>
    <w:rsid w:val="0014163A"/>
    <w:rsid w:val="0014179F"/>
    <w:rsid w:val="0014184A"/>
    <w:rsid w:val="00141C9B"/>
    <w:rsid w:val="00142028"/>
    <w:rsid w:val="00142074"/>
    <w:rsid w:val="00142358"/>
    <w:rsid w:val="00142395"/>
    <w:rsid w:val="00142415"/>
    <w:rsid w:val="00142540"/>
    <w:rsid w:val="001426F0"/>
    <w:rsid w:val="00142864"/>
    <w:rsid w:val="00142D27"/>
    <w:rsid w:val="00142D9C"/>
    <w:rsid w:val="00142F2B"/>
    <w:rsid w:val="00143156"/>
    <w:rsid w:val="00143BC8"/>
    <w:rsid w:val="00143C53"/>
    <w:rsid w:val="00143F94"/>
    <w:rsid w:val="00144064"/>
    <w:rsid w:val="0014407F"/>
    <w:rsid w:val="0014409D"/>
    <w:rsid w:val="00144123"/>
    <w:rsid w:val="0014435E"/>
    <w:rsid w:val="0014436E"/>
    <w:rsid w:val="001443A7"/>
    <w:rsid w:val="00144983"/>
    <w:rsid w:val="00144A51"/>
    <w:rsid w:val="00144BC4"/>
    <w:rsid w:val="00144BED"/>
    <w:rsid w:val="00144C44"/>
    <w:rsid w:val="0014507D"/>
    <w:rsid w:val="001451DC"/>
    <w:rsid w:val="001453C7"/>
    <w:rsid w:val="0014562C"/>
    <w:rsid w:val="001459E4"/>
    <w:rsid w:val="00145B1A"/>
    <w:rsid w:val="00146075"/>
    <w:rsid w:val="00146378"/>
    <w:rsid w:val="00146429"/>
    <w:rsid w:val="00146470"/>
    <w:rsid w:val="001467C1"/>
    <w:rsid w:val="00146A63"/>
    <w:rsid w:val="00146B6C"/>
    <w:rsid w:val="00146FBA"/>
    <w:rsid w:val="00147899"/>
    <w:rsid w:val="00147D94"/>
    <w:rsid w:val="00147DFA"/>
    <w:rsid w:val="001501FC"/>
    <w:rsid w:val="001502B8"/>
    <w:rsid w:val="001503F2"/>
    <w:rsid w:val="00150A54"/>
    <w:rsid w:val="00150C11"/>
    <w:rsid w:val="00150F53"/>
    <w:rsid w:val="0015102C"/>
    <w:rsid w:val="001517D9"/>
    <w:rsid w:val="0015192A"/>
    <w:rsid w:val="00151A6C"/>
    <w:rsid w:val="0015226C"/>
    <w:rsid w:val="0015256D"/>
    <w:rsid w:val="00152761"/>
    <w:rsid w:val="0015281B"/>
    <w:rsid w:val="001528ED"/>
    <w:rsid w:val="0015301C"/>
    <w:rsid w:val="00153268"/>
    <w:rsid w:val="00153508"/>
    <w:rsid w:val="001535A3"/>
    <w:rsid w:val="001535A7"/>
    <w:rsid w:val="00153789"/>
    <w:rsid w:val="00153DA7"/>
    <w:rsid w:val="00153F42"/>
    <w:rsid w:val="00154217"/>
    <w:rsid w:val="001544EE"/>
    <w:rsid w:val="00154565"/>
    <w:rsid w:val="00154D98"/>
    <w:rsid w:val="00154D9F"/>
    <w:rsid w:val="00154DA9"/>
    <w:rsid w:val="00154E6D"/>
    <w:rsid w:val="00155062"/>
    <w:rsid w:val="0015515F"/>
    <w:rsid w:val="0015523F"/>
    <w:rsid w:val="001553A1"/>
    <w:rsid w:val="00155436"/>
    <w:rsid w:val="00155543"/>
    <w:rsid w:val="0015587A"/>
    <w:rsid w:val="0015592E"/>
    <w:rsid w:val="0015593C"/>
    <w:rsid w:val="00155B2F"/>
    <w:rsid w:val="00155C72"/>
    <w:rsid w:val="0015635E"/>
    <w:rsid w:val="001564A2"/>
    <w:rsid w:val="00156994"/>
    <w:rsid w:val="00156A6F"/>
    <w:rsid w:val="00156C60"/>
    <w:rsid w:val="00156E60"/>
    <w:rsid w:val="00157DB9"/>
    <w:rsid w:val="00157E1D"/>
    <w:rsid w:val="00157F86"/>
    <w:rsid w:val="00160579"/>
    <w:rsid w:val="001607D3"/>
    <w:rsid w:val="001609B7"/>
    <w:rsid w:val="001611EB"/>
    <w:rsid w:val="001612D7"/>
    <w:rsid w:val="00161B6E"/>
    <w:rsid w:val="00161BF6"/>
    <w:rsid w:val="00161C67"/>
    <w:rsid w:val="00161CD3"/>
    <w:rsid w:val="00161D2A"/>
    <w:rsid w:val="001621EC"/>
    <w:rsid w:val="0016275D"/>
    <w:rsid w:val="00162C7C"/>
    <w:rsid w:val="0016313A"/>
    <w:rsid w:val="001631A4"/>
    <w:rsid w:val="00163432"/>
    <w:rsid w:val="00163BF8"/>
    <w:rsid w:val="00163D77"/>
    <w:rsid w:val="00163E58"/>
    <w:rsid w:val="00163E6E"/>
    <w:rsid w:val="00163FC4"/>
    <w:rsid w:val="001642C8"/>
    <w:rsid w:val="0016487F"/>
    <w:rsid w:val="00164CC5"/>
    <w:rsid w:val="00164CE4"/>
    <w:rsid w:val="00164D3E"/>
    <w:rsid w:val="00164F66"/>
    <w:rsid w:val="00164F83"/>
    <w:rsid w:val="00164F8F"/>
    <w:rsid w:val="00164F96"/>
    <w:rsid w:val="00165316"/>
    <w:rsid w:val="00165427"/>
    <w:rsid w:val="001656D2"/>
    <w:rsid w:val="0016576E"/>
    <w:rsid w:val="00165885"/>
    <w:rsid w:val="00165C37"/>
    <w:rsid w:val="00165D2F"/>
    <w:rsid w:val="00165E51"/>
    <w:rsid w:val="00165EB1"/>
    <w:rsid w:val="00165EC3"/>
    <w:rsid w:val="00166210"/>
    <w:rsid w:val="00166281"/>
    <w:rsid w:val="00166341"/>
    <w:rsid w:val="00166454"/>
    <w:rsid w:val="001664B1"/>
    <w:rsid w:val="001668ED"/>
    <w:rsid w:val="001669DC"/>
    <w:rsid w:val="0016720F"/>
    <w:rsid w:val="00167258"/>
    <w:rsid w:val="001672A5"/>
    <w:rsid w:val="00167493"/>
    <w:rsid w:val="0016758C"/>
    <w:rsid w:val="001677C7"/>
    <w:rsid w:val="00167DFE"/>
    <w:rsid w:val="00167E52"/>
    <w:rsid w:val="00167E61"/>
    <w:rsid w:val="001700CD"/>
    <w:rsid w:val="00170225"/>
    <w:rsid w:val="0017078E"/>
    <w:rsid w:val="00170B0A"/>
    <w:rsid w:val="0017168D"/>
    <w:rsid w:val="0017169B"/>
    <w:rsid w:val="0017171B"/>
    <w:rsid w:val="00171AD7"/>
    <w:rsid w:val="00171AFE"/>
    <w:rsid w:val="00171D6A"/>
    <w:rsid w:val="0017200F"/>
    <w:rsid w:val="0017229C"/>
    <w:rsid w:val="001722CB"/>
    <w:rsid w:val="001722E2"/>
    <w:rsid w:val="001725B9"/>
    <w:rsid w:val="001725D3"/>
    <w:rsid w:val="001728EC"/>
    <w:rsid w:val="00172CFF"/>
    <w:rsid w:val="00172D2D"/>
    <w:rsid w:val="00172D35"/>
    <w:rsid w:val="00172E40"/>
    <w:rsid w:val="00173346"/>
    <w:rsid w:val="00173804"/>
    <w:rsid w:val="001739C2"/>
    <w:rsid w:val="00173A1D"/>
    <w:rsid w:val="00173A89"/>
    <w:rsid w:val="00173BD0"/>
    <w:rsid w:val="00173FCF"/>
    <w:rsid w:val="00173FFB"/>
    <w:rsid w:val="00174312"/>
    <w:rsid w:val="001743D0"/>
    <w:rsid w:val="00174411"/>
    <w:rsid w:val="00174872"/>
    <w:rsid w:val="00174B23"/>
    <w:rsid w:val="00174E0C"/>
    <w:rsid w:val="00174EC1"/>
    <w:rsid w:val="001750C1"/>
    <w:rsid w:val="001751AE"/>
    <w:rsid w:val="0017525F"/>
    <w:rsid w:val="0017542C"/>
    <w:rsid w:val="001756F5"/>
    <w:rsid w:val="00175AFA"/>
    <w:rsid w:val="00175E28"/>
    <w:rsid w:val="001760FE"/>
    <w:rsid w:val="0017656B"/>
    <w:rsid w:val="00176599"/>
    <w:rsid w:val="00176701"/>
    <w:rsid w:val="00176872"/>
    <w:rsid w:val="001768FA"/>
    <w:rsid w:val="0017697D"/>
    <w:rsid w:val="00176A22"/>
    <w:rsid w:val="00176B11"/>
    <w:rsid w:val="00176B3B"/>
    <w:rsid w:val="001771F7"/>
    <w:rsid w:val="00177486"/>
    <w:rsid w:val="001776A4"/>
    <w:rsid w:val="0017773F"/>
    <w:rsid w:val="0017786D"/>
    <w:rsid w:val="00177984"/>
    <w:rsid w:val="00177BDC"/>
    <w:rsid w:val="00177C0F"/>
    <w:rsid w:val="00177E4F"/>
    <w:rsid w:val="00177F0C"/>
    <w:rsid w:val="00180109"/>
    <w:rsid w:val="001802E8"/>
    <w:rsid w:val="00180744"/>
    <w:rsid w:val="00180856"/>
    <w:rsid w:val="00180C70"/>
    <w:rsid w:val="00180E2D"/>
    <w:rsid w:val="00180F3E"/>
    <w:rsid w:val="001812E0"/>
    <w:rsid w:val="00181550"/>
    <w:rsid w:val="001816B1"/>
    <w:rsid w:val="00181973"/>
    <w:rsid w:val="00181F57"/>
    <w:rsid w:val="001824E8"/>
    <w:rsid w:val="00182B2C"/>
    <w:rsid w:val="00182BF8"/>
    <w:rsid w:val="001830B4"/>
    <w:rsid w:val="00183343"/>
    <w:rsid w:val="001834F1"/>
    <w:rsid w:val="001838A0"/>
    <w:rsid w:val="00183CAB"/>
    <w:rsid w:val="0018429C"/>
    <w:rsid w:val="001845BE"/>
    <w:rsid w:val="001845D9"/>
    <w:rsid w:val="00184C03"/>
    <w:rsid w:val="00184C34"/>
    <w:rsid w:val="00184C7B"/>
    <w:rsid w:val="00184E4D"/>
    <w:rsid w:val="00184E93"/>
    <w:rsid w:val="001851A5"/>
    <w:rsid w:val="00185A2B"/>
    <w:rsid w:val="00185B4D"/>
    <w:rsid w:val="00185E65"/>
    <w:rsid w:val="00185F43"/>
    <w:rsid w:val="001862F1"/>
    <w:rsid w:val="00186706"/>
    <w:rsid w:val="00186D25"/>
    <w:rsid w:val="00186D79"/>
    <w:rsid w:val="00187285"/>
    <w:rsid w:val="001876EB"/>
    <w:rsid w:val="001878A2"/>
    <w:rsid w:val="00187942"/>
    <w:rsid w:val="00187A53"/>
    <w:rsid w:val="00187BA0"/>
    <w:rsid w:val="00187CB5"/>
    <w:rsid w:val="00187E4B"/>
    <w:rsid w:val="00190215"/>
    <w:rsid w:val="00190395"/>
    <w:rsid w:val="001903D1"/>
    <w:rsid w:val="00190718"/>
    <w:rsid w:val="00190793"/>
    <w:rsid w:val="001908CD"/>
    <w:rsid w:val="0019099F"/>
    <w:rsid w:val="00190C11"/>
    <w:rsid w:val="00190E4A"/>
    <w:rsid w:val="00191248"/>
    <w:rsid w:val="001913A6"/>
    <w:rsid w:val="0019167A"/>
    <w:rsid w:val="0019183B"/>
    <w:rsid w:val="001918E9"/>
    <w:rsid w:val="00191BC6"/>
    <w:rsid w:val="00191BCE"/>
    <w:rsid w:val="00191DB9"/>
    <w:rsid w:val="00191FF1"/>
    <w:rsid w:val="00191FF9"/>
    <w:rsid w:val="00192523"/>
    <w:rsid w:val="001926EB"/>
    <w:rsid w:val="00192A86"/>
    <w:rsid w:val="00192B38"/>
    <w:rsid w:val="00192E83"/>
    <w:rsid w:val="0019364D"/>
    <w:rsid w:val="0019382C"/>
    <w:rsid w:val="00193BF9"/>
    <w:rsid w:val="00193CCC"/>
    <w:rsid w:val="00193D45"/>
    <w:rsid w:val="00193DF3"/>
    <w:rsid w:val="00193E1E"/>
    <w:rsid w:val="001941F4"/>
    <w:rsid w:val="0019471A"/>
    <w:rsid w:val="00194820"/>
    <w:rsid w:val="00195683"/>
    <w:rsid w:val="0019695B"/>
    <w:rsid w:val="00196A23"/>
    <w:rsid w:val="00196B59"/>
    <w:rsid w:val="00196E6B"/>
    <w:rsid w:val="00196F22"/>
    <w:rsid w:val="00196F26"/>
    <w:rsid w:val="001973B4"/>
    <w:rsid w:val="0019748F"/>
    <w:rsid w:val="001974BC"/>
    <w:rsid w:val="001976F8"/>
    <w:rsid w:val="00197D01"/>
    <w:rsid w:val="00197E63"/>
    <w:rsid w:val="001A0369"/>
    <w:rsid w:val="001A0463"/>
    <w:rsid w:val="001A05CB"/>
    <w:rsid w:val="001A0890"/>
    <w:rsid w:val="001A0FEA"/>
    <w:rsid w:val="001A12C7"/>
    <w:rsid w:val="001A1372"/>
    <w:rsid w:val="001A13B7"/>
    <w:rsid w:val="001A14B2"/>
    <w:rsid w:val="001A1867"/>
    <w:rsid w:val="001A1A90"/>
    <w:rsid w:val="001A1E23"/>
    <w:rsid w:val="001A1FA7"/>
    <w:rsid w:val="001A2070"/>
    <w:rsid w:val="001A225F"/>
    <w:rsid w:val="001A2288"/>
    <w:rsid w:val="001A22DC"/>
    <w:rsid w:val="001A24BB"/>
    <w:rsid w:val="001A2673"/>
    <w:rsid w:val="001A2676"/>
    <w:rsid w:val="001A2D9F"/>
    <w:rsid w:val="001A344D"/>
    <w:rsid w:val="001A3710"/>
    <w:rsid w:val="001A37F9"/>
    <w:rsid w:val="001A3829"/>
    <w:rsid w:val="001A38B7"/>
    <w:rsid w:val="001A3B01"/>
    <w:rsid w:val="001A3DDC"/>
    <w:rsid w:val="001A4362"/>
    <w:rsid w:val="001A44A2"/>
    <w:rsid w:val="001A4626"/>
    <w:rsid w:val="001A4C5D"/>
    <w:rsid w:val="001A5370"/>
    <w:rsid w:val="001A537C"/>
    <w:rsid w:val="001A5479"/>
    <w:rsid w:val="001A55DC"/>
    <w:rsid w:val="001A5845"/>
    <w:rsid w:val="001A5C47"/>
    <w:rsid w:val="001A5DA9"/>
    <w:rsid w:val="001A5EBA"/>
    <w:rsid w:val="001A6122"/>
    <w:rsid w:val="001A646E"/>
    <w:rsid w:val="001A68A0"/>
    <w:rsid w:val="001A6922"/>
    <w:rsid w:val="001A6C93"/>
    <w:rsid w:val="001A7286"/>
    <w:rsid w:val="001A7408"/>
    <w:rsid w:val="001A74DA"/>
    <w:rsid w:val="001A7623"/>
    <w:rsid w:val="001A7829"/>
    <w:rsid w:val="001A7A4C"/>
    <w:rsid w:val="001A7C60"/>
    <w:rsid w:val="001B0047"/>
    <w:rsid w:val="001B03D6"/>
    <w:rsid w:val="001B046B"/>
    <w:rsid w:val="001B08AE"/>
    <w:rsid w:val="001B0901"/>
    <w:rsid w:val="001B0A02"/>
    <w:rsid w:val="001B0E87"/>
    <w:rsid w:val="001B1124"/>
    <w:rsid w:val="001B1325"/>
    <w:rsid w:val="001B150D"/>
    <w:rsid w:val="001B1555"/>
    <w:rsid w:val="001B1736"/>
    <w:rsid w:val="001B1BB2"/>
    <w:rsid w:val="001B1C0C"/>
    <w:rsid w:val="001B1CE3"/>
    <w:rsid w:val="001B1E92"/>
    <w:rsid w:val="001B1F60"/>
    <w:rsid w:val="001B1FA3"/>
    <w:rsid w:val="001B2186"/>
    <w:rsid w:val="001B21B6"/>
    <w:rsid w:val="001B21DE"/>
    <w:rsid w:val="001B23E0"/>
    <w:rsid w:val="001B23F8"/>
    <w:rsid w:val="001B25D6"/>
    <w:rsid w:val="001B2643"/>
    <w:rsid w:val="001B2743"/>
    <w:rsid w:val="001B285F"/>
    <w:rsid w:val="001B2A36"/>
    <w:rsid w:val="001B2CBB"/>
    <w:rsid w:val="001B3137"/>
    <w:rsid w:val="001B32B6"/>
    <w:rsid w:val="001B33E2"/>
    <w:rsid w:val="001B35F1"/>
    <w:rsid w:val="001B375D"/>
    <w:rsid w:val="001B3994"/>
    <w:rsid w:val="001B3D7E"/>
    <w:rsid w:val="001B3D96"/>
    <w:rsid w:val="001B41CF"/>
    <w:rsid w:val="001B43BD"/>
    <w:rsid w:val="001B44A4"/>
    <w:rsid w:val="001B46AC"/>
    <w:rsid w:val="001B46BC"/>
    <w:rsid w:val="001B4714"/>
    <w:rsid w:val="001B49AE"/>
    <w:rsid w:val="001B49F8"/>
    <w:rsid w:val="001B4B7A"/>
    <w:rsid w:val="001B4DF3"/>
    <w:rsid w:val="001B54F0"/>
    <w:rsid w:val="001B57C7"/>
    <w:rsid w:val="001B59C6"/>
    <w:rsid w:val="001B5A0B"/>
    <w:rsid w:val="001B6090"/>
    <w:rsid w:val="001B60A0"/>
    <w:rsid w:val="001B618E"/>
    <w:rsid w:val="001B61FE"/>
    <w:rsid w:val="001B6292"/>
    <w:rsid w:val="001B639E"/>
    <w:rsid w:val="001B6675"/>
    <w:rsid w:val="001B6BA8"/>
    <w:rsid w:val="001B6E3C"/>
    <w:rsid w:val="001B729A"/>
    <w:rsid w:val="001B7531"/>
    <w:rsid w:val="001B7D8B"/>
    <w:rsid w:val="001B7DCD"/>
    <w:rsid w:val="001B7E3F"/>
    <w:rsid w:val="001B7ED8"/>
    <w:rsid w:val="001C0064"/>
    <w:rsid w:val="001C00CE"/>
    <w:rsid w:val="001C0431"/>
    <w:rsid w:val="001C052D"/>
    <w:rsid w:val="001C0675"/>
    <w:rsid w:val="001C0797"/>
    <w:rsid w:val="001C08A5"/>
    <w:rsid w:val="001C0997"/>
    <w:rsid w:val="001C09F4"/>
    <w:rsid w:val="001C0AA1"/>
    <w:rsid w:val="001C0B84"/>
    <w:rsid w:val="001C0D5A"/>
    <w:rsid w:val="001C0ECE"/>
    <w:rsid w:val="001C0F25"/>
    <w:rsid w:val="001C136B"/>
    <w:rsid w:val="001C13B2"/>
    <w:rsid w:val="001C1851"/>
    <w:rsid w:val="001C1C4B"/>
    <w:rsid w:val="001C1C74"/>
    <w:rsid w:val="001C1F06"/>
    <w:rsid w:val="001C2248"/>
    <w:rsid w:val="001C2A22"/>
    <w:rsid w:val="001C2D3D"/>
    <w:rsid w:val="001C2FC2"/>
    <w:rsid w:val="001C31E9"/>
    <w:rsid w:val="001C344E"/>
    <w:rsid w:val="001C3488"/>
    <w:rsid w:val="001C3891"/>
    <w:rsid w:val="001C3CAC"/>
    <w:rsid w:val="001C3D4D"/>
    <w:rsid w:val="001C3E30"/>
    <w:rsid w:val="001C3F3E"/>
    <w:rsid w:val="001C3F6D"/>
    <w:rsid w:val="001C4035"/>
    <w:rsid w:val="001C410F"/>
    <w:rsid w:val="001C424C"/>
    <w:rsid w:val="001C43AD"/>
    <w:rsid w:val="001C44F3"/>
    <w:rsid w:val="001C47AB"/>
    <w:rsid w:val="001C4851"/>
    <w:rsid w:val="001C4868"/>
    <w:rsid w:val="001C4A5E"/>
    <w:rsid w:val="001C4BBA"/>
    <w:rsid w:val="001C4DAC"/>
    <w:rsid w:val="001C4F3B"/>
    <w:rsid w:val="001C5384"/>
    <w:rsid w:val="001C54CE"/>
    <w:rsid w:val="001C58AB"/>
    <w:rsid w:val="001C5973"/>
    <w:rsid w:val="001C599B"/>
    <w:rsid w:val="001C5A49"/>
    <w:rsid w:val="001C5A54"/>
    <w:rsid w:val="001C5D5C"/>
    <w:rsid w:val="001C5E7A"/>
    <w:rsid w:val="001C5F13"/>
    <w:rsid w:val="001C6276"/>
    <w:rsid w:val="001C63AA"/>
    <w:rsid w:val="001C656F"/>
    <w:rsid w:val="001C672B"/>
    <w:rsid w:val="001C6779"/>
    <w:rsid w:val="001C6891"/>
    <w:rsid w:val="001C68DB"/>
    <w:rsid w:val="001C6960"/>
    <w:rsid w:val="001C6A4D"/>
    <w:rsid w:val="001C6F6A"/>
    <w:rsid w:val="001C6FF6"/>
    <w:rsid w:val="001C70EB"/>
    <w:rsid w:val="001C730A"/>
    <w:rsid w:val="001C7506"/>
    <w:rsid w:val="001C75E8"/>
    <w:rsid w:val="001C7799"/>
    <w:rsid w:val="001C7C49"/>
    <w:rsid w:val="001D06E3"/>
    <w:rsid w:val="001D0739"/>
    <w:rsid w:val="001D0800"/>
    <w:rsid w:val="001D0811"/>
    <w:rsid w:val="001D0D1E"/>
    <w:rsid w:val="001D0ECC"/>
    <w:rsid w:val="001D0F16"/>
    <w:rsid w:val="001D0F1E"/>
    <w:rsid w:val="001D1044"/>
    <w:rsid w:val="001D1188"/>
    <w:rsid w:val="001D1191"/>
    <w:rsid w:val="001D1229"/>
    <w:rsid w:val="001D140A"/>
    <w:rsid w:val="001D162A"/>
    <w:rsid w:val="001D206C"/>
    <w:rsid w:val="001D242F"/>
    <w:rsid w:val="001D25A3"/>
    <w:rsid w:val="001D2C61"/>
    <w:rsid w:val="001D2CD2"/>
    <w:rsid w:val="001D30E3"/>
    <w:rsid w:val="001D35B6"/>
    <w:rsid w:val="001D38D5"/>
    <w:rsid w:val="001D3B40"/>
    <w:rsid w:val="001D3B7B"/>
    <w:rsid w:val="001D3BE4"/>
    <w:rsid w:val="001D3C98"/>
    <w:rsid w:val="001D3D56"/>
    <w:rsid w:val="001D3E61"/>
    <w:rsid w:val="001D4100"/>
    <w:rsid w:val="001D4209"/>
    <w:rsid w:val="001D4409"/>
    <w:rsid w:val="001D45CA"/>
    <w:rsid w:val="001D45ED"/>
    <w:rsid w:val="001D4859"/>
    <w:rsid w:val="001D4972"/>
    <w:rsid w:val="001D4ECF"/>
    <w:rsid w:val="001D512F"/>
    <w:rsid w:val="001D5226"/>
    <w:rsid w:val="001D532B"/>
    <w:rsid w:val="001D54BF"/>
    <w:rsid w:val="001D5A02"/>
    <w:rsid w:val="001D5B14"/>
    <w:rsid w:val="001D5CB0"/>
    <w:rsid w:val="001D5DBD"/>
    <w:rsid w:val="001D5EDD"/>
    <w:rsid w:val="001D60F1"/>
    <w:rsid w:val="001D61FE"/>
    <w:rsid w:val="001D64E8"/>
    <w:rsid w:val="001D6511"/>
    <w:rsid w:val="001D694F"/>
    <w:rsid w:val="001D703E"/>
    <w:rsid w:val="001D7149"/>
    <w:rsid w:val="001D71B1"/>
    <w:rsid w:val="001D7480"/>
    <w:rsid w:val="001D7876"/>
    <w:rsid w:val="001D7954"/>
    <w:rsid w:val="001D7C1A"/>
    <w:rsid w:val="001D7CDE"/>
    <w:rsid w:val="001D7CEC"/>
    <w:rsid w:val="001D7D30"/>
    <w:rsid w:val="001D7E6B"/>
    <w:rsid w:val="001D7F0C"/>
    <w:rsid w:val="001E0225"/>
    <w:rsid w:val="001E0332"/>
    <w:rsid w:val="001E0397"/>
    <w:rsid w:val="001E04A8"/>
    <w:rsid w:val="001E0543"/>
    <w:rsid w:val="001E0636"/>
    <w:rsid w:val="001E0710"/>
    <w:rsid w:val="001E08E3"/>
    <w:rsid w:val="001E0A0B"/>
    <w:rsid w:val="001E0BCA"/>
    <w:rsid w:val="001E10D7"/>
    <w:rsid w:val="001E1273"/>
    <w:rsid w:val="001E12F9"/>
    <w:rsid w:val="001E1397"/>
    <w:rsid w:val="001E1440"/>
    <w:rsid w:val="001E14C2"/>
    <w:rsid w:val="001E1562"/>
    <w:rsid w:val="001E159B"/>
    <w:rsid w:val="001E1688"/>
    <w:rsid w:val="001E191E"/>
    <w:rsid w:val="001E1A3C"/>
    <w:rsid w:val="001E1F34"/>
    <w:rsid w:val="001E1F38"/>
    <w:rsid w:val="001E1FA2"/>
    <w:rsid w:val="001E20D2"/>
    <w:rsid w:val="001E21FA"/>
    <w:rsid w:val="001E2345"/>
    <w:rsid w:val="001E2D6C"/>
    <w:rsid w:val="001E2E62"/>
    <w:rsid w:val="001E2FDB"/>
    <w:rsid w:val="001E32BC"/>
    <w:rsid w:val="001E340F"/>
    <w:rsid w:val="001E34B3"/>
    <w:rsid w:val="001E35BD"/>
    <w:rsid w:val="001E38FE"/>
    <w:rsid w:val="001E3ACA"/>
    <w:rsid w:val="001E3B0B"/>
    <w:rsid w:val="001E3CF9"/>
    <w:rsid w:val="001E3D39"/>
    <w:rsid w:val="001E3DD4"/>
    <w:rsid w:val="001E3E99"/>
    <w:rsid w:val="001E4207"/>
    <w:rsid w:val="001E423A"/>
    <w:rsid w:val="001E42A8"/>
    <w:rsid w:val="001E44AA"/>
    <w:rsid w:val="001E467A"/>
    <w:rsid w:val="001E4AD7"/>
    <w:rsid w:val="001E4B66"/>
    <w:rsid w:val="001E4BFA"/>
    <w:rsid w:val="001E4E9A"/>
    <w:rsid w:val="001E51B4"/>
    <w:rsid w:val="001E56AD"/>
    <w:rsid w:val="001E596C"/>
    <w:rsid w:val="001E5C29"/>
    <w:rsid w:val="001E5CDD"/>
    <w:rsid w:val="001E5F5F"/>
    <w:rsid w:val="001E60AA"/>
    <w:rsid w:val="001E6169"/>
    <w:rsid w:val="001E618B"/>
    <w:rsid w:val="001E6298"/>
    <w:rsid w:val="001E6307"/>
    <w:rsid w:val="001E630A"/>
    <w:rsid w:val="001E6434"/>
    <w:rsid w:val="001E667B"/>
    <w:rsid w:val="001E6AB1"/>
    <w:rsid w:val="001E6DAF"/>
    <w:rsid w:val="001E6E14"/>
    <w:rsid w:val="001E7132"/>
    <w:rsid w:val="001E7229"/>
    <w:rsid w:val="001E742E"/>
    <w:rsid w:val="001E7440"/>
    <w:rsid w:val="001E75AE"/>
    <w:rsid w:val="001E782A"/>
    <w:rsid w:val="001E78AE"/>
    <w:rsid w:val="001E7C07"/>
    <w:rsid w:val="001E7C41"/>
    <w:rsid w:val="001E7D06"/>
    <w:rsid w:val="001E7D36"/>
    <w:rsid w:val="001F044A"/>
    <w:rsid w:val="001F06F8"/>
    <w:rsid w:val="001F07D1"/>
    <w:rsid w:val="001F080D"/>
    <w:rsid w:val="001F0913"/>
    <w:rsid w:val="001F0A9F"/>
    <w:rsid w:val="001F0AA3"/>
    <w:rsid w:val="001F0ACB"/>
    <w:rsid w:val="001F0BA6"/>
    <w:rsid w:val="001F0D12"/>
    <w:rsid w:val="001F1302"/>
    <w:rsid w:val="001F14C6"/>
    <w:rsid w:val="001F1675"/>
    <w:rsid w:val="001F1699"/>
    <w:rsid w:val="001F1814"/>
    <w:rsid w:val="001F1A5D"/>
    <w:rsid w:val="001F1C4D"/>
    <w:rsid w:val="001F1D2E"/>
    <w:rsid w:val="001F1DB2"/>
    <w:rsid w:val="001F1F7C"/>
    <w:rsid w:val="001F23A7"/>
    <w:rsid w:val="001F2722"/>
    <w:rsid w:val="001F2752"/>
    <w:rsid w:val="001F2C8F"/>
    <w:rsid w:val="001F2E32"/>
    <w:rsid w:val="001F3206"/>
    <w:rsid w:val="001F3310"/>
    <w:rsid w:val="001F335D"/>
    <w:rsid w:val="001F363F"/>
    <w:rsid w:val="001F36E5"/>
    <w:rsid w:val="001F3A60"/>
    <w:rsid w:val="001F3A7B"/>
    <w:rsid w:val="001F3AF6"/>
    <w:rsid w:val="001F3CAD"/>
    <w:rsid w:val="001F3E17"/>
    <w:rsid w:val="001F44B9"/>
    <w:rsid w:val="001F45B4"/>
    <w:rsid w:val="001F4661"/>
    <w:rsid w:val="001F485E"/>
    <w:rsid w:val="001F4987"/>
    <w:rsid w:val="001F4C42"/>
    <w:rsid w:val="001F4CFD"/>
    <w:rsid w:val="001F4E9F"/>
    <w:rsid w:val="001F4ECB"/>
    <w:rsid w:val="001F4EF3"/>
    <w:rsid w:val="001F5609"/>
    <w:rsid w:val="001F59BC"/>
    <w:rsid w:val="001F5CFA"/>
    <w:rsid w:val="001F5DE5"/>
    <w:rsid w:val="001F5EF8"/>
    <w:rsid w:val="001F5F53"/>
    <w:rsid w:val="001F5FD7"/>
    <w:rsid w:val="001F60A6"/>
    <w:rsid w:val="001F646F"/>
    <w:rsid w:val="001F6939"/>
    <w:rsid w:val="001F6E08"/>
    <w:rsid w:val="001F6E9F"/>
    <w:rsid w:val="001F6EA2"/>
    <w:rsid w:val="001F706D"/>
    <w:rsid w:val="001F70A2"/>
    <w:rsid w:val="001F74D3"/>
    <w:rsid w:val="001F7776"/>
    <w:rsid w:val="001F7B82"/>
    <w:rsid w:val="001F7C69"/>
    <w:rsid w:val="001F7E7A"/>
    <w:rsid w:val="00200015"/>
    <w:rsid w:val="00200512"/>
    <w:rsid w:val="0020056C"/>
    <w:rsid w:val="00200573"/>
    <w:rsid w:val="00200BC5"/>
    <w:rsid w:val="00200E11"/>
    <w:rsid w:val="002015BC"/>
    <w:rsid w:val="00201817"/>
    <w:rsid w:val="00201F0A"/>
    <w:rsid w:val="00202150"/>
    <w:rsid w:val="0020228A"/>
    <w:rsid w:val="0020291E"/>
    <w:rsid w:val="00202A0F"/>
    <w:rsid w:val="00202D57"/>
    <w:rsid w:val="00202E6A"/>
    <w:rsid w:val="0020331B"/>
    <w:rsid w:val="00203A70"/>
    <w:rsid w:val="00203D74"/>
    <w:rsid w:val="00203EB3"/>
    <w:rsid w:val="00204111"/>
    <w:rsid w:val="00204131"/>
    <w:rsid w:val="00204146"/>
    <w:rsid w:val="002043BE"/>
    <w:rsid w:val="002043E8"/>
    <w:rsid w:val="00204840"/>
    <w:rsid w:val="0020510F"/>
    <w:rsid w:val="00205328"/>
    <w:rsid w:val="00205416"/>
    <w:rsid w:val="0020568B"/>
    <w:rsid w:val="002058A5"/>
    <w:rsid w:val="00205D8D"/>
    <w:rsid w:val="00205E8D"/>
    <w:rsid w:val="00205F1F"/>
    <w:rsid w:val="00206266"/>
    <w:rsid w:val="0020626A"/>
    <w:rsid w:val="00206299"/>
    <w:rsid w:val="002064CB"/>
    <w:rsid w:val="00206506"/>
    <w:rsid w:val="00206520"/>
    <w:rsid w:val="00206D03"/>
    <w:rsid w:val="00206D19"/>
    <w:rsid w:val="00206E7B"/>
    <w:rsid w:val="002072C3"/>
    <w:rsid w:val="002075A2"/>
    <w:rsid w:val="002076AA"/>
    <w:rsid w:val="002079FE"/>
    <w:rsid w:val="00207A8A"/>
    <w:rsid w:val="00207AFD"/>
    <w:rsid w:val="00207B51"/>
    <w:rsid w:val="00207B92"/>
    <w:rsid w:val="00207BEF"/>
    <w:rsid w:val="00207F19"/>
    <w:rsid w:val="002100C6"/>
    <w:rsid w:val="002100EE"/>
    <w:rsid w:val="00210118"/>
    <w:rsid w:val="002102F3"/>
    <w:rsid w:val="002103FF"/>
    <w:rsid w:val="002105BA"/>
    <w:rsid w:val="00211037"/>
    <w:rsid w:val="00211356"/>
    <w:rsid w:val="00211557"/>
    <w:rsid w:val="00211736"/>
    <w:rsid w:val="002117F1"/>
    <w:rsid w:val="002119A3"/>
    <w:rsid w:val="00211A82"/>
    <w:rsid w:val="00211BD7"/>
    <w:rsid w:val="00211C3A"/>
    <w:rsid w:val="00211E02"/>
    <w:rsid w:val="00212508"/>
    <w:rsid w:val="0021252B"/>
    <w:rsid w:val="0021273A"/>
    <w:rsid w:val="002129E1"/>
    <w:rsid w:val="00212ACD"/>
    <w:rsid w:val="00212F49"/>
    <w:rsid w:val="00213105"/>
    <w:rsid w:val="0021322E"/>
    <w:rsid w:val="00213845"/>
    <w:rsid w:val="00213C61"/>
    <w:rsid w:val="00213E2A"/>
    <w:rsid w:val="00213E36"/>
    <w:rsid w:val="00214145"/>
    <w:rsid w:val="002145D8"/>
    <w:rsid w:val="0021462C"/>
    <w:rsid w:val="0021471A"/>
    <w:rsid w:val="002147F7"/>
    <w:rsid w:val="00214A0E"/>
    <w:rsid w:val="00214A88"/>
    <w:rsid w:val="00214D5E"/>
    <w:rsid w:val="00214E96"/>
    <w:rsid w:val="0021501E"/>
    <w:rsid w:val="00215232"/>
    <w:rsid w:val="0021545A"/>
    <w:rsid w:val="002156F0"/>
    <w:rsid w:val="002158BB"/>
    <w:rsid w:val="00215A47"/>
    <w:rsid w:val="00215FB2"/>
    <w:rsid w:val="00215FBC"/>
    <w:rsid w:val="00216135"/>
    <w:rsid w:val="0021632D"/>
    <w:rsid w:val="002163EF"/>
    <w:rsid w:val="00216532"/>
    <w:rsid w:val="002165B9"/>
    <w:rsid w:val="002166F7"/>
    <w:rsid w:val="00216759"/>
    <w:rsid w:val="0021692F"/>
    <w:rsid w:val="00216A67"/>
    <w:rsid w:val="00216DB4"/>
    <w:rsid w:val="00216E7F"/>
    <w:rsid w:val="00217956"/>
    <w:rsid w:val="00217B47"/>
    <w:rsid w:val="00217C73"/>
    <w:rsid w:val="00217DB2"/>
    <w:rsid w:val="00217E82"/>
    <w:rsid w:val="00220076"/>
    <w:rsid w:val="00220376"/>
    <w:rsid w:val="00220413"/>
    <w:rsid w:val="002206B2"/>
    <w:rsid w:val="00220795"/>
    <w:rsid w:val="002207C5"/>
    <w:rsid w:val="0022081B"/>
    <w:rsid w:val="00220B61"/>
    <w:rsid w:val="00221278"/>
    <w:rsid w:val="002213F2"/>
    <w:rsid w:val="002218D6"/>
    <w:rsid w:val="00221BE7"/>
    <w:rsid w:val="00221C86"/>
    <w:rsid w:val="00221DA7"/>
    <w:rsid w:val="00221E5C"/>
    <w:rsid w:val="0022226C"/>
    <w:rsid w:val="0022243F"/>
    <w:rsid w:val="002226A6"/>
    <w:rsid w:val="00222DA1"/>
    <w:rsid w:val="00222DCE"/>
    <w:rsid w:val="00222F08"/>
    <w:rsid w:val="00223039"/>
    <w:rsid w:val="00223087"/>
    <w:rsid w:val="00223100"/>
    <w:rsid w:val="00223335"/>
    <w:rsid w:val="002235CD"/>
    <w:rsid w:val="00223AE3"/>
    <w:rsid w:val="00223BB7"/>
    <w:rsid w:val="00223C27"/>
    <w:rsid w:val="00223C36"/>
    <w:rsid w:val="00223ED5"/>
    <w:rsid w:val="00223FFF"/>
    <w:rsid w:val="002244D4"/>
    <w:rsid w:val="00224522"/>
    <w:rsid w:val="002247B7"/>
    <w:rsid w:val="00224808"/>
    <w:rsid w:val="0022488F"/>
    <w:rsid w:val="00224DF6"/>
    <w:rsid w:val="00224F73"/>
    <w:rsid w:val="00225247"/>
    <w:rsid w:val="0022528E"/>
    <w:rsid w:val="0022531D"/>
    <w:rsid w:val="002258CC"/>
    <w:rsid w:val="00225999"/>
    <w:rsid w:val="00225C20"/>
    <w:rsid w:val="00225DC6"/>
    <w:rsid w:val="00225EA0"/>
    <w:rsid w:val="00226A40"/>
    <w:rsid w:val="00226E8C"/>
    <w:rsid w:val="002275E2"/>
    <w:rsid w:val="0022766B"/>
    <w:rsid w:val="00227A5E"/>
    <w:rsid w:val="00227C60"/>
    <w:rsid w:val="00227E28"/>
    <w:rsid w:val="002300DE"/>
    <w:rsid w:val="002302E7"/>
    <w:rsid w:val="0023040C"/>
    <w:rsid w:val="0023081A"/>
    <w:rsid w:val="00230B9F"/>
    <w:rsid w:val="00230BED"/>
    <w:rsid w:val="00230D70"/>
    <w:rsid w:val="00230DBC"/>
    <w:rsid w:val="00230E38"/>
    <w:rsid w:val="00230EAA"/>
    <w:rsid w:val="00230EAD"/>
    <w:rsid w:val="00230F26"/>
    <w:rsid w:val="00231088"/>
    <w:rsid w:val="002318D8"/>
    <w:rsid w:val="00231AEC"/>
    <w:rsid w:val="00231B8F"/>
    <w:rsid w:val="00231D4C"/>
    <w:rsid w:val="00231E36"/>
    <w:rsid w:val="00232052"/>
    <w:rsid w:val="00232744"/>
    <w:rsid w:val="0023294B"/>
    <w:rsid w:val="00232B07"/>
    <w:rsid w:val="00232D8B"/>
    <w:rsid w:val="00232F35"/>
    <w:rsid w:val="0023308D"/>
    <w:rsid w:val="0023308F"/>
    <w:rsid w:val="002331FF"/>
    <w:rsid w:val="002333EE"/>
    <w:rsid w:val="00233597"/>
    <w:rsid w:val="002339B5"/>
    <w:rsid w:val="00233A24"/>
    <w:rsid w:val="00233AF8"/>
    <w:rsid w:val="00233E58"/>
    <w:rsid w:val="00233EB5"/>
    <w:rsid w:val="00234030"/>
    <w:rsid w:val="0023404B"/>
    <w:rsid w:val="00234347"/>
    <w:rsid w:val="00234525"/>
    <w:rsid w:val="002347D5"/>
    <w:rsid w:val="00234EE7"/>
    <w:rsid w:val="00234FAA"/>
    <w:rsid w:val="0023511A"/>
    <w:rsid w:val="0023537A"/>
    <w:rsid w:val="00235408"/>
    <w:rsid w:val="002354E3"/>
    <w:rsid w:val="002354F0"/>
    <w:rsid w:val="00235708"/>
    <w:rsid w:val="00235ADB"/>
    <w:rsid w:val="00235DC7"/>
    <w:rsid w:val="002367D4"/>
    <w:rsid w:val="00236850"/>
    <w:rsid w:val="0023709A"/>
    <w:rsid w:val="0023744F"/>
    <w:rsid w:val="002378BF"/>
    <w:rsid w:val="00237D8B"/>
    <w:rsid w:val="00237FBB"/>
    <w:rsid w:val="00240167"/>
    <w:rsid w:val="00240299"/>
    <w:rsid w:val="002406B2"/>
    <w:rsid w:val="002406D6"/>
    <w:rsid w:val="002408CB"/>
    <w:rsid w:val="00240923"/>
    <w:rsid w:val="00240997"/>
    <w:rsid w:val="00240A02"/>
    <w:rsid w:val="00240E10"/>
    <w:rsid w:val="00240EEE"/>
    <w:rsid w:val="00240F07"/>
    <w:rsid w:val="00241016"/>
    <w:rsid w:val="00241049"/>
    <w:rsid w:val="00241449"/>
    <w:rsid w:val="002414E1"/>
    <w:rsid w:val="0024156A"/>
    <w:rsid w:val="00241E32"/>
    <w:rsid w:val="00241FBB"/>
    <w:rsid w:val="002420D9"/>
    <w:rsid w:val="00242180"/>
    <w:rsid w:val="002427D7"/>
    <w:rsid w:val="002429BC"/>
    <w:rsid w:val="00242A8B"/>
    <w:rsid w:val="00243008"/>
    <w:rsid w:val="00243404"/>
    <w:rsid w:val="0024358B"/>
    <w:rsid w:val="00243A82"/>
    <w:rsid w:val="00243B5A"/>
    <w:rsid w:val="00243BA6"/>
    <w:rsid w:val="00243C69"/>
    <w:rsid w:val="00243E2A"/>
    <w:rsid w:val="00244275"/>
    <w:rsid w:val="00244399"/>
    <w:rsid w:val="00244486"/>
    <w:rsid w:val="0024449D"/>
    <w:rsid w:val="00244680"/>
    <w:rsid w:val="00244EF1"/>
    <w:rsid w:val="00244F79"/>
    <w:rsid w:val="0024513E"/>
    <w:rsid w:val="002451FC"/>
    <w:rsid w:val="00245286"/>
    <w:rsid w:val="00245488"/>
    <w:rsid w:val="002454F6"/>
    <w:rsid w:val="002456ED"/>
    <w:rsid w:val="00245B0B"/>
    <w:rsid w:val="00245B10"/>
    <w:rsid w:val="00245C9D"/>
    <w:rsid w:val="002460E6"/>
    <w:rsid w:val="0024654E"/>
    <w:rsid w:val="0024665F"/>
    <w:rsid w:val="002466BE"/>
    <w:rsid w:val="00246731"/>
    <w:rsid w:val="002468EA"/>
    <w:rsid w:val="00246AB8"/>
    <w:rsid w:val="00246DB7"/>
    <w:rsid w:val="0024705E"/>
    <w:rsid w:val="00247219"/>
    <w:rsid w:val="00247445"/>
    <w:rsid w:val="00247BAC"/>
    <w:rsid w:val="00247D82"/>
    <w:rsid w:val="00247EEC"/>
    <w:rsid w:val="002504DD"/>
    <w:rsid w:val="00250549"/>
    <w:rsid w:val="00250629"/>
    <w:rsid w:val="002506AA"/>
    <w:rsid w:val="00250935"/>
    <w:rsid w:val="00250A5E"/>
    <w:rsid w:val="00250CF5"/>
    <w:rsid w:val="00250E9F"/>
    <w:rsid w:val="00250EA6"/>
    <w:rsid w:val="002512D5"/>
    <w:rsid w:val="00251649"/>
    <w:rsid w:val="00251A3E"/>
    <w:rsid w:val="00251AE0"/>
    <w:rsid w:val="00251B3F"/>
    <w:rsid w:val="00251B82"/>
    <w:rsid w:val="00251D8E"/>
    <w:rsid w:val="00251EEC"/>
    <w:rsid w:val="00252082"/>
    <w:rsid w:val="0025224E"/>
    <w:rsid w:val="002523D4"/>
    <w:rsid w:val="0025252E"/>
    <w:rsid w:val="0025292B"/>
    <w:rsid w:val="0025293F"/>
    <w:rsid w:val="00252A30"/>
    <w:rsid w:val="00252B3C"/>
    <w:rsid w:val="00252E7C"/>
    <w:rsid w:val="00252EB3"/>
    <w:rsid w:val="00252F2A"/>
    <w:rsid w:val="00252FA6"/>
    <w:rsid w:val="00252FC6"/>
    <w:rsid w:val="00253046"/>
    <w:rsid w:val="0025306E"/>
    <w:rsid w:val="002533E4"/>
    <w:rsid w:val="00253696"/>
    <w:rsid w:val="0025373D"/>
    <w:rsid w:val="0025378B"/>
    <w:rsid w:val="00253F0E"/>
    <w:rsid w:val="00254117"/>
    <w:rsid w:val="00254267"/>
    <w:rsid w:val="00254404"/>
    <w:rsid w:val="00254594"/>
    <w:rsid w:val="002546E6"/>
    <w:rsid w:val="002547DE"/>
    <w:rsid w:val="00254881"/>
    <w:rsid w:val="00254BBA"/>
    <w:rsid w:val="00254C56"/>
    <w:rsid w:val="00255134"/>
    <w:rsid w:val="0025522C"/>
    <w:rsid w:val="002556BA"/>
    <w:rsid w:val="0025587B"/>
    <w:rsid w:val="00256092"/>
    <w:rsid w:val="00256321"/>
    <w:rsid w:val="002563BD"/>
    <w:rsid w:val="00256490"/>
    <w:rsid w:val="0025669C"/>
    <w:rsid w:val="00256C13"/>
    <w:rsid w:val="00256E2D"/>
    <w:rsid w:val="00257118"/>
    <w:rsid w:val="00257124"/>
    <w:rsid w:val="00257224"/>
    <w:rsid w:val="002573BB"/>
    <w:rsid w:val="002579E1"/>
    <w:rsid w:val="00257B43"/>
    <w:rsid w:val="00257FB1"/>
    <w:rsid w:val="002600C2"/>
    <w:rsid w:val="0026020F"/>
    <w:rsid w:val="00260227"/>
    <w:rsid w:val="002603AD"/>
    <w:rsid w:val="002603B1"/>
    <w:rsid w:val="00260687"/>
    <w:rsid w:val="002607E8"/>
    <w:rsid w:val="00260B71"/>
    <w:rsid w:val="00260CD5"/>
    <w:rsid w:val="00260FB2"/>
    <w:rsid w:val="0026102B"/>
    <w:rsid w:val="0026131D"/>
    <w:rsid w:val="002615CA"/>
    <w:rsid w:val="00261643"/>
    <w:rsid w:val="00261770"/>
    <w:rsid w:val="00261782"/>
    <w:rsid w:val="002617A0"/>
    <w:rsid w:val="00261B01"/>
    <w:rsid w:val="00261B9B"/>
    <w:rsid w:val="00261CDF"/>
    <w:rsid w:val="00261DB1"/>
    <w:rsid w:val="00261EE9"/>
    <w:rsid w:val="002623AB"/>
    <w:rsid w:val="00262491"/>
    <w:rsid w:val="00262699"/>
    <w:rsid w:val="002626E8"/>
    <w:rsid w:val="00262703"/>
    <w:rsid w:val="00262780"/>
    <w:rsid w:val="002627C8"/>
    <w:rsid w:val="00262960"/>
    <w:rsid w:val="00262C4D"/>
    <w:rsid w:val="00262E09"/>
    <w:rsid w:val="00262FCF"/>
    <w:rsid w:val="00263154"/>
    <w:rsid w:val="00263165"/>
    <w:rsid w:val="002632E7"/>
    <w:rsid w:val="00263344"/>
    <w:rsid w:val="0026369B"/>
    <w:rsid w:val="002637C2"/>
    <w:rsid w:val="00263993"/>
    <w:rsid w:val="00263A20"/>
    <w:rsid w:val="00263AA9"/>
    <w:rsid w:val="00263BD9"/>
    <w:rsid w:val="00263F35"/>
    <w:rsid w:val="0026476B"/>
    <w:rsid w:val="00264791"/>
    <w:rsid w:val="002647AE"/>
    <w:rsid w:val="002648ED"/>
    <w:rsid w:val="002650A0"/>
    <w:rsid w:val="0026574F"/>
    <w:rsid w:val="00265C5D"/>
    <w:rsid w:val="00265CBB"/>
    <w:rsid w:val="00265E39"/>
    <w:rsid w:val="0026643B"/>
    <w:rsid w:val="002664F3"/>
    <w:rsid w:val="00266C41"/>
    <w:rsid w:val="00266C9E"/>
    <w:rsid w:val="00266CE5"/>
    <w:rsid w:val="00266D2A"/>
    <w:rsid w:val="00266E8F"/>
    <w:rsid w:val="0026713A"/>
    <w:rsid w:val="00267704"/>
    <w:rsid w:val="002679A9"/>
    <w:rsid w:val="00267DAD"/>
    <w:rsid w:val="00267E45"/>
    <w:rsid w:val="00267E8C"/>
    <w:rsid w:val="00267F0E"/>
    <w:rsid w:val="002702C8"/>
    <w:rsid w:val="00270484"/>
    <w:rsid w:val="0027061F"/>
    <w:rsid w:val="002707AD"/>
    <w:rsid w:val="00270A00"/>
    <w:rsid w:val="00270B1F"/>
    <w:rsid w:val="00270BCF"/>
    <w:rsid w:val="00270DF5"/>
    <w:rsid w:val="00270E1B"/>
    <w:rsid w:val="00271090"/>
    <w:rsid w:val="002715CB"/>
    <w:rsid w:val="002715E3"/>
    <w:rsid w:val="00271A46"/>
    <w:rsid w:val="00271B30"/>
    <w:rsid w:val="00271B33"/>
    <w:rsid w:val="00271C13"/>
    <w:rsid w:val="00271C30"/>
    <w:rsid w:val="00271D6F"/>
    <w:rsid w:val="00271DD4"/>
    <w:rsid w:val="002723C8"/>
    <w:rsid w:val="002724B5"/>
    <w:rsid w:val="0027251D"/>
    <w:rsid w:val="002725F5"/>
    <w:rsid w:val="00272785"/>
    <w:rsid w:val="002727F6"/>
    <w:rsid w:val="00272807"/>
    <w:rsid w:val="0027292B"/>
    <w:rsid w:val="0027294E"/>
    <w:rsid w:val="00272B06"/>
    <w:rsid w:val="00272C81"/>
    <w:rsid w:val="00272CA8"/>
    <w:rsid w:val="00272F40"/>
    <w:rsid w:val="0027389D"/>
    <w:rsid w:val="00273FEE"/>
    <w:rsid w:val="0027406A"/>
    <w:rsid w:val="00274117"/>
    <w:rsid w:val="002741E6"/>
    <w:rsid w:val="00274267"/>
    <w:rsid w:val="00274327"/>
    <w:rsid w:val="0027432C"/>
    <w:rsid w:val="00274396"/>
    <w:rsid w:val="00274848"/>
    <w:rsid w:val="00274CA5"/>
    <w:rsid w:val="00274EA2"/>
    <w:rsid w:val="00274F5C"/>
    <w:rsid w:val="002751FA"/>
    <w:rsid w:val="002754BA"/>
    <w:rsid w:val="002755BC"/>
    <w:rsid w:val="00275625"/>
    <w:rsid w:val="00275931"/>
    <w:rsid w:val="00275A35"/>
    <w:rsid w:val="00275C21"/>
    <w:rsid w:val="00275C48"/>
    <w:rsid w:val="00275D01"/>
    <w:rsid w:val="00275DDF"/>
    <w:rsid w:val="002760B4"/>
    <w:rsid w:val="002761C5"/>
    <w:rsid w:val="002763ED"/>
    <w:rsid w:val="00276588"/>
    <w:rsid w:val="002766E3"/>
    <w:rsid w:val="002767C5"/>
    <w:rsid w:val="00276D02"/>
    <w:rsid w:val="00276E34"/>
    <w:rsid w:val="00276FD8"/>
    <w:rsid w:val="0027730C"/>
    <w:rsid w:val="00277548"/>
    <w:rsid w:val="00277602"/>
    <w:rsid w:val="00277720"/>
    <w:rsid w:val="00277782"/>
    <w:rsid w:val="002777F3"/>
    <w:rsid w:val="002779B5"/>
    <w:rsid w:val="00277A51"/>
    <w:rsid w:val="00277CA2"/>
    <w:rsid w:val="00277CE4"/>
    <w:rsid w:val="00277CF1"/>
    <w:rsid w:val="00277E8B"/>
    <w:rsid w:val="00280016"/>
    <w:rsid w:val="00280141"/>
    <w:rsid w:val="002802A3"/>
    <w:rsid w:val="0028032E"/>
    <w:rsid w:val="00280347"/>
    <w:rsid w:val="0028056C"/>
    <w:rsid w:val="00280B29"/>
    <w:rsid w:val="002811F6"/>
    <w:rsid w:val="00281408"/>
    <w:rsid w:val="00281534"/>
    <w:rsid w:val="0028162B"/>
    <w:rsid w:val="00281819"/>
    <w:rsid w:val="00281C27"/>
    <w:rsid w:val="00281E68"/>
    <w:rsid w:val="00281F14"/>
    <w:rsid w:val="00282194"/>
    <w:rsid w:val="00282381"/>
    <w:rsid w:val="0028258A"/>
    <w:rsid w:val="00282649"/>
    <w:rsid w:val="00282700"/>
    <w:rsid w:val="00282B55"/>
    <w:rsid w:val="00283591"/>
    <w:rsid w:val="00283756"/>
    <w:rsid w:val="002838D8"/>
    <w:rsid w:val="002841F4"/>
    <w:rsid w:val="00284325"/>
    <w:rsid w:val="00284AC3"/>
    <w:rsid w:val="00284AF3"/>
    <w:rsid w:val="00284DF9"/>
    <w:rsid w:val="002851B0"/>
    <w:rsid w:val="002854D7"/>
    <w:rsid w:val="002855E0"/>
    <w:rsid w:val="002858A5"/>
    <w:rsid w:val="00285A15"/>
    <w:rsid w:val="00285B90"/>
    <w:rsid w:val="00285DF9"/>
    <w:rsid w:val="00285ED7"/>
    <w:rsid w:val="00285F50"/>
    <w:rsid w:val="002860E8"/>
    <w:rsid w:val="002861CB"/>
    <w:rsid w:val="002866DF"/>
    <w:rsid w:val="0028679D"/>
    <w:rsid w:val="00286808"/>
    <w:rsid w:val="002868B3"/>
    <w:rsid w:val="00286910"/>
    <w:rsid w:val="0028691E"/>
    <w:rsid w:val="00286A20"/>
    <w:rsid w:val="00286CD5"/>
    <w:rsid w:val="00286FBB"/>
    <w:rsid w:val="002870CC"/>
    <w:rsid w:val="00287981"/>
    <w:rsid w:val="00287A32"/>
    <w:rsid w:val="00287D09"/>
    <w:rsid w:val="0029038B"/>
    <w:rsid w:val="0029063C"/>
    <w:rsid w:val="002906D1"/>
    <w:rsid w:val="002906D8"/>
    <w:rsid w:val="00290B9A"/>
    <w:rsid w:val="00290BB5"/>
    <w:rsid w:val="00290C22"/>
    <w:rsid w:val="00290EBE"/>
    <w:rsid w:val="00290F3E"/>
    <w:rsid w:val="0029103C"/>
    <w:rsid w:val="002911F4"/>
    <w:rsid w:val="00291369"/>
    <w:rsid w:val="002914A1"/>
    <w:rsid w:val="0029155C"/>
    <w:rsid w:val="0029155D"/>
    <w:rsid w:val="00291C8F"/>
    <w:rsid w:val="00291D5C"/>
    <w:rsid w:val="00291DEA"/>
    <w:rsid w:val="00291E1B"/>
    <w:rsid w:val="00291FF4"/>
    <w:rsid w:val="0029201E"/>
    <w:rsid w:val="002921A0"/>
    <w:rsid w:val="00292578"/>
    <w:rsid w:val="002925D0"/>
    <w:rsid w:val="0029277F"/>
    <w:rsid w:val="002928CC"/>
    <w:rsid w:val="00292EA1"/>
    <w:rsid w:val="002931AD"/>
    <w:rsid w:val="002932CF"/>
    <w:rsid w:val="002933D5"/>
    <w:rsid w:val="00293440"/>
    <w:rsid w:val="00293647"/>
    <w:rsid w:val="0029368E"/>
    <w:rsid w:val="00293720"/>
    <w:rsid w:val="002938E8"/>
    <w:rsid w:val="00293A87"/>
    <w:rsid w:val="00293CB3"/>
    <w:rsid w:val="00294245"/>
    <w:rsid w:val="002943F3"/>
    <w:rsid w:val="002944C6"/>
    <w:rsid w:val="002944CA"/>
    <w:rsid w:val="0029457B"/>
    <w:rsid w:val="002945E0"/>
    <w:rsid w:val="00294AFD"/>
    <w:rsid w:val="00294B6D"/>
    <w:rsid w:val="002950AC"/>
    <w:rsid w:val="0029533F"/>
    <w:rsid w:val="00295527"/>
    <w:rsid w:val="00295AD6"/>
    <w:rsid w:val="00295C86"/>
    <w:rsid w:val="00295EF7"/>
    <w:rsid w:val="00296043"/>
    <w:rsid w:val="002961C8"/>
    <w:rsid w:val="002965A0"/>
    <w:rsid w:val="002966A4"/>
    <w:rsid w:val="0029691E"/>
    <w:rsid w:val="00296AAD"/>
    <w:rsid w:val="00296EE7"/>
    <w:rsid w:val="002970B5"/>
    <w:rsid w:val="002971BE"/>
    <w:rsid w:val="002972E3"/>
    <w:rsid w:val="00297306"/>
    <w:rsid w:val="002978DA"/>
    <w:rsid w:val="002A0214"/>
    <w:rsid w:val="002A05B2"/>
    <w:rsid w:val="002A09C6"/>
    <w:rsid w:val="002A0E6A"/>
    <w:rsid w:val="002A0E97"/>
    <w:rsid w:val="002A0EBA"/>
    <w:rsid w:val="002A1316"/>
    <w:rsid w:val="002A13DB"/>
    <w:rsid w:val="002A19B1"/>
    <w:rsid w:val="002A1BA4"/>
    <w:rsid w:val="002A1BD1"/>
    <w:rsid w:val="002A1D67"/>
    <w:rsid w:val="002A22E9"/>
    <w:rsid w:val="002A23EA"/>
    <w:rsid w:val="002A257A"/>
    <w:rsid w:val="002A26DD"/>
    <w:rsid w:val="002A29B0"/>
    <w:rsid w:val="002A2AC6"/>
    <w:rsid w:val="002A2C28"/>
    <w:rsid w:val="002A2DA1"/>
    <w:rsid w:val="002A3303"/>
    <w:rsid w:val="002A3448"/>
    <w:rsid w:val="002A36AD"/>
    <w:rsid w:val="002A37B7"/>
    <w:rsid w:val="002A37FB"/>
    <w:rsid w:val="002A3B61"/>
    <w:rsid w:val="002A4019"/>
    <w:rsid w:val="002A410E"/>
    <w:rsid w:val="002A44C2"/>
    <w:rsid w:val="002A4CF0"/>
    <w:rsid w:val="002A4EEE"/>
    <w:rsid w:val="002A4FB8"/>
    <w:rsid w:val="002A529E"/>
    <w:rsid w:val="002A56B0"/>
    <w:rsid w:val="002A572C"/>
    <w:rsid w:val="002A59FE"/>
    <w:rsid w:val="002A5BE2"/>
    <w:rsid w:val="002A5C89"/>
    <w:rsid w:val="002A5D3F"/>
    <w:rsid w:val="002A5E1B"/>
    <w:rsid w:val="002A5F4B"/>
    <w:rsid w:val="002A6433"/>
    <w:rsid w:val="002A663B"/>
    <w:rsid w:val="002A67F9"/>
    <w:rsid w:val="002A688A"/>
    <w:rsid w:val="002A6AA8"/>
    <w:rsid w:val="002A6DFB"/>
    <w:rsid w:val="002A70C2"/>
    <w:rsid w:val="002A7201"/>
    <w:rsid w:val="002A72F4"/>
    <w:rsid w:val="002A7444"/>
    <w:rsid w:val="002A75BA"/>
    <w:rsid w:val="002A760B"/>
    <w:rsid w:val="002A79E5"/>
    <w:rsid w:val="002A7AC6"/>
    <w:rsid w:val="002A7D6C"/>
    <w:rsid w:val="002A7E95"/>
    <w:rsid w:val="002A7FB4"/>
    <w:rsid w:val="002A7FCA"/>
    <w:rsid w:val="002B02E9"/>
    <w:rsid w:val="002B05F5"/>
    <w:rsid w:val="002B064D"/>
    <w:rsid w:val="002B0760"/>
    <w:rsid w:val="002B0ACC"/>
    <w:rsid w:val="002B0C03"/>
    <w:rsid w:val="002B0DB7"/>
    <w:rsid w:val="002B0FBA"/>
    <w:rsid w:val="002B1009"/>
    <w:rsid w:val="002B1283"/>
    <w:rsid w:val="002B12D9"/>
    <w:rsid w:val="002B1769"/>
    <w:rsid w:val="002B17CE"/>
    <w:rsid w:val="002B1985"/>
    <w:rsid w:val="002B1E3D"/>
    <w:rsid w:val="002B21F6"/>
    <w:rsid w:val="002B2473"/>
    <w:rsid w:val="002B2502"/>
    <w:rsid w:val="002B256F"/>
    <w:rsid w:val="002B257B"/>
    <w:rsid w:val="002B26AB"/>
    <w:rsid w:val="002B276C"/>
    <w:rsid w:val="002B2DE6"/>
    <w:rsid w:val="002B2E84"/>
    <w:rsid w:val="002B31DA"/>
    <w:rsid w:val="002B3243"/>
    <w:rsid w:val="002B35A1"/>
    <w:rsid w:val="002B3625"/>
    <w:rsid w:val="002B362E"/>
    <w:rsid w:val="002B3647"/>
    <w:rsid w:val="002B3704"/>
    <w:rsid w:val="002B3984"/>
    <w:rsid w:val="002B3E1C"/>
    <w:rsid w:val="002B3E62"/>
    <w:rsid w:val="002B3F54"/>
    <w:rsid w:val="002B4352"/>
    <w:rsid w:val="002B4520"/>
    <w:rsid w:val="002B456A"/>
    <w:rsid w:val="002B47A4"/>
    <w:rsid w:val="002B48B0"/>
    <w:rsid w:val="002B4A40"/>
    <w:rsid w:val="002B4AB4"/>
    <w:rsid w:val="002B4B5D"/>
    <w:rsid w:val="002B4E21"/>
    <w:rsid w:val="002B4F58"/>
    <w:rsid w:val="002B5462"/>
    <w:rsid w:val="002B54CD"/>
    <w:rsid w:val="002B54E7"/>
    <w:rsid w:val="002B54FC"/>
    <w:rsid w:val="002B58AA"/>
    <w:rsid w:val="002B5E94"/>
    <w:rsid w:val="002B5E9D"/>
    <w:rsid w:val="002B6009"/>
    <w:rsid w:val="002B62EB"/>
    <w:rsid w:val="002B641F"/>
    <w:rsid w:val="002B647C"/>
    <w:rsid w:val="002B65AC"/>
    <w:rsid w:val="002B6695"/>
    <w:rsid w:val="002B6840"/>
    <w:rsid w:val="002B68C6"/>
    <w:rsid w:val="002B69E4"/>
    <w:rsid w:val="002B69F1"/>
    <w:rsid w:val="002B7E5F"/>
    <w:rsid w:val="002C0529"/>
    <w:rsid w:val="002C07CB"/>
    <w:rsid w:val="002C09A7"/>
    <w:rsid w:val="002C0E21"/>
    <w:rsid w:val="002C0FCB"/>
    <w:rsid w:val="002C12F7"/>
    <w:rsid w:val="002C1414"/>
    <w:rsid w:val="002C148E"/>
    <w:rsid w:val="002C1501"/>
    <w:rsid w:val="002C1ABD"/>
    <w:rsid w:val="002C1B3A"/>
    <w:rsid w:val="002C1C2F"/>
    <w:rsid w:val="002C1D68"/>
    <w:rsid w:val="002C1DFB"/>
    <w:rsid w:val="002C203F"/>
    <w:rsid w:val="002C207D"/>
    <w:rsid w:val="002C2114"/>
    <w:rsid w:val="002C2161"/>
    <w:rsid w:val="002C2163"/>
    <w:rsid w:val="002C22D1"/>
    <w:rsid w:val="002C232E"/>
    <w:rsid w:val="002C241A"/>
    <w:rsid w:val="002C2638"/>
    <w:rsid w:val="002C27E5"/>
    <w:rsid w:val="002C28DB"/>
    <w:rsid w:val="002C2925"/>
    <w:rsid w:val="002C2998"/>
    <w:rsid w:val="002C2AF3"/>
    <w:rsid w:val="002C2BE8"/>
    <w:rsid w:val="002C2C4D"/>
    <w:rsid w:val="002C3132"/>
    <w:rsid w:val="002C31C9"/>
    <w:rsid w:val="002C3212"/>
    <w:rsid w:val="002C3322"/>
    <w:rsid w:val="002C332A"/>
    <w:rsid w:val="002C3696"/>
    <w:rsid w:val="002C3883"/>
    <w:rsid w:val="002C3C3A"/>
    <w:rsid w:val="002C3CC6"/>
    <w:rsid w:val="002C3DF7"/>
    <w:rsid w:val="002C4078"/>
    <w:rsid w:val="002C40B7"/>
    <w:rsid w:val="002C43A2"/>
    <w:rsid w:val="002C4571"/>
    <w:rsid w:val="002C4785"/>
    <w:rsid w:val="002C4807"/>
    <w:rsid w:val="002C4964"/>
    <w:rsid w:val="002C4A1D"/>
    <w:rsid w:val="002C4F03"/>
    <w:rsid w:val="002C5023"/>
    <w:rsid w:val="002C505C"/>
    <w:rsid w:val="002C55BD"/>
    <w:rsid w:val="002C5693"/>
    <w:rsid w:val="002C598D"/>
    <w:rsid w:val="002C5ADC"/>
    <w:rsid w:val="002C5EDA"/>
    <w:rsid w:val="002C603E"/>
    <w:rsid w:val="002C63E7"/>
    <w:rsid w:val="002C6535"/>
    <w:rsid w:val="002C669F"/>
    <w:rsid w:val="002C671A"/>
    <w:rsid w:val="002C6780"/>
    <w:rsid w:val="002C6895"/>
    <w:rsid w:val="002C6A41"/>
    <w:rsid w:val="002C6AE5"/>
    <w:rsid w:val="002C6D92"/>
    <w:rsid w:val="002C6F6A"/>
    <w:rsid w:val="002C71EC"/>
    <w:rsid w:val="002C73C5"/>
    <w:rsid w:val="002C75EC"/>
    <w:rsid w:val="002C77CF"/>
    <w:rsid w:val="002C7A97"/>
    <w:rsid w:val="002C7AB3"/>
    <w:rsid w:val="002C7B48"/>
    <w:rsid w:val="002D0066"/>
    <w:rsid w:val="002D00DA"/>
    <w:rsid w:val="002D035F"/>
    <w:rsid w:val="002D04A8"/>
    <w:rsid w:val="002D0543"/>
    <w:rsid w:val="002D0570"/>
    <w:rsid w:val="002D06A5"/>
    <w:rsid w:val="002D0762"/>
    <w:rsid w:val="002D082E"/>
    <w:rsid w:val="002D0A98"/>
    <w:rsid w:val="002D0B14"/>
    <w:rsid w:val="002D0E2E"/>
    <w:rsid w:val="002D10EF"/>
    <w:rsid w:val="002D116D"/>
    <w:rsid w:val="002D166B"/>
    <w:rsid w:val="002D16D3"/>
    <w:rsid w:val="002D1AB3"/>
    <w:rsid w:val="002D1BFA"/>
    <w:rsid w:val="002D1D85"/>
    <w:rsid w:val="002D2139"/>
    <w:rsid w:val="002D2167"/>
    <w:rsid w:val="002D2171"/>
    <w:rsid w:val="002D2200"/>
    <w:rsid w:val="002D2335"/>
    <w:rsid w:val="002D24A4"/>
    <w:rsid w:val="002D2859"/>
    <w:rsid w:val="002D2A10"/>
    <w:rsid w:val="002D2ACC"/>
    <w:rsid w:val="002D2CD6"/>
    <w:rsid w:val="002D3073"/>
    <w:rsid w:val="002D3225"/>
    <w:rsid w:val="002D32E3"/>
    <w:rsid w:val="002D358A"/>
    <w:rsid w:val="002D3634"/>
    <w:rsid w:val="002D3C29"/>
    <w:rsid w:val="002D3CD7"/>
    <w:rsid w:val="002D3D04"/>
    <w:rsid w:val="002D4422"/>
    <w:rsid w:val="002D4462"/>
    <w:rsid w:val="002D4464"/>
    <w:rsid w:val="002D48EB"/>
    <w:rsid w:val="002D49B0"/>
    <w:rsid w:val="002D4E80"/>
    <w:rsid w:val="002D4F57"/>
    <w:rsid w:val="002D4F87"/>
    <w:rsid w:val="002D506B"/>
    <w:rsid w:val="002D50FF"/>
    <w:rsid w:val="002D5195"/>
    <w:rsid w:val="002D52E2"/>
    <w:rsid w:val="002D5498"/>
    <w:rsid w:val="002D5599"/>
    <w:rsid w:val="002D56CC"/>
    <w:rsid w:val="002D59F2"/>
    <w:rsid w:val="002D5BEB"/>
    <w:rsid w:val="002D5C8F"/>
    <w:rsid w:val="002D6051"/>
    <w:rsid w:val="002D6395"/>
    <w:rsid w:val="002D64CC"/>
    <w:rsid w:val="002D665D"/>
    <w:rsid w:val="002D6935"/>
    <w:rsid w:val="002D6D2D"/>
    <w:rsid w:val="002D6FBF"/>
    <w:rsid w:val="002D70F5"/>
    <w:rsid w:val="002D7129"/>
    <w:rsid w:val="002D71B7"/>
    <w:rsid w:val="002D738C"/>
    <w:rsid w:val="002D75FB"/>
    <w:rsid w:val="002D7A34"/>
    <w:rsid w:val="002D7AA4"/>
    <w:rsid w:val="002D7D1D"/>
    <w:rsid w:val="002D7F37"/>
    <w:rsid w:val="002E029F"/>
    <w:rsid w:val="002E02BC"/>
    <w:rsid w:val="002E0325"/>
    <w:rsid w:val="002E03C8"/>
    <w:rsid w:val="002E04D0"/>
    <w:rsid w:val="002E04E1"/>
    <w:rsid w:val="002E05F2"/>
    <w:rsid w:val="002E06C3"/>
    <w:rsid w:val="002E07B9"/>
    <w:rsid w:val="002E0863"/>
    <w:rsid w:val="002E09EE"/>
    <w:rsid w:val="002E09FC"/>
    <w:rsid w:val="002E0EC6"/>
    <w:rsid w:val="002E1128"/>
    <w:rsid w:val="002E1575"/>
    <w:rsid w:val="002E15E8"/>
    <w:rsid w:val="002E17BC"/>
    <w:rsid w:val="002E1BA5"/>
    <w:rsid w:val="002E1F11"/>
    <w:rsid w:val="002E203C"/>
    <w:rsid w:val="002E20C9"/>
    <w:rsid w:val="002E22BE"/>
    <w:rsid w:val="002E22F9"/>
    <w:rsid w:val="002E23F3"/>
    <w:rsid w:val="002E2444"/>
    <w:rsid w:val="002E2452"/>
    <w:rsid w:val="002E26CE"/>
    <w:rsid w:val="002E274D"/>
    <w:rsid w:val="002E28AA"/>
    <w:rsid w:val="002E2B63"/>
    <w:rsid w:val="002E2F80"/>
    <w:rsid w:val="002E2FBE"/>
    <w:rsid w:val="002E3054"/>
    <w:rsid w:val="002E358A"/>
    <w:rsid w:val="002E35DC"/>
    <w:rsid w:val="002E3A20"/>
    <w:rsid w:val="002E3A61"/>
    <w:rsid w:val="002E3C22"/>
    <w:rsid w:val="002E3F76"/>
    <w:rsid w:val="002E42EC"/>
    <w:rsid w:val="002E4347"/>
    <w:rsid w:val="002E4564"/>
    <w:rsid w:val="002E4630"/>
    <w:rsid w:val="002E47B1"/>
    <w:rsid w:val="002E4B2A"/>
    <w:rsid w:val="002E4B80"/>
    <w:rsid w:val="002E506E"/>
    <w:rsid w:val="002E50C9"/>
    <w:rsid w:val="002E50DD"/>
    <w:rsid w:val="002E517D"/>
    <w:rsid w:val="002E57BB"/>
    <w:rsid w:val="002E5A17"/>
    <w:rsid w:val="002E5A59"/>
    <w:rsid w:val="002E5C52"/>
    <w:rsid w:val="002E5CBD"/>
    <w:rsid w:val="002E5CD6"/>
    <w:rsid w:val="002E5D61"/>
    <w:rsid w:val="002E5F6C"/>
    <w:rsid w:val="002E63EE"/>
    <w:rsid w:val="002E65BE"/>
    <w:rsid w:val="002E68D1"/>
    <w:rsid w:val="002E6964"/>
    <w:rsid w:val="002E69A9"/>
    <w:rsid w:val="002E6D68"/>
    <w:rsid w:val="002E706C"/>
    <w:rsid w:val="002E744B"/>
    <w:rsid w:val="002E74BC"/>
    <w:rsid w:val="002E7591"/>
    <w:rsid w:val="002E76D3"/>
    <w:rsid w:val="002E7BA3"/>
    <w:rsid w:val="002E7CC8"/>
    <w:rsid w:val="002E7EDE"/>
    <w:rsid w:val="002F00A2"/>
    <w:rsid w:val="002F02D3"/>
    <w:rsid w:val="002F0342"/>
    <w:rsid w:val="002F041E"/>
    <w:rsid w:val="002F0465"/>
    <w:rsid w:val="002F0811"/>
    <w:rsid w:val="002F08C1"/>
    <w:rsid w:val="002F08E6"/>
    <w:rsid w:val="002F0BE1"/>
    <w:rsid w:val="002F0D23"/>
    <w:rsid w:val="002F0DF5"/>
    <w:rsid w:val="002F0E7C"/>
    <w:rsid w:val="002F0FC5"/>
    <w:rsid w:val="002F1188"/>
    <w:rsid w:val="002F11FA"/>
    <w:rsid w:val="002F1270"/>
    <w:rsid w:val="002F127E"/>
    <w:rsid w:val="002F12C4"/>
    <w:rsid w:val="002F14C6"/>
    <w:rsid w:val="002F1568"/>
    <w:rsid w:val="002F176C"/>
    <w:rsid w:val="002F1B37"/>
    <w:rsid w:val="002F1C67"/>
    <w:rsid w:val="002F1D13"/>
    <w:rsid w:val="002F1DF0"/>
    <w:rsid w:val="002F1FAF"/>
    <w:rsid w:val="002F1FD2"/>
    <w:rsid w:val="002F23F9"/>
    <w:rsid w:val="002F2523"/>
    <w:rsid w:val="002F26C8"/>
    <w:rsid w:val="002F270C"/>
    <w:rsid w:val="002F2782"/>
    <w:rsid w:val="002F28C0"/>
    <w:rsid w:val="002F2C7B"/>
    <w:rsid w:val="002F2D50"/>
    <w:rsid w:val="002F3262"/>
    <w:rsid w:val="002F33A3"/>
    <w:rsid w:val="002F33EF"/>
    <w:rsid w:val="002F38B2"/>
    <w:rsid w:val="002F3976"/>
    <w:rsid w:val="002F3A34"/>
    <w:rsid w:val="002F3A83"/>
    <w:rsid w:val="002F3EAC"/>
    <w:rsid w:val="002F4241"/>
    <w:rsid w:val="002F46DE"/>
    <w:rsid w:val="002F4768"/>
    <w:rsid w:val="002F485D"/>
    <w:rsid w:val="002F4A07"/>
    <w:rsid w:val="002F5386"/>
    <w:rsid w:val="002F573A"/>
    <w:rsid w:val="002F575D"/>
    <w:rsid w:val="002F582C"/>
    <w:rsid w:val="002F59CB"/>
    <w:rsid w:val="002F5C0D"/>
    <w:rsid w:val="002F5EA8"/>
    <w:rsid w:val="002F5EAF"/>
    <w:rsid w:val="002F6023"/>
    <w:rsid w:val="002F64AE"/>
    <w:rsid w:val="002F64C9"/>
    <w:rsid w:val="002F6735"/>
    <w:rsid w:val="002F6B83"/>
    <w:rsid w:val="002F6BF3"/>
    <w:rsid w:val="002F6F61"/>
    <w:rsid w:val="002F7005"/>
    <w:rsid w:val="002F71BE"/>
    <w:rsid w:val="002F71BF"/>
    <w:rsid w:val="002F7A2D"/>
    <w:rsid w:val="002F7F33"/>
    <w:rsid w:val="00300104"/>
    <w:rsid w:val="003002F7"/>
    <w:rsid w:val="003003FC"/>
    <w:rsid w:val="00300747"/>
    <w:rsid w:val="00300BCD"/>
    <w:rsid w:val="00300E2D"/>
    <w:rsid w:val="003012CC"/>
    <w:rsid w:val="003014C5"/>
    <w:rsid w:val="003016E7"/>
    <w:rsid w:val="003018D9"/>
    <w:rsid w:val="0030195D"/>
    <w:rsid w:val="00301E2E"/>
    <w:rsid w:val="00302068"/>
    <w:rsid w:val="0030207B"/>
    <w:rsid w:val="00302312"/>
    <w:rsid w:val="00303078"/>
    <w:rsid w:val="003032E8"/>
    <w:rsid w:val="003033D7"/>
    <w:rsid w:val="003035D0"/>
    <w:rsid w:val="003038BC"/>
    <w:rsid w:val="00303984"/>
    <w:rsid w:val="00303B9F"/>
    <w:rsid w:val="00303CE4"/>
    <w:rsid w:val="00303E27"/>
    <w:rsid w:val="00303E7F"/>
    <w:rsid w:val="00303F31"/>
    <w:rsid w:val="00303FF8"/>
    <w:rsid w:val="003044E5"/>
    <w:rsid w:val="0030481A"/>
    <w:rsid w:val="00304D2B"/>
    <w:rsid w:val="00304D68"/>
    <w:rsid w:val="00304DB2"/>
    <w:rsid w:val="00304DDD"/>
    <w:rsid w:val="00304FE5"/>
    <w:rsid w:val="0030506B"/>
    <w:rsid w:val="00305094"/>
    <w:rsid w:val="003050F7"/>
    <w:rsid w:val="003052A9"/>
    <w:rsid w:val="0030539E"/>
    <w:rsid w:val="00305582"/>
    <w:rsid w:val="003057A1"/>
    <w:rsid w:val="003059A7"/>
    <w:rsid w:val="00305F0B"/>
    <w:rsid w:val="0030612B"/>
    <w:rsid w:val="00306231"/>
    <w:rsid w:val="003067A4"/>
    <w:rsid w:val="003068B7"/>
    <w:rsid w:val="00306952"/>
    <w:rsid w:val="00306CAA"/>
    <w:rsid w:val="00306DAC"/>
    <w:rsid w:val="003070F8"/>
    <w:rsid w:val="00307278"/>
    <w:rsid w:val="003073A3"/>
    <w:rsid w:val="00307427"/>
    <w:rsid w:val="00307582"/>
    <w:rsid w:val="003075EA"/>
    <w:rsid w:val="00307762"/>
    <w:rsid w:val="00307C51"/>
    <w:rsid w:val="00307C89"/>
    <w:rsid w:val="00310176"/>
    <w:rsid w:val="00310219"/>
    <w:rsid w:val="00310581"/>
    <w:rsid w:val="00310E4A"/>
    <w:rsid w:val="00310EC0"/>
    <w:rsid w:val="0031104F"/>
    <w:rsid w:val="00311265"/>
    <w:rsid w:val="0031149E"/>
    <w:rsid w:val="003116F7"/>
    <w:rsid w:val="003117C6"/>
    <w:rsid w:val="0031180E"/>
    <w:rsid w:val="00311917"/>
    <w:rsid w:val="00311C24"/>
    <w:rsid w:val="00312150"/>
    <w:rsid w:val="00312225"/>
    <w:rsid w:val="0031233C"/>
    <w:rsid w:val="00312635"/>
    <w:rsid w:val="0031275B"/>
    <w:rsid w:val="003127F2"/>
    <w:rsid w:val="003128FA"/>
    <w:rsid w:val="00312C02"/>
    <w:rsid w:val="00312CAD"/>
    <w:rsid w:val="00312CD4"/>
    <w:rsid w:val="00312E9C"/>
    <w:rsid w:val="00312EF2"/>
    <w:rsid w:val="00312F10"/>
    <w:rsid w:val="00312FD0"/>
    <w:rsid w:val="00313196"/>
    <w:rsid w:val="003133A7"/>
    <w:rsid w:val="003135EB"/>
    <w:rsid w:val="00313A29"/>
    <w:rsid w:val="00313C07"/>
    <w:rsid w:val="00313D3A"/>
    <w:rsid w:val="00314212"/>
    <w:rsid w:val="0031424D"/>
    <w:rsid w:val="0031428A"/>
    <w:rsid w:val="003145F0"/>
    <w:rsid w:val="0031463C"/>
    <w:rsid w:val="003146E5"/>
    <w:rsid w:val="00314855"/>
    <w:rsid w:val="003149C4"/>
    <w:rsid w:val="00314A3D"/>
    <w:rsid w:val="00314C03"/>
    <w:rsid w:val="0031516F"/>
    <w:rsid w:val="0031548B"/>
    <w:rsid w:val="003154C4"/>
    <w:rsid w:val="00315592"/>
    <w:rsid w:val="003157BF"/>
    <w:rsid w:val="0031588E"/>
    <w:rsid w:val="00315C15"/>
    <w:rsid w:val="00315D8D"/>
    <w:rsid w:val="00316228"/>
    <w:rsid w:val="00316301"/>
    <w:rsid w:val="0031635A"/>
    <w:rsid w:val="003163A6"/>
    <w:rsid w:val="003163C0"/>
    <w:rsid w:val="003164D3"/>
    <w:rsid w:val="003168F6"/>
    <w:rsid w:val="00316C3C"/>
    <w:rsid w:val="00316CE8"/>
    <w:rsid w:val="00317272"/>
    <w:rsid w:val="003173B2"/>
    <w:rsid w:val="0031747F"/>
    <w:rsid w:val="00317576"/>
    <w:rsid w:val="00317A63"/>
    <w:rsid w:val="00317B99"/>
    <w:rsid w:val="00317CFD"/>
    <w:rsid w:val="00317F51"/>
    <w:rsid w:val="003200B8"/>
    <w:rsid w:val="0032012A"/>
    <w:rsid w:val="00320397"/>
    <w:rsid w:val="00320430"/>
    <w:rsid w:val="00320452"/>
    <w:rsid w:val="003209ED"/>
    <w:rsid w:val="00320A74"/>
    <w:rsid w:val="00320BB2"/>
    <w:rsid w:val="00320BD2"/>
    <w:rsid w:val="00320CD5"/>
    <w:rsid w:val="00320CF3"/>
    <w:rsid w:val="0032130F"/>
    <w:rsid w:val="00321341"/>
    <w:rsid w:val="0032198C"/>
    <w:rsid w:val="00321BE7"/>
    <w:rsid w:val="00321C69"/>
    <w:rsid w:val="00321ED0"/>
    <w:rsid w:val="003222C6"/>
    <w:rsid w:val="003227C4"/>
    <w:rsid w:val="00322830"/>
    <w:rsid w:val="00322A53"/>
    <w:rsid w:val="00322AC8"/>
    <w:rsid w:val="00322D81"/>
    <w:rsid w:val="00322FFB"/>
    <w:rsid w:val="00323312"/>
    <w:rsid w:val="0032334B"/>
    <w:rsid w:val="00323455"/>
    <w:rsid w:val="0032348D"/>
    <w:rsid w:val="003234B6"/>
    <w:rsid w:val="003234BF"/>
    <w:rsid w:val="003236B6"/>
    <w:rsid w:val="00323961"/>
    <w:rsid w:val="00323B59"/>
    <w:rsid w:val="003240E4"/>
    <w:rsid w:val="003241A0"/>
    <w:rsid w:val="00324310"/>
    <w:rsid w:val="003243C4"/>
    <w:rsid w:val="003243FD"/>
    <w:rsid w:val="003245FC"/>
    <w:rsid w:val="00324626"/>
    <w:rsid w:val="00324644"/>
    <w:rsid w:val="00324662"/>
    <w:rsid w:val="0032468E"/>
    <w:rsid w:val="00324962"/>
    <w:rsid w:val="00324B36"/>
    <w:rsid w:val="00324E80"/>
    <w:rsid w:val="00324EBE"/>
    <w:rsid w:val="00324F53"/>
    <w:rsid w:val="00325008"/>
    <w:rsid w:val="00325041"/>
    <w:rsid w:val="00325170"/>
    <w:rsid w:val="003252DF"/>
    <w:rsid w:val="00325503"/>
    <w:rsid w:val="00325CB8"/>
    <w:rsid w:val="00325F63"/>
    <w:rsid w:val="00326048"/>
    <w:rsid w:val="00326051"/>
    <w:rsid w:val="00326173"/>
    <w:rsid w:val="00326579"/>
    <w:rsid w:val="00326ACA"/>
    <w:rsid w:val="00326AF6"/>
    <w:rsid w:val="00326D6C"/>
    <w:rsid w:val="00326EBE"/>
    <w:rsid w:val="0032706A"/>
    <w:rsid w:val="00327179"/>
    <w:rsid w:val="0032729F"/>
    <w:rsid w:val="0032739C"/>
    <w:rsid w:val="0032748B"/>
    <w:rsid w:val="003276E1"/>
    <w:rsid w:val="00327CCB"/>
    <w:rsid w:val="00327D63"/>
    <w:rsid w:val="00330081"/>
    <w:rsid w:val="003300D3"/>
    <w:rsid w:val="00330663"/>
    <w:rsid w:val="00330B50"/>
    <w:rsid w:val="00330E7D"/>
    <w:rsid w:val="00331344"/>
    <w:rsid w:val="003313BF"/>
    <w:rsid w:val="0033141F"/>
    <w:rsid w:val="0033165F"/>
    <w:rsid w:val="003318D0"/>
    <w:rsid w:val="00331E49"/>
    <w:rsid w:val="00331F69"/>
    <w:rsid w:val="003320BB"/>
    <w:rsid w:val="003320E5"/>
    <w:rsid w:val="0033219F"/>
    <w:rsid w:val="003321AC"/>
    <w:rsid w:val="00332475"/>
    <w:rsid w:val="003325E1"/>
    <w:rsid w:val="003326CF"/>
    <w:rsid w:val="0033275E"/>
    <w:rsid w:val="00332EA8"/>
    <w:rsid w:val="00333013"/>
    <w:rsid w:val="00333318"/>
    <w:rsid w:val="00333405"/>
    <w:rsid w:val="0033363D"/>
    <w:rsid w:val="00333B47"/>
    <w:rsid w:val="003344D1"/>
    <w:rsid w:val="00334517"/>
    <w:rsid w:val="003347D0"/>
    <w:rsid w:val="003348DD"/>
    <w:rsid w:val="00334EC1"/>
    <w:rsid w:val="00335008"/>
    <w:rsid w:val="00335079"/>
    <w:rsid w:val="0033520C"/>
    <w:rsid w:val="00335228"/>
    <w:rsid w:val="0033523D"/>
    <w:rsid w:val="003355EF"/>
    <w:rsid w:val="0033564A"/>
    <w:rsid w:val="003358C2"/>
    <w:rsid w:val="00335A50"/>
    <w:rsid w:val="00335AC7"/>
    <w:rsid w:val="00336091"/>
    <w:rsid w:val="0033620A"/>
    <w:rsid w:val="0033636E"/>
    <w:rsid w:val="0033649A"/>
    <w:rsid w:val="00336553"/>
    <w:rsid w:val="0033665A"/>
    <w:rsid w:val="00336707"/>
    <w:rsid w:val="003369D4"/>
    <w:rsid w:val="00336AC9"/>
    <w:rsid w:val="00336ACC"/>
    <w:rsid w:val="0033704C"/>
    <w:rsid w:val="00337720"/>
    <w:rsid w:val="00337879"/>
    <w:rsid w:val="00337B79"/>
    <w:rsid w:val="00337F63"/>
    <w:rsid w:val="0034015B"/>
    <w:rsid w:val="003401CF"/>
    <w:rsid w:val="003402CC"/>
    <w:rsid w:val="003408A2"/>
    <w:rsid w:val="00340A6E"/>
    <w:rsid w:val="00340AAD"/>
    <w:rsid w:val="00340D65"/>
    <w:rsid w:val="00340E68"/>
    <w:rsid w:val="0034133D"/>
    <w:rsid w:val="003416FD"/>
    <w:rsid w:val="00341A91"/>
    <w:rsid w:val="00341BEB"/>
    <w:rsid w:val="00341E22"/>
    <w:rsid w:val="00341F93"/>
    <w:rsid w:val="003424F0"/>
    <w:rsid w:val="003425F5"/>
    <w:rsid w:val="003426A3"/>
    <w:rsid w:val="003427F4"/>
    <w:rsid w:val="0034285A"/>
    <w:rsid w:val="0034291C"/>
    <w:rsid w:val="00342C1A"/>
    <w:rsid w:val="00342EF9"/>
    <w:rsid w:val="00343117"/>
    <w:rsid w:val="003435B1"/>
    <w:rsid w:val="003435D6"/>
    <w:rsid w:val="003438B9"/>
    <w:rsid w:val="00343E28"/>
    <w:rsid w:val="00343E7F"/>
    <w:rsid w:val="00343F45"/>
    <w:rsid w:val="0034434A"/>
    <w:rsid w:val="00344469"/>
    <w:rsid w:val="00344746"/>
    <w:rsid w:val="003447B3"/>
    <w:rsid w:val="00344833"/>
    <w:rsid w:val="00344904"/>
    <w:rsid w:val="003449B3"/>
    <w:rsid w:val="00344B97"/>
    <w:rsid w:val="00344BE0"/>
    <w:rsid w:val="00344CBD"/>
    <w:rsid w:val="00344F42"/>
    <w:rsid w:val="003450FB"/>
    <w:rsid w:val="0034519C"/>
    <w:rsid w:val="00345866"/>
    <w:rsid w:val="00345913"/>
    <w:rsid w:val="00345950"/>
    <w:rsid w:val="00345CA0"/>
    <w:rsid w:val="00345E40"/>
    <w:rsid w:val="00345E45"/>
    <w:rsid w:val="0034604E"/>
    <w:rsid w:val="0034630A"/>
    <w:rsid w:val="003464A3"/>
    <w:rsid w:val="00346A3D"/>
    <w:rsid w:val="00346B22"/>
    <w:rsid w:val="00346BD5"/>
    <w:rsid w:val="00346EA9"/>
    <w:rsid w:val="00346F7F"/>
    <w:rsid w:val="00347261"/>
    <w:rsid w:val="0034741E"/>
    <w:rsid w:val="0034761F"/>
    <w:rsid w:val="003478F9"/>
    <w:rsid w:val="0034796B"/>
    <w:rsid w:val="00347AD8"/>
    <w:rsid w:val="00347BC5"/>
    <w:rsid w:val="00350162"/>
    <w:rsid w:val="003502E0"/>
    <w:rsid w:val="00350597"/>
    <w:rsid w:val="003505CA"/>
    <w:rsid w:val="00350826"/>
    <w:rsid w:val="003509C7"/>
    <w:rsid w:val="003509CB"/>
    <w:rsid w:val="00350D43"/>
    <w:rsid w:val="003516F7"/>
    <w:rsid w:val="003518CE"/>
    <w:rsid w:val="003519F1"/>
    <w:rsid w:val="00351D59"/>
    <w:rsid w:val="00351ECA"/>
    <w:rsid w:val="00351F01"/>
    <w:rsid w:val="00351F34"/>
    <w:rsid w:val="003521AF"/>
    <w:rsid w:val="00352268"/>
    <w:rsid w:val="00352ABA"/>
    <w:rsid w:val="00352ABD"/>
    <w:rsid w:val="00352BC2"/>
    <w:rsid w:val="003535AE"/>
    <w:rsid w:val="00353BAF"/>
    <w:rsid w:val="00353BD1"/>
    <w:rsid w:val="00353F32"/>
    <w:rsid w:val="003541BE"/>
    <w:rsid w:val="003544DC"/>
    <w:rsid w:val="00354D73"/>
    <w:rsid w:val="0035514E"/>
    <w:rsid w:val="00355163"/>
    <w:rsid w:val="00355524"/>
    <w:rsid w:val="00355E3E"/>
    <w:rsid w:val="00355F53"/>
    <w:rsid w:val="003560F3"/>
    <w:rsid w:val="00356457"/>
    <w:rsid w:val="00356498"/>
    <w:rsid w:val="00356621"/>
    <w:rsid w:val="003569FA"/>
    <w:rsid w:val="00356B46"/>
    <w:rsid w:val="00356B69"/>
    <w:rsid w:val="00356EE6"/>
    <w:rsid w:val="00356EEC"/>
    <w:rsid w:val="00356FE1"/>
    <w:rsid w:val="0035725B"/>
    <w:rsid w:val="0035726C"/>
    <w:rsid w:val="00357523"/>
    <w:rsid w:val="00357999"/>
    <w:rsid w:val="00357A7C"/>
    <w:rsid w:val="00357BAD"/>
    <w:rsid w:val="00357BB2"/>
    <w:rsid w:val="00357C06"/>
    <w:rsid w:val="00357C7E"/>
    <w:rsid w:val="00357DDF"/>
    <w:rsid w:val="00357EE8"/>
    <w:rsid w:val="003600FA"/>
    <w:rsid w:val="0036068D"/>
    <w:rsid w:val="003606B4"/>
    <w:rsid w:val="0036077E"/>
    <w:rsid w:val="003607CE"/>
    <w:rsid w:val="0036090C"/>
    <w:rsid w:val="00360AD9"/>
    <w:rsid w:val="00361060"/>
    <w:rsid w:val="003610F8"/>
    <w:rsid w:val="00361115"/>
    <w:rsid w:val="00361239"/>
    <w:rsid w:val="0036140F"/>
    <w:rsid w:val="00361BB4"/>
    <w:rsid w:val="00361C3B"/>
    <w:rsid w:val="00361D70"/>
    <w:rsid w:val="00361DE4"/>
    <w:rsid w:val="003620A7"/>
    <w:rsid w:val="0036229D"/>
    <w:rsid w:val="00362554"/>
    <w:rsid w:val="003625B6"/>
    <w:rsid w:val="00362682"/>
    <w:rsid w:val="0036323F"/>
    <w:rsid w:val="00363329"/>
    <w:rsid w:val="003634F9"/>
    <w:rsid w:val="0036358B"/>
    <w:rsid w:val="003636C0"/>
    <w:rsid w:val="003638D7"/>
    <w:rsid w:val="003639DC"/>
    <w:rsid w:val="00363D26"/>
    <w:rsid w:val="00363F0B"/>
    <w:rsid w:val="00363F5A"/>
    <w:rsid w:val="0036416B"/>
    <w:rsid w:val="003644F5"/>
    <w:rsid w:val="0036457F"/>
    <w:rsid w:val="0036474B"/>
    <w:rsid w:val="003647C4"/>
    <w:rsid w:val="00364D2F"/>
    <w:rsid w:val="003653C2"/>
    <w:rsid w:val="0036545D"/>
    <w:rsid w:val="0036548A"/>
    <w:rsid w:val="0036553A"/>
    <w:rsid w:val="0036555B"/>
    <w:rsid w:val="0036556F"/>
    <w:rsid w:val="003655C6"/>
    <w:rsid w:val="00365656"/>
    <w:rsid w:val="00365679"/>
    <w:rsid w:val="003658E6"/>
    <w:rsid w:val="003659DD"/>
    <w:rsid w:val="00365A41"/>
    <w:rsid w:val="00365BE5"/>
    <w:rsid w:val="00365CCE"/>
    <w:rsid w:val="00365D37"/>
    <w:rsid w:val="00365DD2"/>
    <w:rsid w:val="00365FF0"/>
    <w:rsid w:val="003660B6"/>
    <w:rsid w:val="0036613A"/>
    <w:rsid w:val="00366294"/>
    <w:rsid w:val="0036645B"/>
    <w:rsid w:val="0036662E"/>
    <w:rsid w:val="00366808"/>
    <w:rsid w:val="003669A4"/>
    <w:rsid w:val="00366CEB"/>
    <w:rsid w:val="00366F30"/>
    <w:rsid w:val="00366FFC"/>
    <w:rsid w:val="00367A17"/>
    <w:rsid w:val="00367C2D"/>
    <w:rsid w:val="00367EA3"/>
    <w:rsid w:val="0037037A"/>
    <w:rsid w:val="003703B4"/>
    <w:rsid w:val="003703EB"/>
    <w:rsid w:val="00370659"/>
    <w:rsid w:val="00370A46"/>
    <w:rsid w:val="00370B27"/>
    <w:rsid w:val="00370D7C"/>
    <w:rsid w:val="00370D9C"/>
    <w:rsid w:val="00370E2F"/>
    <w:rsid w:val="00370E96"/>
    <w:rsid w:val="003710BA"/>
    <w:rsid w:val="00371133"/>
    <w:rsid w:val="0037188B"/>
    <w:rsid w:val="0037198A"/>
    <w:rsid w:val="00371A62"/>
    <w:rsid w:val="00371B1F"/>
    <w:rsid w:val="00371BDF"/>
    <w:rsid w:val="00371C07"/>
    <w:rsid w:val="00371C6F"/>
    <w:rsid w:val="00371D6E"/>
    <w:rsid w:val="00371E42"/>
    <w:rsid w:val="003720B8"/>
    <w:rsid w:val="0037245B"/>
    <w:rsid w:val="003726D9"/>
    <w:rsid w:val="00372B76"/>
    <w:rsid w:val="00372B9C"/>
    <w:rsid w:val="00372C05"/>
    <w:rsid w:val="00372D48"/>
    <w:rsid w:val="00372F4A"/>
    <w:rsid w:val="003730A1"/>
    <w:rsid w:val="0037318B"/>
    <w:rsid w:val="003732F6"/>
    <w:rsid w:val="00373692"/>
    <w:rsid w:val="003738BE"/>
    <w:rsid w:val="00373B68"/>
    <w:rsid w:val="00373BD3"/>
    <w:rsid w:val="00373CDE"/>
    <w:rsid w:val="00373D46"/>
    <w:rsid w:val="00373D7C"/>
    <w:rsid w:val="00373EE8"/>
    <w:rsid w:val="0037419F"/>
    <w:rsid w:val="0037474F"/>
    <w:rsid w:val="003747D0"/>
    <w:rsid w:val="00374879"/>
    <w:rsid w:val="003749C9"/>
    <w:rsid w:val="00374ECE"/>
    <w:rsid w:val="00374F4C"/>
    <w:rsid w:val="00374FAD"/>
    <w:rsid w:val="00375023"/>
    <w:rsid w:val="00375521"/>
    <w:rsid w:val="003758C4"/>
    <w:rsid w:val="00375ACF"/>
    <w:rsid w:val="00376045"/>
    <w:rsid w:val="003766A8"/>
    <w:rsid w:val="0037689F"/>
    <w:rsid w:val="00376A18"/>
    <w:rsid w:val="00376A1E"/>
    <w:rsid w:val="00376DAE"/>
    <w:rsid w:val="00376F10"/>
    <w:rsid w:val="00376F47"/>
    <w:rsid w:val="00377198"/>
    <w:rsid w:val="003772CB"/>
    <w:rsid w:val="003772CC"/>
    <w:rsid w:val="00377360"/>
    <w:rsid w:val="00377372"/>
    <w:rsid w:val="003774D8"/>
    <w:rsid w:val="003775C9"/>
    <w:rsid w:val="00377A63"/>
    <w:rsid w:val="00377A94"/>
    <w:rsid w:val="00380031"/>
    <w:rsid w:val="00380136"/>
    <w:rsid w:val="0038029D"/>
    <w:rsid w:val="003804F2"/>
    <w:rsid w:val="00380D6D"/>
    <w:rsid w:val="00380DDD"/>
    <w:rsid w:val="00380EAF"/>
    <w:rsid w:val="00381243"/>
    <w:rsid w:val="003814BA"/>
    <w:rsid w:val="0038151B"/>
    <w:rsid w:val="003815B9"/>
    <w:rsid w:val="00381672"/>
    <w:rsid w:val="00381A26"/>
    <w:rsid w:val="00381D00"/>
    <w:rsid w:val="00381FCD"/>
    <w:rsid w:val="00382B5E"/>
    <w:rsid w:val="00382B8B"/>
    <w:rsid w:val="00382CC7"/>
    <w:rsid w:val="00382CCA"/>
    <w:rsid w:val="00382EA1"/>
    <w:rsid w:val="00382F93"/>
    <w:rsid w:val="0038306D"/>
    <w:rsid w:val="003830EF"/>
    <w:rsid w:val="003831EE"/>
    <w:rsid w:val="0038325D"/>
    <w:rsid w:val="003835FF"/>
    <w:rsid w:val="003836C8"/>
    <w:rsid w:val="00383710"/>
    <w:rsid w:val="0038394D"/>
    <w:rsid w:val="00383EA1"/>
    <w:rsid w:val="00383ED8"/>
    <w:rsid w:val="00383F0A"/>
    <w:rsid w:val="00383F49"/>
    <w:rsid w:val="00384148"/>
    <w:rsid w:val="00384242"/>
    <w:rsid w:val="0038443E"/>
    <w:rsid w:val="0038464F"/>
    <w:rsid w:val="00384670"/>
    <w:rsid w:val="0038494D"/>
    <w:rsid w:val="00384956"/>
    <w:rsid w:val="00384BDE"/>
    <w:rsid w:val="00384C64"/>
    <w:rsid w:val="00385367"/>
    <w:rsid w:val="003855E6"/>
    <w:rsid w:val="00385989"/>
    <w:rsid w:val="00385E02"/>
    <w:rsid w:val="00386077"/>
    <w:rsid w:val="00386356"/>
    <w:rsid w:val="00386450"/>
    <w:rsid w:val="003865CE"/>
    <w:rsid w:val="003865D7"/>
    <w:rsid w:val="003868AC"/>
    <w:rsid w:val="00386BFD"/>
    <w:rsid w:val="00386C94"/>
    <w:rsid w:val="00386DC8"/>
    <w:rsid w:val="00386EBD"/>
    <w:rsid w:val="00386F2D"/>
    <w:rsid w:val="0038745F"/>
    <w:rsid w:val="003877A8"/>
    <w:rsid w:val="00387B7E"/>
    <w:rsid w:val="00387F09"/>
    <w:rsid w:val="00387FD9"/>
    <w:rsid w:val="00390046"/>
    <w:rsid w:val="0039009B"/>
    <w:rsid w:val="0039009E"/>
    <w:rsid w:val="00390274"/>
    <w:rsid w:val="003905BA"/>
    <w:rsid w:val="00390613"/>
    <w:rsid w:val="003908F2"/>
    <w:rsid w:val="003908FB"/>
    <w:rsid w:val="00390C2D"/>
    <w:rsid w:val="00390E68"/>
    <w:rsid w:val="003915CC"/>
    <w:rsid w:val="003915DC"/>
    <w:rsid w:val="00391A13"/>
    <w:rsid w:val="00391AA0"/>
    <w:rsid w:val="00391AC3"/>
    <w:rsid w:val="00391BBE"/>
    <w:rsid w:val="00391D01"/>
    <w:rsid w:val="00392212"/>
    <w:rsid w:val="0039253B"/>
    <w:rsid w:val="003925FB"/>
    <w:rsid w:val="003928CE"/>
    <w:rsid w:val="003928DF"/>
    <w:rsid w:val="00392935"/>
    <w:rsid w:val="00392DF9"/>
    <w:rsid w:val="00392E47"/>
    <w:rsid w:val="00392E53"/>
    <w:rsid w:val="003932AE"/>
    <w:rsid w:val="003934A8"/>
    <w:rsid w:val="00393BBC"/>
    <w:rsid w:val="00393BE3"/>
    <w:rsid w:val="00393C6C"/>
    <w:rsid w:val="00393D04"/>
    <w:rsid w:val="00393D39"/>
    <w:rsid w:val="00393EAD"/>
    <w:rsid w:val="0039465B"/>
    <w:rsid w:val="003949AE"/>
    <w:rsid w:val="00394F46"/>
    <w:rsid w:val="003950BA"/>
    <w:rsid w:val="0039520A"/>
    <w:rsid w:val="003952B8"/>
    <w:rsid w:val="003952BE"/>
    <w:rsid w:val="00395613"/>
    <w:rsid w:val="003956D0"/>
    <w:rsid w:val="0039574A"/>
    <w:rsid w:val="0039578A"/>
    <w:rsid w:val="003957A7"/>
    <w:rsid w:val="003961BE"/>
    <w:rsid w:val="003964A6"/>
    <w:rsid w:val="00396705"/>
    <w:rsid w:val="003967D2"/>
    <w:rsid w:val="0039689B"/>
    <w:rsid w:val="00396991"/>
    <w:rsid w:val="00396BAC"/>
    <w:rsid w:val="00396C3B"/>
    <w:rsid w:val="00396C5E"/>
    <w:rsid w:val="00397115"/>
    <w:rsid w:val="00397284"/>
    <w:rsid w:val="003974A0"/>
    <w:rsid w:val="00397C5F"/>
    <w:rsid w:val="00397CFE"/>
    <w:rsid w:val="00397DEC"/>
    <w:rsid w:val="003A01EA"/>
    <w:rsid w:val="003A02BC"/>
    <w:rsid w:val="003A039C"/>
    <w:rsid w:val="003A03E9"/>
    <w:rsid w:val="003A0435"/>
    <w:rsid w:val="003A0833"/>
    <w:rsid w:val="003A0C71"/>
    <w:rsid w:val="003A0E76"/>
    <w:rsid w:val="003A1015"/>
    <w:rsid w:val="003A113D"/>
    <w:rsid w:val="003A11CE"/>
    <w:rsid w:val="003A1587"/>
    <w:rsid w:val="003A18F1"/>
    <w:rsid w:val="003A2136"/>
    <w:rsid w:val="003A2220"/>
    <w:rsid w:val="003A2589"/>
    <w:rsid w:val="003A2980"/>
    <w:rsid w:val="003A299D"/>
    <w:rsid w:val="003A2A52"/>
    <w:rsid w:val="003A2B5A"/>
    <w:rsid w:val="003A3167"/>
    <w:rsid w:val="003A32B0"/>
    <w:rsid w:val="003A32ED"/>
    <w:rsid w:val="003A341E"/>
    <w:rsid w:val="003A3497"/>
    <w:rsid w:val="003A3B2E"/>
    <w:rsid w:val="003A3BE4"/>
    <w:rsid w:val="003A3FB3"/>
    <w:rsid w:val="003A40F4"/>
    <w:rsid w:val="003A4228"/>
    <w:rsid w:val="003A4274"/>
    <w:rsid w:val="003A42E8"/>
    <w:rsid w:val="003A4678"/>
    <w:rsid w:val="003A46A4"/>
    <w:rsid w:val="003A46E3"/>
    <w:rsid w:val="003A4A49"/>
    <w:rsid w:val="003A4E53"/>
    <w:rsid w:val="003A4F53"/>
    <w:rsid w:val="003A5403"/>
    <w:rsid w:val="003A5488"/>
    <w:rsid w:val="003A5B2D"/>
    <w:rsid w:val="003A5C1B"/>
    <w:rsid w:val="003A5EA3"/>
    <w:rsid w:val="003A625F"/>
    <w:rsid w:val="003A636D"/>
    <w:rsid w:val="003A64B8"/>
    <w:rsid w:val="003A64FE"/>
    <w:rsid w:val="003A65C5"/>
    <w:rsid w:val="003A661A"/>
    <w:rsid w:val="003A66D6"/>
    <w:rsid w:val="003A6764"/>
    <w:rsid w:val="003A67EA"/>
    <w:rsid w:val="003A6FE4"/>
    <w:rsid w:val="003A7088"/>
    <w:rsid w:val="003A71AC"/>
    <w:rsid w:val="003A7294"/>
    <w:rsid w:val="003A761B"/>
    <w:rsid w:val="003A76A2"/>
    <w:rsid w:val="003A79F8"/>
    <w:rsid w:val="003A7D60"/>
    <w:rsid w:val="003A7E8D"/>
    <w:rsid w:val="003A7FCC"/>
    <w:rsid w:val="003B0015"/>
    <w:rsid w:val="003B0554"/>
    <w:rsid w:val="003B075F"/>
    <w:rsid w:val="003B0ADD"/>
    <w:rsid w:val="003B0C99"/>
    <w:rsid w:val="003B0E82"/>
    <w:rsid w:val="003B11F8"/>
    <w:rsid w:val="003B1327"/>
    <w:rsid w:val="003B1406"/>
    <w:rsid w:val="003B146E"/>
    <w:rsid w:val="003B1504"/>
    <w:rsid w:val="003B164D"/>
    <w:rsid w:val="003B1733"/>
    <w:rsid w:val="003B1931"/>
    <w:rsid w:val="003B1DC9"/>
    <w:rsid w:val="003B1E63"/>
    <w:rsid w:val="003B2203"/>
    <w:rsid w:val="003B2334"/>
    <w:rsid w:val="003B254F"/>
    <w:rsid w:val="003B27A9"/>
    <w:rsid w:val="003B2A00"/>
    <w:rsid w:val="003B2A88"/>
    <w:rsid w:val="003B2D76"/>
    <w:rsid w:val="003B2E9E"/>
    <w:rsid w:val="003B2F86"/>
    <w:rsid w:val="003B31CB"/>
    <w:rsid w:val="003B31DA"/>
    <w:rsid w:val="003B3396"/>
    <w:rsid w:val="003B35C1"/>
    <w:rsid w:val="003B36D1"/>
    <w:rsid w:val="003B3A97"/>
    <w:rsid w:val="003B3AC0"/>
    <w:rsid w:val="003B4290"/>
    <w:rsid w:val="003B42BB"/>
    <w:rsid w:val="003B4677"/>
    <w:rsid w:val="003B47BD"/>
    <w:rsid w:val="003B47C1"/>
    <w:rsid w:val="003B4AE4"/>
    <w:rsid w:val="003B4C58"/>
    <w:rsid w:val="003B4DF9"/>
    <w:rsid w:val="003B52E1"/>
    <w:rsid w:val="003B5351"/>
    <w:rsid w:val="003B5750"/>
    <w:rsid w:val="003B5791"/>
    <w:rsid w:val="003B5B83"/>
    <w:rsid w:val="003B5E6F"/>
    <w:rsid w:val="003B5F03"/>
    <w:rsid w:val="003B6045"/>
    <w:rsid w:val="003B6248"/>
    <w:rsid w:val="003B6434"/>
    <w:rsid w:val="003B676A"/>
    <w:rsid w:val="003B67EA"/>
    <w:rsid w:val="003B68AD"/>
    <w:rsid w:val="003B6BF5"/>
    <w:rsid w:val="003B6BFF"/>
    <w:rsid w:val="003B6DA8"/>
    <w:rsid w:val="003B71FC"/>
    <w:rsid w:val="003B72BD"/>
    <w:rsid w:val="003B730E"/>
    <w:rsid w:val="003B7389"/>
    <w:rsid w:val="003B74F2"/>
    <w:rsid w:val="003B75AC"/>
    <w:rsid w:val="003B794B"/>
    <w:rsid w:val="003B7BD0"/>
    <w:rsid w:val="003B7E83"/>
    <w:rsid w:val="003C0231"/>
    <w:rsid w:val="003C0669"/>
    <w:rsid w:val="003C06A8"/>
    <w:rsid w:val="003C0798"/>
    <w:rsid w:val="003C0B55"/>
    <w:rsid w:val="003C0BF1"/>
    <w:rsid w:val="003C0E6E"/>
    <w:rsid w:val="003C0E74"/>
    <w:rsid w:val="003C0EE7"/>
    <w:rsid w:val="003C0EEF"/>
    <w:rsid w:val="003C1008"/>
    <w:rsid w:val="003C10F4"/>
    <w:rsid w:val="003C12C0"/>
    <w:rsid w:val="003C159D"/>
    <w:rsid w:val="003C15F0"/>
    <w:rsid w:val="003C1B01"/>
    <w:rsid w:val="003C1BD8"/>
    <w:rsid w:val="003C1D97"/>
    <w:rsid w:val="003C1DDC"/>
    <w:rsid w:val="003C1DE4"/>
    <w:rsid w:val="003C2075"/>
    <w:rsid w:val="003C21FD"/>
    <w:rsid w:val="003C2221"/>
    <w:rsid w:val="003C22D4"/>
    <w:rsid w:val="003C27B4"/>
    <w:rsid w:val="003C2DF3"/>
    <w:rsid w:val="003C2EB8"/>
    <w:rsid w:val="003C3575"/>
    <w:rsid w:val="003C3935"/>
    <w:rsid w:val="003C3D4B"/>
    <w:rsid w:val="003C3E16"/>
    <w:rsid w:val="003C3E62"/>
    <w:rsid w:val="003C3EA6"/>
    <w:rsid w:val="003C40F0"/>
    <w:rsid w:val="003C4229"/>
    <w:rsid w:val="003C46E4"/>
    <w:rsid w:val="003C4EF9"/>
    <w:rsid w:val="003C5081"/>
    <w:rsid w:val="003C50B6"/>
    <w:rsid w:val="003C5383"/>
    <w:rsid w:val="003C53AE"/>
    <w:rsid w:val="003C583E"/>
    <w:rsid w:val="003C5DF5"/>
    <w:rsid w:val="003C5F77"/>
    <w:rsid w:val="003C60EC"/>
    <w:rsid w:val="003C6B55"/>
    <w:rsid w:val="003C6D3C"/>
    <w:rsid w:val="003C7040"/>
    <w:rsid w:val="003C7137"/>
    <w:rsid w:val="003C7465"/>
    <w:rsid w:val="003C753E"/>
    <w:rsid w:val="003C769A"/>
    <w:rsid w:val="003C76A0"/>
    <w:rsid w:val="003C77B9"/>
    <w:rsid w:val="003C79FB"/>
    <w:rsid w:val="003C7AE4"/>
    <w:rsid w:val="003C7D2E"/>
    <w:rsid w:val="003C7E0F"/>
    <w:rsid w:val="003D02ED"/>
    <w:rsid w:val="003D0494"/>
    <w:rsid w:val="003D0582"/>
    <w:rsid w:val="003D0796"/>
    <w:rsid w:val="003D0894"/>
    <w:rsid w:val="003D0921"/>
    <w:rsid w:val="003D094C"/>
    <w:rsid w:val="003D09A9"/>
    <w:rsid w:val="003D0BEC"/>
    <w:rsid w:val="003D0BF0"/>
    <w:rsid w:val="003D0E12"/>
    <w:rsid w:val="003D0E69"/>
    <w:rsid w:val="003D0EB4"/>
    <w:rsid w:val="003D11D7"/>
    <w:rsid w:val="003D12BF"/>
    <w:rsid w:val="003D169D"/>
    <w:rsid w:val="003D19DC"/>
    <w:rsid w:val="003D1B02"/>
    <w:rsid w:val="003D1FAD"/>
    <w:rsid w:val="003D2025"/>
    <w:rsid w:val="003D2806"/>
    <w:rsid w:val="003D2E26"/>
    <w:rsid w:val="003D2F10"/>
    <w:rsid w:val="003D3162"/>
    <w:rsid w:val="003D31B4"/>
    <w:rsid w:val="003D327F"/>
    <w:rsid w:val="003D33CA"/>
    <w:rsid w:val="003D3592"/>
    <w:rsid w:val="003D35F7"/>
    <w:rsid w:val="003D36F8"/>
    <w:rsid w:val="003D3AC2"/>
    <w:rsid w:val="003D3B0A"/>
    <w:rsid w:val="003D3CC9"/>
    <w:rsid w:val="003D3D29"/>
    <w:rsid w:val="003D3E0B"/>
    <w:rsid w:val="003D41AC"/>
    <w:rsid w:val="003D4410"/>
    <w:rsid w:val="003D4550"/>
    <w:rsid w:val="003D4A0C"/>
    <w:rsid w:val="003D4ABB"/>
    <w:rsid w:val="003D4B08"/>
    <w:rsid w:val="003D4CC6"/>
    <w:rsid w:val="003D4E55"/>
    <w:rsid w:val="003D5165"/>
    <w:rsid w:val="003D51E7"/>
    <w:rsid w:val="003D56CA"/>
    <w:rsid w:val="003D5A49"/>
    <w:rsid w:val="003D5B66"/>
    <w:rsid w:val="003D5C38"/>
    <w:rsid w:val="003D5D2C"/>
    <w:rsid w:val="003D5D67"/>
    <w:rsid w:val="003D60BA"/>
    <w:rsid w:val="003D645C"/>
    <w:rsid w:val="003D646B"/>
    <w:rsid w:val="003D6609"/>
    <w:rsid w:val="003D6C12"/>
    <w:rsid w:val="003D6C3D"/>
    <w:rsid w:val="003D6D9D"/>
    <w:rsid w:val="003D6F1A"/>
    <w:rsid w:val="003D71A2"/>
    <w:rsid w:val="003D71FE"/>
    <w:rsid w:val="003D722D"/>
    <w:rsid w:val="003D7580"/>
    <w:rsid w:val="003D7723"/>
    <w:rsid w:val="003D775A"/>
    <w:rsid w:val="003D7CCD"/>
    <w:rsid w:val="003D7D2C"/>
    <w:rsid w:val="003D7F54"/>
    <w:rsid w:val="003E014A"/>
    <w:rsid w:val="003E038F"/>
    <w:rsid w:val="003E04DB"/>
    <w:rsid w:val="003E0507"/>
    <w:rsid w:val="003E07CA"/>
    <w:rsid w:val="003E0A4F"/>
    <w:rsid w:val="003E0C4E"/>
    <w:rsid w:val="003E0F1E"/>
    <w:rsid w:val="003E11CB"/>
    <w:rsid w:val="003E1317"/>
    <w:rsid w:val="003E1529"/>
    <w:rsid w:val="003E18D1"/>
    <w:rsid w:val="003E1EDB"/>
    <w:rsid w:val="003E243F"/>
    <w:rsid w:val="003E25CA"/>
    <w:rsid w:val="003E26C8"/>
    <w:rsid w:val="003E26E7"/>
    <w:rsid w:val="003E2729"/>
    <w:rsid w:val="003E2922"/>
    <w:rsid w:val="003E29E3"/>
    <w:rsid w:val="003E2A99"/>
    <w:rsid w:val="003E2DB4"/>
    <w:rsid w:val="003E314F"/>
    <w:rsid w:val="003E3578"/>
    <w:rsid w:val="003E3A5F"/>
    <w:rsid w:val="003E3AF1"/>
    <w:rsid w:val="003E3BC2"/>
    <w:rsid w:val="003E3E04"/>
    <w:rsid w:val="003E4091"/>
    <w:rsid w:val="003E41B9"/>
    <w:rsid w:val="003E4238"/>
    <w:rsid w:val="003E42D1"/>
    <w:rsid w:val="003E448F"/>
    <w:rsid w:val="003E45C9"/>
    <w:rsid w:val="003E47D8"/>
    <w:rsid w:val="003E4A96"/>
    <w:rsid w:val="003E4C73"/>
    <w:rsid w:val="003E4D55"/>
    <w:rsid w:val="003E5095"/>
    <w:rsid w:val="003E5302"/>
    <w:rsid w:val="003E53A5"/>
    <w:rsid w:val="003E53FF"/>
    <w:rsid w:val="003E57CB"/>
    <w:rsid w:val="003E5848"/>
    <w:rsid w:val="003E59B9"/>
    <w:rsid w:val="003E5B0F"/>
    <w:rsid w:val="003E5B1D"/>
    <w:rsid w:val="003E5B94"/>
    <w:rsid w:val="003E5FA3"/>
    <w:rsid w:val="003E6306"/>
    <w:rsid w:val="003E63A0"/>
    <w:rsid w:val="003E63E2"/>
    <w:rsid w:val="003E6414"/>
    <w:rsid w:val="003E6758"/>
    <w:rsid w:val="003E6DBA"/>
    <w:rsid w:val="003E71DE"/>
    <w:rsid w:val="003E7342"/>
    <w:rsid w:val="003E745C"/>
    <w:rsid w:val="003E74FF"/>
    <w:rsid w:val="003E77CF"/>
    <w:rsid w:val="003E7825"/>
    <w:rsid w:val="003E7ACA"/>
    <w:rsid w:val="003E7BF5"/>
    <w:rsid w:val="003F00A8"/>
    <w:rsid w:val="003F00F9"/>
    <w:rsid w:val="003F01A4"/>
    <w:rsid w:val="003F0295"/>
    <w:rsid w:val="003F02AD"/>
    <w:rsid w:val="003F05A9"/>
    <w:rsid w:val="003F08EC"/>
    <w:rsid w:val="003F098E"/>
    <w:rsid w:val="003F0D62"/>
    <w:rsid w:val="003F0DAD"/>
    <w:rsid w:val="003F0F2D"/>
    <w:rsid w:val="003F1101"/>
    <w:rsid w:val="003F142B"/>
    <w:rsid w:val="003F1553"/>
    <w:rsid w:val="003F19BC"/>
    <w:rsid w:val="003F209E"/>
    <w:rsid w:val="003F20CA"/>
    <w:rsid w:val="003F248E"/>
    <w:rsid w:val="003F262D"/>
    <w:rsid w:val="003F2713"/>
    <w:rsid w:val="003F27A4"/>
    <w:rsid w:val="003F2CCB"/>
    <w:rsid w:val="003F2D25"/>
    <w:rsid w:val="003F2F20"/>
    <w:rsid w:val="003F2FAB"/>
    <w:rsid w:val="003F30C4"/>
    <w:rsid w:val="003F32E4"/>
    <w:rsid w:val="003F3310"/>
    <w:rsid w:val="003F35AF"/>
    <w:rsid w:val="003F37BF"/>
    <w:rsid w:val="003F3942"/>
    <w:rsid w:val="003F39F3"/>
    <w:rsid w:val="003F3AE7"/>
    <w:rsid w:val="003F3C46"/>
    <w:rsid w:val="003F4218"/>
    <w:rsid w:val="003F4440"/>
    <w:rsid w:val="003F46A6"/>
    <w:rsid w:val="003F46AA"/>
    <w:rsid w:val="003F48CD"/>
    <w:rsid w:val="003F4A45"/>
    <w:rsid w:val="003F4BAE"/>
    <w:rsid w:val="003F5003"/>
    <w:rsid w:val="003F5048"/>
    <w:rsid w:val="003F55CD"/>
    <w:rsid w:val="003F58F4"/>
    <w:rsid w:val="003F5963"/>
    <w:rsid w:val="003F5D19"/>
    <w:rsid w:val="003F5EEA"/>
    <w:rsid w:val="003F6E7D"/>
    <w:rsid w:val="003F705D"/>
    <w:rsid w:val="003F7269"/>
    <w:rsid w:val="003F764A"/>
    <w:rsid w:val="003F768A"/>
    <w:rsid w:val="003F7722"/>
    <w:rsid w:val="003F7AE0"/>
    <w:rsid w:val="00400148"/>
    <w:rsid w:val="004003DE"/>
    <w:rsid w:val="00400888"/>
    <w:rsid w:val="004008F5"/>
    <w:rsid w:val="004009DC"/>
    <w:rsid w:val="00400A10"/>
    <w:rsid w:val="00400B33"/>
    <w:rsid w:val="00400D59"/>
    <w:rsid w:val="004017DE"/>
    <w:rsid w:val="00401B96"/>
    <w:rsid w:val="00401DA6"/>
    <w:rsid w:val="00401DD0"/>
    <w:rsid w:val="00401F97"/>
    <w:rsid w:val="004021B1"/>
    <w:rsid w:val="004022D0"/>
    <w:rsid w:val="0040231C"/>
    <w:rsid w:val="00402618"/>
    <w:rsid w:val="00402905"/>
    <w:rsid w:val="00402A42"/>
    <w:rsid w:val="00402A4F"/>
    <w:rsid w:val="00402D88"/>
    <w:rsid w:val="00402E6E"/>
    <w:rsid w:val="00402FD7"/>
    <w:rsid w:val="0040308D"/>
    <w:rsid w:val="004035C3"/>
    <w:rsid w:val="004035DC"/>
    <w:rsid w:val="0040373F"/>
    <w:rsid w:val="0040397E"/>
    <w:rsid w:val="00403C0B"/>
    <w:rsid w:val="00403DC9"/>
    <w:rsid w:val="004044A7"/>
    <w:rsid w:val="00404A39"/>
    <w:rsid w:val="00404A9C"/>
    <w:rsid w:val="00404C79"/>
    <w:rsid w:val="00405137"/>
    <w:rsid w:val="00405707"/>
    <w:rsid w:val="0040571D"/>
    <w:rsid w:val="004058C1"/>
    <w:rsid w:val="00405C70"/>
    <w:rsid w:val="00405C89"/>
    <w:rsid w:val="00405D26"/>
    <w:rsid w:val="00405DED"/>
    <w:rsid w:val="00405F70"/>
    <w:rsid w:val="0040626F"/>
    <w:rsid w:val="00406627"/>
    <w:rsid w:val="004068D1"/>
    <w:rsid w:val="00406A8E"/>
    <w:rsid w:val="00406AEA"/>
    <w:rsid w:val="00406AFD"/>
    <w:rsid w:val="00407144"/>
    <w:rsid w:val="0040734D"/>
    <w:rsid w:val="00407B96"/>
    <w:rsid w:val="00407E86"/>
    <w:rsid w:val="00407E9A"/>
    <w:rsid w:val="004103A4"/>
    <w:rsid w:val="0041048A"/>
    <w:rsid w:val="004108A7"/>
    <w:rsid w:val="004109EC"/>
    <w:rsid w:val="00410A1A"/>
    <w:rsid w:val="00410AD2"/>
    <w:rsid w:val="00410BD3"/>
    <w:rsid w:val="00410DDF"/>
    <w:rsid w:val="00410F1F"/>
    <w:rsid w:val="004111FA"/>
    <w:rsid w:val="004112B7"/>
    <w:rsid w:val="0041150C"/>
    <w:rsid w:val="004117FF"/>
    <w:rsid w:val="00411E5C"/>
    <w:rsid w:val="004123C4"/>
    <w:rsid w:val="00412434"/>
    <w:rsid w:val="004125BC"/>
    <w:rsid w:val="0041264D"/>
    <w:rsid w:val="004127FD"/>
    <w:rsid w:val="0041287E"/>
    <w:rsid w:val="00412C47"/>
    <w:rsid w:val="00412C65"/>
    <w:rsid w:val="00412DBA"/>
    <w:rsid w:val="00412E69"/>
    <w:rsid w:val="004134BB"/>
    <w:rsid w:val="0041360D"/>
    <w:rsid w:val="004137F3"/>
    <w:rsid w:val="0041385A"/>
    <w:rsid w:val="004138C5"/>
    <w:rsid w:val="004138DA"/>
    <w:rsid w:val="00413CB5"/>
    <w:rsid w:val="00413E0E"/>
    <w:rsid w:val="00413ED1"/>
    <w:rsid w:val="00413EE0"/>
    <w:rsid w:val="0041409F"/>
    <w:rsid w:val="0041425A"/>
    <w:rsid w:val="00414DC6"/>
    <w:rsid w:val="0041543C"/>
    <w:rsid w:val="00415715"/>
    <w:rsid w:val="0041574F"/>
    <w:rsid w:val="0041592F"/>
    <w:rsid w:val="00415AC4"/>
    <w:rsid w:val="00415ADD"/>
    <w:rsid w:val="00415EA0"/>
    <w:rsid w:val="00415F50"/>
    <w:rsid w:val="00415F79"/>
    <w:rsid w:val="00416258"/>
    <w:rsid w:val="00416389"/>
    <w:rsid w:val="00416420"/>
    <w:rsid w:val="00416521"/>
    <w:rsid w:val="00416844"/>
    <w:rsid w:val="00416A08"/>
    <w:rsid w:val="00416BF0"/>
    <w:rsid w:val="00416E38"/>
    <w:rsid w:val="00416EA9"/>
    <w:rsid w:val="00416EB4"/>
    <w:rsid w:val="00416FD9"/>
    <w:rsid w:val="004170F7"/>
    <w:rsid w:val="00417290"/>
    <w:rsid w:val="004172D2"/>
    <w:rsid w:val="004175BD"/>
    <w:rsid w:val="004175D3"/>
    <w:rsid w:val="0041770C"/>
    <w:rsid w:val="004179DC"/>
    <w:rsid w:val="00417BC8"/>
    <w:rsid w:val="00417C8B"/>
    <w:rsid w:val="00417D9F"/>
    <w:rsid w:val="00417E84"/>
    <w:rsid w:val="00420067"/>
    <w:rsid w:val="0042013C"/>
    <w:rsid w:val="004201E4"/>
    <w:rsid w:val="004203AD"/>
    <w:rsid w:val="004206AD"/>
    <w:rsid w:val="00420796"/>
    <w:rsid w:val="00420B2C"/>
    <w:rsid w:val="00420E3E"/>
    <w:rsid w:val="00421428"/>
    <w:rsid w:val="004214C3"/>
    <w:rsid w:val="004215BA"/>
    <w:rsid w:val="0042160D"/>
    <w:rsid w:val="00421752"/>
    <w:rsid w:val="00421BDA"/>
    <w:rsid w:val="00421BFB"/>
    <w:rsid w:val="00421D29"/>
    <w:rsid w:val="00421E0F"/>
    <w:rsid w:val="00422323"/>
    <w:rsid w:val="0042254A"/>
    <w:rsid w:val="00422C58"/>
    <w:rsid w:val="00422D00"/>
    <w:rsid w:val="00422DB9"/>
    <w:rsid w:val="00422F22"/>
    <w:rsid w:val="0042306E"/>
    <w:rsid w:val="004231B1"/>
    <w:rsid w:val="00423A27"/>
    <w:rsid w:val="00423C80"/>
    <w:rsid w:val="00423E98"/>
    <w:rsid w:val="0042404A"/>
    <w:rsid w:val="00424089"/>
    <w:rsid w:val="004240D5"/>
    <w:rsid w:val="00424321"/>
    <w:rsid w:val="004245E2"/>
    <w:rsid w:val="00424724"/>
    <w:rsid w:val="00424AE7"/>
    <w:rsid w:val="004253BB"/>
    <w:rsid w:val="004253E0"/>
    <w:rsid w:val="00425655"/>
    <w:rsid w:val="00425A6F"/>
    <w:rsid w:val="00425B3F"/>
    <w:rsid w:val="00425B61"/>
    <w:rsid w:val="00425BA1"/>
    <w:rsid w:val="00425BBF"/>
    <w:rsid w:val="00425C8F"/>
    <w:rsid w:val="00425D2E"/>
    <w:rsid w:val="00425E05"/>
    <w:rsid w:val="00425FDD"/>
    <w:rsid w:val="0042610F"/>
    <w:rsid w:val="004264D6"/>
    <w:rsid w:val="004266CC"/>
    <w:rsid w:val="004266D7"/>
    <w:rsid w:val="00426AC4"/>
    <w:rsid w:val="00426D8D"/>
    <w:rsid w:val="00426E5D"/>
    <w:rsid w:val="004271DA"/>
    <w:rsid w:val="0042752C"/>
    <w:rsid w:val="004275D9"/>
    <w:rsid w:val="00427603"/>
    <w:rsid w:val="004276DB"/>
    <w:rsid w:val="00427835"/>
    <w:rsid w:val="00427928"/>
    <w:rsid w:val="00427AAF"/>
    <w:rsid w:val="00427C85"/>
    <w:rsid w:val="00427E9D"/>
    <w:rsid w:val="004300BF"/>
    <w:rsid w:val="004302A0"/>
    <w:rsid w:val="00430307"/>
    <w:rsid w:val="004306B6"/>
    <w:rsid w:val="00430704"/>
    <w:rsid w:val="004309A8"/>
    <w:rsid w:val="00430C92"/>
    <w:rsid w:val="004310E9"/>
    <w:rsid w:val="00431292"/>
    <w:rsid w:val="0043148C"/>
    <w:rsid w:val="004319AA"/>
    <w:rsid w:val="004319C2"/>
    <w:rsid w:val="00431E36"/>
    <w:rsid w:val="00432009"/>
    <w:rsid w:val="0043220C"/>
    <w:rsid w:val="00432489"/>
    <w:rsid w:val="004324D4"/>
    <w:rsid w:val="00432656"/>
    <w:rsid w:val="00432671"/>
    <w:rsid w:val="00432BCE"/>
    <w:rsid w:val="00432BF4"/>
    <w:rsid w:val="00432E7C"/>
    <w:rsid w:val="00433110"/>
    <w:rsid w:val="0043330C"/>
    <w:rsid w:val="0043334D"/>
    <w:rsid w:val="004338AF"/>
    <w:rsid w:val="00433B53"/>
    <w:rsid w:val="00433BE1"/>
    <w:rsid w:val="00433CC0"/>
    <w:rsid w:val="00433E6E"/>
    <w:rsid w:val="00433FE7"/>
    <w:rsid w:val="004341A5"/>
    <w:rsid w:val="00434380"/>
    <w:rsid w:val="00434559"/>
    <w:rsid w:val="004346A1"/>
    <w:rsid w:val="00434899"/>
    <w:rsid w:val="00435126"/>
    <w:rsid w:val="0043534A"/>
    <w:rsid w:val="004353B6"/>
    <w:rsid w:val="00435769"/>
    <w:rsid w:val="0043620A"/>
    <w:rsid w:val="0043655B"/>
    <w:rsid w:val="004365F1"/>
    <w:rsid w:val="004368BB"/>
    <w:rsid w:val="00436BE7"/>
    <w:rsid w:val="00436E05"/>
    <w:rsid w:val="00436EB5"/>
    <w:rsid w:val="00436F6D"/>
    <w:rsid w:val="00436FA2"/>
    <w:rsid w:val="00437155"/>
    <w:rsid w:val="0043716A"/>
    <w:rsid w:val="00437211"/>
    <w:rsid w:val="0043721F"/>
    <w:rsid w:val="00437A43"/>
    <w:rsid w:val="00437AED"/>
    <w:rsid w:val="00437B45"/>
    <w:rsid w:val="00437B83"/>
    <w:rsid w:val="00440273"/>
    <w:rsid w:val="00440422"/>
    <w:rsid w:val="0044055F"/>
    <w:rsid w:val="004406DA"/>
    <w:rsid w:val="00440AC3"/>
    <w:rsid w:val="0044110C"/>
    <w:rsid w:val="0044111E"/>
    <w:rsid w:val="004412CF"/>
    <w:rsid w:val="004419F1"/>
    <w:rsid w:val="00441C2D"/>
    <w:rsid w:val="00441F49"/>
    <w:rsid w:val="00442157"/>
    <w:rsid w:val="0044299C"/>
    <w:rsid w:val="004429A9"/>
    <w:rsid w:val="0044318F"/>
    <w:rsid w:val="0044327D"/>
    <w:rsid w:val="004434B1"/>
    <w:rsid w:val="004434B6"/>
    <w:rsid w:val="004434D2"/>
    <w:rsid w:val="004434FF"/>
    <w:rsid w:val="0044351A"/>
    <w:rsid w:val="0044377D"/>
    <w:rsid w:val="004438AF"/>
    <w:rsid w:val="00443E31"/>
    <w:rsid w:val="00443E69"/>
    <w:rsid w:val="004442A7"/>
    <w:rsid w:val="004442DA"/>
    <w:rsid w:val="00444411"/>
    <w:rsid w:val="00444537"/>
    <w:rsid w:val="004447DD"/>
    <w:rsid w:val="00444A60"/>
    <w:rsid w:val="00444A98"/>
    <w:rsid w:val="00444B6B"/>
    <w:rsid w:val="00444CF1"/>
    <w:rsid w:val="00444FF6"/>
    <w:rsid w:val="0044505E"/>
    <w:rsid w:val="0044507A"/>
    <w:rsid w:val="00445296"/>
    <w:rsid w:val="004452F4"/>
    <w:rsid w:val="0044558F"/>
    <w:rsid w:val="004455C6"/>
    <w:rsid w:val="00445603"/>
    <w:rsid w:val="004456C4"/>
    <w:rsid w:val="004457FA"/>
    <w:rsid w:val="00445A1C"/>
    <w:rsid w:val="00445ACB"/>
    <w:rsid w:val="00445DFD"/>
    <w:rsid w:val="00445F4B"/>
    <w:rsid w:val="004461D9"/>
    <w:rsid w:val="004464D5"/>
    <w:rsid w:val="004464E9"/>
    <w:rsid w:val="00446697"/>
    <w:rsid w:val="00446755"/>
    <w:rsid w:val="004467F1"/>
    <w:rsid w:val="00446A78"/>
    <w:rsid w:val="00446C6D"/>
    <w:rsid w:val="00446E5C"/>
    <w:rsid w:val="00446EA2"/>
    <w:rsid w:val="00446FAE"/>
    <w:rsid w:val="00447117"/>
    <w:rsid w:val="004471F7"/>
    <w:rsid w:val="0044744F"/>
    <w:rsid w:val="00447ACE"/>
    <w:rsid w:val="00447BD4"/>
    <w:rsid w:val="00447D43"/>
    <w:rsid w:val="00447E18"/>
    <w:rsid w:val="00447EE2"/>
    <w:rsid w:val="00447FC0"/>
    <w:rsid w:val="004501E0"/>
    <w:rsid w:val="004507E9"/>
    <w:rsid w:val="00450B07"/>
    <w:rsid w:val="00450EA1"/>
    <w:rsid w:val="00450F42"/>
    <w:rsid w:val="004511ED"/>
    <w:rsid w:val="004513E5"/>
    <w:rsid w:val="00451981"/>
    <w:rsid w:val="00451B2F"/>
    <w:rsid w:val="00451B95"/>
    <w:rsid w:val="00451E04"/>
    <w:rsid w:val="00451EBD"/>
    <w:rsid w:val="00452405"/>
    <w:rsid w:val="00452862"/>
    <w:rsid w:val="00452A9E"/>
    <w:rsid w:val="00452C12"/>
    <w:rsid w:val="00452E63"/>
    <w:rsid w:val="00452F46"/>
    <w:rsid w:val="00452F67"/>
    <w:rsid w:val="0045358D"/>
    <w:rsid w:val="0045369B"/>
    <w:rsid w:val="00453AAB"/>
    <w:rsid w:val="00453E9B"/>
    <w:rsid w:val="004541C9"/>
    <w:rsid w:val="00454259"/>
    <w:rsid w:val="0045428C"/>
    <w:rsid w:val="004545B5"/>
    <w:rsid w:val="00454890"/>
    <w:rsid w:val="004548D7"/>
    <w:rsid w:val="00454DEB"/>
    <w:rsid w:val="00454DF5"/>
    <w:rsid w:val="0045514C"/>
    <w:rsid w:val="00455337"/>
    <w:rsid w:val="004553D8"/>
    <w:rsid w:val="0045547C"/>
    <w:rsid w:val="00455550"/>
    <w:rsid w:val="004557E8"/>
    <w:rsid w:val="00455B43"/>
    <w:rsid w:val="00455CCB"/>
    <w:rsid w:val="00455D3E"/>
    <w:rsid w:val="00456032"/>
    <w:rsid w:val="004561FB"/>
    <w:rsid w:val="004566F7"/>
    <w:rsid w:val="00456B3B"/>
    <w:rsid w:val="00456BBD"/>
    <w:rsid w:val="00456C10"/>
    <w:rsid w:val="00456C73"/>
    <w:rsid w:val="00456F9A"/>
    <w:rsid w:val="00457015"/>
    <w:rsid w:val="004570D1"/>
    <w:rsid w:val="004572C9"/>
    <w:rsid w:val="004573F8"/>
    <w:rsid w:val="0045768E"/>
    <w:rsid w:val="0045789F"/>
    <w:rsid w:val="00457E7A"/>
    <w:rsid w:val="00460027"/>
    <w:rsid w:val="00460073"/>
    <w:rsid w:val="00460224"/>
    <w:rsid w:val="004602CF"/>
    <w:rsid w:val="004604D1"/>
    <w:rsid w:val="004606DD"/>
    <w:rsid w:val="004607D6"/>
    <w:rsid w:val="004607FC"/>
    <w:rsid w:val="004609F7"/>
    <w:rsid w:val="00460A56"/>
    <w:rsid w:val="00460A7A"/>
    <w:rsid w:val="00460AA9"/>
    <w:rsid w:val="00460B68"/>
    <w:rsid w:val="00460BD6"/>
    <w:rsid w:val="00460C09"/>
    <w:rsid w:val="00460C3C"/>
    <w:rsid w:val="00460DF2"/>
    <w:rsid w:val="00460FE9"/>
    <w:rsid w:val="0046104B"/>
    <w:rsid w:val="00461081"/>
    <w:rsid w:val="004610C4"/>
    <w:rsid w:val="004614B5"/>
    <w:rsid w:val="00461545"/>
    <w:rsid w:val="004617A4"/>
    <w:rsid w:val="00461A8C"/>
    <w:rsid w:val="00461ACA"/>
    <w:rsid w:val="00461B5C"/>
    <w:rsid w:val="00461CA6"/>
    <w:rsid w:val="00461D7B"/>
    <w:rsid w:val="00461F8F"/>
    <w:rsid w:val="004620EB"/>
    <w:rsid w:val="00462630"/>
    <w:rsid w:val="00462673"/>
    <w:rsid w:val="0046272E"/>
    <w:rsid w:val="004627D1"/>
    <w:rsid w:val="00462E0F"/>
    <w:rsid w:val="00462E8D"/>
    <w:rsid w:val="00462FE5"/>
    <w:rsid w:val="004630CF"/>
    <w:rsid w:val="00463186"/>
    <w:rsid w:val="0046370F"/>
    <w:rsid w:val="00463B96"/>
    <w:rsid w:val="004642A3"/>
    <w:rsid w:val="004649B2"/>
    <w:rsid w:val="00464A5B"/>
    <w:rsid w:val="00464A7A"/>
    <w:rsid w:val="00464AF5"/>
    <w:rsid w:val="0046550C"/>
    <w:rsid w:val="00465510"/>
    <w:rsid w:val="00465AD6"/>
    <w:rsid w:val="00465BDF"/>
    <w:rsid w:val="00465D36"/>
    <w:rsid w:val="00466011"/>
    <w:rsid w:val="00466031"/>
    <w:rsid w:val="004660EF"/>
    <w:rsid w:val="004661FE"/>
    <w:rsid w:val="0046708A"/>
    <w:rsid w:val="00467249"/>
    <w:rsid w:val="00467302"/>
    <w:rsid w:val="004674C6"/>
    <w:rsid w:val="0046774E"/>
    <w:rsid w:val="004677D0"/>
    <w:rsid w:val="00467A6E"/>
    <w:rsid w:val="0047034B"/>
    <w:rsid w:val="004703DE"/>
    <w:rsid w:val="0047047D"/>
    <w:rsid w:val="0047052D"/>
    <w:rsid w:val="00470E27"/>
    <w:rsid w:val="00470F8F"/>
    <w:rsid w:val="00471080"/>
    <w:rsid w:val="00471126"/>
    <w:rsid w:val="00471295"/>
    <w:rsid w:val="00471632"/>
    <w:rsid w:val="00471943"/>
    <w:rsid w:val="004719B8"/>
    <w:rsid w:val="00471B23"/>
    <w:rsid w:val="00471E6F"/>
    <w:rsid w:val="00471EBD"/>
    <w:rsid w:val="00472091"/>
    <w:rsid w:val="00472112"/>
    <w:rsid w:val="0047225F"/>
    <w:rsid w:val="0047262F"/>
    <w:rsid w:val="0047294F"/>
    <w:rsid w:val="00472D35"/>
    <w:rsid w:val="00472F76"/>
    <w:rsid w:val="0047303E"/>
    <w:rsid w:val="004737B7"/>
    <w:rsid w:val="00473934"/>
    <w:rsid w:val="00473A77"/>
    <w:rsid w:val="00473B11"/>
    <w:rsid w:val="0047457F"/>
    <w:rsid w:val="0047481D"/>
    <w:rsid w:val="00474907"/>
    <w:rsid w:val="0047490C"/>
    <w:rsid w:val="00474C14"/>
    <w:rsid w:val="00474E09"/>
    <w:rsid w:val="00474F46"/>
    <w:rsid w:val="00475040"/>
    <w:rsid w:val="00475075"/>
    <w:rsid w:val="004751F2"/>
    <w:rsid w:val="00475351"/>
    <w:rsid w:val="004754F7"/>
    <w:rsid w:val="004755CA"/>
    <w:rsid w:val="00475CD5"/>
    <w:rsid w:val="00475D29"/>
    <w:rsid w:val="00475DB2"/>
    <w:rsid w:val="00475E2F"/>
    <w:rsid w:val="00475F17"/>
    <w:rsid w:val="004760D6"/>
    <w:rsid w:val="004760DD"/>
    <w:rsid w:val="00476167"/>
    <w:rsid w:val="004765A5"/>
    <w:rsid w:val="004766D6"/>
    <w:rsid w:val="00476735"/>
    <w:rsid w:val="0047682C"/>
    <w:rsid w:val="00476A9F"/>
    <w:rsid w:val="00476AE1"/>
    <w:rsid w:val="00476CFD"/>
    <w:rsid w:val="00477131"/>
    <w:rsid w:val="004772BC"/>
    <w:rsid w:val="0047741A"/>
    <w:rsid w:val="00477442"/>
    <w:rsid w:val="00477952"/>
    <w:rsid w:val="00477B5C"/>
    <w:rsid w:val="00477C92"/>
    <w:rsid w:val="004800FF"/>
    <w:rsid w:val="0048035B"/>
    <w:rsid w:val="004803CF"/>
    <w:rsid w:val="0048041B"/>
    <w:rsid w:val="00480560"/>
    <w:rsid w:val="004805C8"/>
    <w:rsid w:val="00480797"/>
    <w:rsid w:val="004808AA"/>
    <w:rsid w:val="00480903"/>
    <w:rsid w:val="00480A92"/>
    <w:rsid w:val="00480E02"/>
    <w:rsid w:val="00480EE5"/>
    <w:rsid w:val="004810A2"/>
    <w:rsid w:val="004810B1"/>
    <w:rsid w:val="00481220"/>
    <w:rsid w:val="004815DF"/>
    <w:rsid w:val="004816E8"/>
    <w:rsid w:val="00481737"/>
    <w:rsid w:val="00481B6D"/>
    <w:rsid w:val="00481CF1"/>
    <w:rsid w:val="004821C5"/>
    <w:rsid w:val="00482A39"/>
    <w:rsid w:val="00482A7F"/>
    <w:rsid w:val="00482C02"/>
    <w:rsid w:val="00482D23"/>
    <w:rsid w:val="00482E88"/>
    <w:rsid w:val="00482EF0"/>
    <w:rsid w:val="004832F7"/>
    <w:rsid w:val="004836D5"/>
    <w:rsid w:val="00483737"/>
    <w:rsid w:val="004838DA"/>
    <w:rsid w:val="00483A85"/>
    <w:rsid w:val="00483B6D"/>
    <w:rsid w:val="00483EF5"/>
    <w:rsid w:val="00483F51"/>
    <w:rsid w:val="00484037"/>
    <w:rsid w:val="0048491A"/>
    <w:rsid w:val="00484AEB"/>
    <w:rsid w:val="0048537D"/>
    <w:rsid w:val="00485644"/>
    <w:rsid w:val="0048598D"/>
    <w:rsid w:val="004859C5"/>
    <w:rsid w:val="00485E31"/>
    <w:rsid w:val="004861A9"/>
    <w:rsid w:val="004863CD"/>
    <w:rsid w:val="004866D0"/>
    <w:rsid w:val="00486834"/>
    <w:rsid w:val="0048699D"/>
    <w:rsid w:val="00486B0F"/>
    <w:rsid w:val="00486BAC"/>
    <w:rsid w:val="00486BB9"/>
    <w:rsid w:val="00486E31"/>
    <w:rsid w:val="004873E5"/>
    <w:rsid w:val="004874A3"/>
    <w:rsid w:val="00487763"/>
    <w:rsid w:val="00487A92"/>
    <w:rsid w:val="00487D1C"/>
    <w:rsid w:val="00490436"/>
    <w:rsid w:val="004905FA"/>
    <w:rsid w:val="0049086A"/>
    <w:rsid w:val="00490C4E"/>
    <w:rsid w:val="00490CA5"/>
    <w:rsid w:val="00490F8D"/>
    <w:rsid w:val="00491011"/>
    <w:rsid w:val="00491534"/>
    <w:rsid w:val="004915E4"/>
    <w:rsid w:val="004919E2"/>
    <w:rsid w:val="00491BB2"/>
    <w:rsid w:val="00491C22"/>
    <w:rsid w:val="00491CF6"/>
    <w:rsid w:val="00491E09"/>
    <w:rsid w:val="004922F2"/>
    <w:rsid w:val="0049236F"/>
    <w:rsid w:val="004927EF"/>
    <w:rsid w:val="00492876"/>
    <w:rsid w:val="00492A75"/>
    <w:rsid w:val="00492F7D"/>
    <w:rsid w:val="004934BB"/>
    <w:rsid w:val="004935DF"/>
    <w:rsid w:val="004937FD"/>
    <w:rsid w:val="00493A6C"/>
    <w:rsid w:val="00493C15"/>
    <w:rsid w:val="00493C70"/>
    <w:rsid w:val="004940B6"/>
    <w:rsid w:val="00494301"/>
    <w:rsid w:val="00494400"/>
    <w:rsid w:val="00494511"/>
    <w:rsid w:val="00494781"/>
    <w:rsid w:val="004948E6"/>
    <w:rsid w:val="00494B67"/>
    <w:rsid w:val="00494C31"/>
    <w:rsid w:val="0049522F"/>
    <w:rsid w:val="0049524F"/>
    <w:rsid w:val="00495289"/>
    <w:rsid w:val="004955D9"/>
    <w:rsid w:val="004958C5"/>
    <w:rsid w:val="0049592C"/>
    <w:rsid w:val="00495FDA"/>
    <w:rsid w:val="00496085"/>
    <w:rsid w:val="004960CC"/>
    <w:rsid w:val="00496972"/>
    <w:rsid w:val="00496BDF"/>
    <w:rsid w:val="00496C85"/>
    <w:rsid w:val="00496DFE"/>
    <w:rsid w:val="004973A9"/>
    <w:rsid w:val="00497701"/>
    <w:rsid w:val="00497738"/>
    <w:rsid w:val="004977F5"/>
    <w:rsid w:val="0049788E"/>
    <w:rsid w:val="004978F5"/>
    <w:rsid w:val="00497C43"/>
    <w:rsid w:val="00497C5C"/>
    <w:rsid w:val="00497CF9"/>
    <w:rsid w:val="00497D5E"/>
    <w:rsid w:val="00497DA4"/>
    <w:rsid w:val="004A0102"/>
    <w:rsid w:val="004A01DD"/>
    <w:rsid w:val="004A038D"/>
    <w:rsid w:val="004A0671"/>
    <w:rsid w:val="004A0A65"/>
    <w:rsid w:val="004A0CCD"/>
    <w:rsid w:val="004A0EA3"/>
    <w:rsid w:val="004A1196"/>
    <w:rsid w:val="004A1516"/>
    <w:rsid w:val="004A19CF"/>
    <w:rsid w:val="004A1E34"/>
    <w:rsid w:val="004A2136"/>
    <w:rsid w:val="004A2205"/>
    <w:rsid w:val="004A225D"/>
    <w:rsid w:val="004A261E"/>
    <w:rsid w:val="004A289C"/>
    <w:rsid w:val="004A2A05"/>
    <w:rsid w:val="004A2A1B"/>
    <w:rsid w:val="004A2B5E"/>
    <w:rsid w:val="004A3100"/>
    <w:rsid w:val="004A373E"/>
    <w:rsid w:val="004A37EF"/>
    <w:rsid w:val="004A37F0"/>
    <w:rsid w:val="004A3AB0"/>
    <w:rsid w:val="004A3C5A"/>
    <w:rsid w:val="004A3E64"/>
    <w:rsid w:val="004A3EEA"/>
    <w:rsid w:val="004A3FCE"/>
    <w:rsid w:val="004A4257"/>
    <w:rsid w:val="004A46BC"/>
    <w:rsid w:val="004A4BCD"/>
    <w:rsid w:val="004A4DD7"/>
    <w:rsid w:val="004A4F96"/>
    <w:rsid w:val="004A54DD"/>
    <w:rsid w:val="004A57E1"/>
    <w:rsid w:val="004A5883"/>
    <w:rsid w:val="004A58C1"/>
    <w:rsid w:val="004A5AE5"/>
    <w:rsid w:val="004A5AFD"/>
    <w:rsid w:val="004A5BC3"/>
    <w:rsid w:val="004A5FB7"/>
    <w:rsid w:val="004A6071"/>
    <w:rsid w:val="004A61F3"/>
    <w:rsid w:val="004A665F"/>
    <w:rsid w:val="004A6880"/>
    <w:rsid w:val="004A6884"/>
    <w:rsid w:val="004A708F"/>
    <w:rsid w:val="004A71EA"/>
    <w:rsid w:val="004A7423"/>
    <w:rsid w:val="004A7509"/>
    <w:rsid w:val="004A767B"/>
    <w:rsid w:val="004A7A6C"/>
    <w:rsid w:val="004A7A8E"/>
    <w:rsid w:val="004A7A9F"/>
    <w:rsid w:val="004A7B23"/>
    <w:rsid w:val="004B05AA"/>
    <w:rsid w:val="004B05AF"/>
    <w:rsid w:val="004B07B3"/>
    <w:rsid w:val="004B0814"/>
    <w:rsid w:val="004B090E"/>
    <w:rsid w:val="004B0E9B"/>
    <w:rsid w:val="004B0EEF"/>
    <w:rsid w:val="004B11EA"/>
    <w:rsid w:val="004B127D"/>
    <w:rsid w:val="004B1949"/>
    <w:rsid w:val="004B19F3"/>
    <w:rsid w:val="004B1D17"/>
    <w:rsid w:val="004B2060"/>
    <w:rsid w:val="004B2094"/>
    <w:rsid w:val="004B2110"/>
    <w:rsid w:val="004B2190"/>
    <w:rsid w:val="004B2284"/>
    <w:rsid w:val="004B23E7"/>
    <w:rsid w:val="004B24A7"/>
    <w:rsid w:val="004B2552"/>
    <w:rsid w:val="004B25AB"/>
    <w:rsid w:val="004B26BA"/>
    <w:rsid w:val="004B26D4"/>
    <w:rsid w:val="004B278A"/>
    <w:rsid w:val="004B310E"/>
    <w:rsid w:val="004B3708"/>
    <w:rsid w:val="004B377F"/>
    <w:rsid w:val="004B3CCF"/>
    <w:rsid w:val="004B3DE8"/>
    <w:rsid w:val="004B4213"/>
    <w:rsid w:val="004B433B"/>
    <w:rsid w:val="004B448D"/>
    <w:rsid w:val="004B46EF"/>
    <w:rsid w:val="004B4765"/>
    <w:rsid w:val="004B4799"/>
    <w:rsid w:val="004B4906"/>
    <w:rsid w:val="004B4EEE"/>
    <w:rsid w:val="004B4FC0"/>
    <w:rsid w:val="004B5017"/>
    <w:rsid w:val="004B5050"/>
    <w:rsid w:val="004B5215"/>
    <w:rsid w:val="004B5279"/>
    <w:rsid w:val="004B56AF"/>
    <w:rsid w:val="004B5EF1"/>
    <w:rsid w:val="004B6299"/>
    <w:rsid w:val="004B62AF"/>
    <w:rsid w:val="004B62CD"/>
    <w:rsid w:val="004B66D2"/>
    <w:rsid w:val="004B67D1"/>
    <w:rsid w:val="004B6821"/>
    <w:rsid w:val="004B68B0"/>
    <w:rsid w:val="004B69AA"/>
    <w:rsid w:val="004B69E0"/>
    <w:rsid w:val="004B6A5C"/>
    <w:rsid w:val="004B6AE2"/>
    <w:rsid w:val="004B6B47"/>
    <w:rsid w:val="004B6BBE"/>
    <w:rsid w:val="004B6D33"/>
    <w:rsid w:val="004B6DE9"/>
    <w:rsid w:val="004B6E6B"/>
    <w:rsid w:val="004B6EC5"/>
    <w:rsid w:val="004B6ED5"/>
    <w:rsid w:val="004B7301"/>
    <w:rsid w:val="004B75DA"/>
    <w:rsid w:val="004B772B"/>
    <w:rsid w:val="004B7932"/>
    <w:rsid w:val="004B7E24"/>
    <w:rsid w:val="004B7EE8"/>
    <w:rsid w:val="004B7FEF"/>
    <w:rsid w:val="004C0159"/>
    <w:rsid w:val="004C0262"/>
    <w:rsid w:val="004C03B6"/>
    <w:rsid w:val="004C07C8"/>
    <w:rsid w:val="004C0ADB"/>
    <w:rsid w:val="004C1201"/>
    <w:rsid w:val="004C13B8"/>
    <w:rsid w:val="004C144C"/>
    <w:rsid w:val="004C1C80"/>
    <w:rsid w:val="004C1CAD"/>
    <w:rsid w:val="004C1D64"/>
    <w:rsid w:val="004C2061"/>
    <w:rsid w:val="004C2097"/>
    <w:rsid w:val="004C22A2"/>
    <w:rsid w:val="004C2A52"/>
    <w:rsid w:val="004C2B95"/>
    <w:rsid w:val="004C2BDA"/>
    <w:rsid w:val="004C2E3D"/>
    <w:rsid w:val="004C2EC5"/>
    <w:rsid w:val="004C2FA6"/>
    <w:rsid w:val="004C354D"/>
    <w:rsid w:val="004C3705"/>
    <w:rsid w:val="004C3BCA"/>
    <w:rsid w:val="004C3DE2"/>
    <w:rsid w:val="004C3FC0"/>
    <w:rsid w:val="004C439B"/>
    <w:rsid w:val="004C47F5"/>
    <w:rsid w:val="004C490B"/>
    <w:rsid w:val="004C4A1B"/>
    <w:rsid w:val="004C4B52"/>
    <w:rsid w:val="004C4BE9"/>
    <w:rsid w:val="004C4F52"/>
    <w:rsid w:val="004C4FC0"/>
    <w:rsid w:val="004C51A7"/>
    <w:rsid w:val="004C52B8"/>
    <w:rsid w:val="004C58C7"/>
    <w:rsid w:val="004C5B75"/>
    <w:rsid w:val="004C5BCD"/>
    <w:rsid w:val="004C5DF5"/>
    <w:rsid w:val="004C6046"/>
    <w:rsid w:val="004C6190"/>
    <w:rsid w:val="004C6658"/>
    <w:rsid w:val="004C6756"/>
    <w:rsid w:val="004C686A"/>
    <w:rsid w:val="004C68A3"/>
    <w:rsid w:val="004C6B79"/>
    <w:rsid w:val="004C6B8D"/>
    <w:rsid w:val="004C6E68"/>
    <w:rsid w:val="004C6F4D"/>
    <w:rsid w:val="004C70D6"/>
    <w:rsid w:val="004C715B"/>
    <w:rsid w:val="004C7250"/>
    <w:rsid w:val="004C7736"/>
    <w:rsid w:val="004C7B1C"/>
    <w:rsid w:val="004C7D22"/>
    <w:rsid w:val="004C7D4C"/>
    <w:rsid w:val="004C7FBB"/>
    <w:rsid w:val="004D0010"/>
    <w:rsid w:val="004D0078"/>
    <w:rsid w:val="004D010B"/>
    <w:rsid w:val="004D01A9"/>
    <w:rsid w:val="004D01D4"/>
    <w:rsid w:val="004D0261"/>
    <w:rsid w:val="004D03E5"/>
    <w:rsid w:val="004D0DE9"/>
    <w:rsid w:val="004D0E32"/>
    <w:rsid w:val="004D0F5E"/>
    <w:rsid w:val="004D13FC"/>
    <w:rsid w:val="004D17FC"/>
    <w:rsid w:val="004D1ED8"/>
    <w:rsid w:val="004D22F0"/>
    <w:rsid w:val="004D22F6"/>
    <w:rsid w:val="004D23F9"/>
    <w:rsid w:val="004D241C"/>
    <w:rsid w:val="004D275A"/>
    <w:rsid w:val="004D28AD"/>
    <w:rsid w:val="004D28C8"/>
    <w:rsid w:val="004D2BB0"/>
    <w:rsid w:val="004D2D9B"/>
    <w:rsid w:val="004D2F27"/>
    <w:rsid w:val="004D2FC9"/>
    <w:rsid w:val="004D2FF9"/>
    <w:rsid w:val="004D30CC"/>
    <w:rsid w:val="004D3136"/>
    <w:rsid w:val="004D32F5"/>
    <w:rsid w:val="004D33A4"/>
    <w:rsid w:val="004D33B3"/>
    <w:rsid w:val="004D344C"/>
    <w:rsid w:val="004D35AF"/>
    <w:rsid w:val="004D36D5"/>
    <w:rsid w:val="004D3C92"/>
    <w:rsid w:val="004D3DB8"/>
    <w:rsid w:val="004D414E"/>
    <w:rsid w:val="004D41C8"/>
    <w:rsid w:val="004D43C6"/>
    <w:rsid w:val="004D45D0"/>
    <w:rsid w:val="004D45FC"/>
    <w:rsid w:val="004D461C"/>
    <w:rsid w:val="004D4682"/>
    <w:rsid w:val="004D4BBA"/>
    <w:rsid w:val="004D4D22"/>
    <w:rsid w:val="004D57D4"/>
    <w:rsid w:val="004D58EC"/>
    <w:rsid w:val="004D59DF"/>
    <w:rsid w:val="004D5C2C"/>
    <w:rsid w:val="004D5D47"/>
    <w:rsid w:val="004D6141"/>
    <w:rsid w:val="004D68CF"/>
    <w:rsid w:val="004D6B48"/>
    <w:rsid w:val="004D6C4F"/>
    <w:rsid w:val="004D6EC8"/>
    <w:rsid w:val="004D7128"/>
    <w:rsid w:val="004D74F8"/>
    <w:rsid w:val="004D7715"/>
    <w:rsid w:val="004D7790"/>
    <w:rsid w:val="004D7A13"/>
    <w:rsid w:val="004D7AAE"/>
    <w:rsid w:val="004D7AF9"/>
    <w:rsid w:val="004E0527"/>
    <w:rsid w:val="004E05BF"/>
    <w:rsid w:val="004E0860"/>
    <w:rsid w:val="004E09F2"/>
    <w:rsid w:val="004E0C50"/>
    <w:rsid w:val="004E0C6D"/>
    <w:rsid w:val="004E0CEB"/>
    <w:rsid w:val="004E0DBC"/>
    <w:rsid w:val="004E125E"/>
    <w:rsid w:val="004E132B"/>
    <w:rsid w:val="004E14F5"/>
    <w:rsid w:val="004E1933"/>
    <w:rsid w:val="004E1DB5"/>
    <w:rsid w:val="004E1F73"/>
    <w:rsid w:val="004E2046"/>
    <w:rsid w:val="004E21C9"/>
    <w:rsid w:val="004E261B"/>
    <w:rsid w:val="004E2630"/>
    <w:rsid w:val="004E29E4"/>
    <w:rsid w:val="004E2AB1"/>
    <w:rsid w:val="004E2BE0"/>
    <w:rsid w:val="004E2C61"/>
    <w:rsid w:val="004E2C97"/>
    <w:rsid w:val="004E2E47"/>
    <w:rsid w:val="004E2F59"/>
    <w:rsid w:val="004E33E3"/>
    <w:rsid w:val="004E3457"/>
    <w:rsid w:val="004E34A4"/>
    <w:rsid w:val="004E380B"/>
    <w:rsid w:val="004E3835"/>
    <w:rsid w:val="004E3858"/>
    <w:rsid w:val="004E399D"/>
    <w:rsid w:val="004E3B34"/>
    <w:rsid w:val="004E3DEA"/>
    <w:rsid w:val="004E3E13"/>
    <w:rsid w:val="004E43CF"/>
    <w:rsid w:val="004E4432"/>
    <w:rsid w:val="004E4678"/>
    <w:rsid w:val="004E47A5"/>
    <w:rsid w:val="004E4880"/>
    <w:rsid w:val="004E4A1E"/>
    <w:rsid w:val="004E4AE7"/>
    <w:rsid w:val="004E4AF4"/>
    <w:rsid w:val="004E4BB4"/>
    <w:rsid w:val="004E4C9C"/>
    <w:rsid w:val="004E4E1D"/>
    <w:rsid w:val="004E4E24"/>
    <w:rsid w:val="004E4EFF"/>
    <w:rsid w:val="004E512E"/>
    <w:rsid w:val="004E5441"/>
    <w:rsid w:val="004E5532"/>
    <w:rsid w:val="004E5734"/>
    <w:rsid w:val="004E5D30"/>
    <w:rsid w:val="004E5D32"/>
    <w:rsid w:val="004E6176"/>
    <w:rsid w:val="004E6736"/>
    <w:rsid w:val="004E685C"/>
    <w:rsid w:val="004E69D6"/>
    <w:rsid w:val="004E69EF"/>
    <w:rsid w:val="004E6A20"/>
    <w:rsid w:val="004E6BEC"/>
    <w:rsid w:val="004E6DFA"/>
    <w:rsid w:val="004E6EFE"/>
    <w:rsid w:val="004E7052"/>
    <w:rsid w:val="004E72E4"/>
    <w:rsid w:val="004E72F2"/>
    <w:rsid w:val="004E7523"/>
    <w:rsid w:val="004E772E"/>
    <w:rsid w:val="004E7ADF"/>
    <w:rsid w:val="004E7E7D"/>
    <w:rsid w:val="004F0084"/>
    <w:rsid w:val="004F020B"/>
    <w:rsid w:val="004F05C7"/>
    <w:rsid w:val="004F05DF"/>
    <w:rsid w:val="004F072A"/>
    <w:rsid w:val="004F078B"/>
    <w:rsid w:val="004F0ED5"/>
    <w:rsid w:val="004F0FB0"/>
    <w:rsid w:val="004F1155"/>
    <w:rsid w:val="004F132F"/>
    <w:rsid w:val="004F14B1"/>
    <w:rsid w:val="004F157F"/>
    <w:rsid w:val="004F1C95"/>
    <w:rsid w:val="004F1E57"/>
    <w:rsid w:val="004F1FC7"/>
    <w:rsid w:val="004F2255"/>
    <w:rsid w:val="004F27BD"/>
    <w:rsid w:val="004F2975"/>
    <w:rsid w:val="004F3591"/>
    <w:rsid w:val="004F3B83"/>
    <w:rsid w:val="004F3C57"/>
    <w:rsid w:val="004F3D52"/>
    <w:rsid w:val="004F412E"/>
    <w:rsid w:val="004F43CE"/>
    <w:rsid w:val="004F4CCF"/>
    <w:rsid w:val="004F4DFA"/>
    <w:rsid w:val="004F4E98"/>
    <w:rsid w:val="004F4EA4"/>
    <w:rsid w:val="004F4F8B"/>
    <w:rsid w:val="004F5289"/>
    <w:rsid w:val="004F5451"/>
    <w:rsid w:val="004F54FD"/>
    <w:rsid w:val="004F5573"/>
    <w:rsid w:val="004F5958"/>
    <w:rsid w:val="004F5994"/>
    <w:rsid w:val="004F59AF"/>
    <w:rsid w:val="004F5A64"/>
    <w:rsid w:val="004F5BA3"/>
    <w:rsid w:val="004F5BE6"/>
    <w:rsid w:val="004F600B"/>
    <w:rsid w:val="004F641C"/>
    <w:rsid w:val="004F671B"/>
    <w:rsid w:val="004F6F9C"/>
    <w:rsid w:val="004F7148"/>
    <w:rsid w:val="004F7353"/>
    <w:rsid w:val="004F73D6"/>
    <w:rsid w:val="004F7C1A"/>
    <w:rsid w:val="004F7DB8"/>
    <w:rsid w:val="004F7F23"/>
    <w:rsid w:val="00500063"/>
    <w:rsid w:val="00500362"/>
    <w:rsid w:val="00500464"/>
    <w:rsid w:val="0050047E"/>
    <w:rsid w:val="005006F5"/>
    <w:rsid w:val="00500733"/>
    <w:rsid w:val="00500862"/>
    <w:rsid w:val="005009F0"/>
    <w:rsid w:val="00500CDD"/>
    <w:rsid w:val="00500D2C"/>
    <w:rsid w:val="00500E01"/>
    <w:rsid w:val="005011E0"/>
    <w:rsid w:val="00501252"/>
    <w:rsid w:val="0050167D"/>
    <w:rsid w:val="005016B5"/>
    <w:rsid w:val="00501783"/>
    <w:rsid w:val="005017BB"/>
    <w:rsid w:val="0050197B"/>
    <w:rsid w:val="00501BCA"/>
    <w:rsid w:val="00501D7F"/>
    <w:rsid w:val="00501E0E"/>
    <w:rsid w:val="00501EC7"/>
    <w:rsid w:val="00502415"/>
    <w:rsid w:val="005025CD"/>
    <w:rsid w:val="00502766"/>
    <w:rsid w:val="00502943"/>
    <w:rsid w:val="0050295D"/>
    <w:rsid w:val="00502C93"/>
    <w:rsid w:val="005031C7"/>
    <w:rsid w:val="00503991"/>
    <w:rsid w:val="00503CD8"/>
    <w:rsid w:val="00503D2D"/>
    <w:rsid w:val="00503D89"/>
    <w:rsid w:val="00503E88"/>
    <w:rsid w:val="00503F02"/>
    <w:rsid w:val="005040DF"/>
    <w:rsid w:val="005040E6"/>
    <w:rsid w:val="00504326"/>
    <w:rsid w:val="0050438B"/>
    <w:rsid w:val="005046AD"/>
    <w:rsid w:val="00504C66"/>
    <w:rsid w:val="00504ED9"/>
    <w:rsid w:val="00505234"/>
    <w:rsid w:val="00505402"/>
    <w:rsid w:val="005054A4"/>
    <w:rsid w:val="005055F8"/>
    <w:rsid w:val="0050584E"/>
    <w:rsid w:val="00505B20"/>
    <w:rsid w:val="00505DF0"/>
    <w:rsid w:val="00505EA5"/>
    <w:rsid w:val="005062C0"/>
    <w:rsid w:val="005067A2"/>
    <w:rsid w:val="00506CFB"/>
    <w:rsid w:val="00506FDF"/>
    <w:rsid w:val="00507291"/>
    <w:rsid w:val="005072F7"/>
    <w:rsid w:val="005072FD"/>
    <w:rsid w:val="00507564"/>
    <w:rsid w:val="005075A8"/>
    <w:rsid w:val="0050760A"/>
    <w:rsid w:val="0050767A"/>
    <w:rsid w:val="00507780"/>
    <w:rsid w:val="005078B7"/>
    <w:rsid w:val="00507A89"/>
    <w:rsid w:val="00507DBF"/>
    <w:rsid w:val="00507DE5"/>
    <w:rsid w:val="00507F95"/>
    <w:rsid w:val="005101A4"/>
    <w:rsid w:val="005101E8"/>
    <w:rsid w:val="00510595"/>
    <w:rsid w:val="005105DE"/>
    <w:rsid w:val="00510648"/>
    <w:rsid w:val="00510B1F"/>
    <w:rsid w:val="00510BFD"/>
    <w:rsid w:val="00510C4A"/>
    <w:rsid w:val="00510E1C"/>
    <w:rsid w:val="005111DC"/>
    <w:rsid w:val="0051129B"/>
    <w:rsid w:val="0051164A"/>
    <w:rsid w:val="005116CA"/>
    <w:rsid w:val="00511A90"/>
    <w:rsid w:val="00511CB3"/>
    <w:rsid w:val="005120B7"/>
    <w:rsid w:val="0051227F"/>
    <w:rsid w:val="005124A2"/>
    <w:rsid w:val="005125E0"/>
    <w:rsid w:val="0051262C"/>
    <w:rsid w:val="005128B2"/>
    <w:rsid w:val="005128C9"/>
    <w:rsid w:val="00512979"/>
    <w:rsid w:val="00512BB7"/>
    <w:rsid w:val="00512E46"/>
    <w:rsid w:val="005130E9"/>
    <w:rsid w:val="005136B9"/>
    <w:rsid w:val="00513782"/>
    <w:rsid w:val="00513BAC"/>
    <w:rsid w:val="00513C9C"/>
    <w:rsid w:val="0051442A"/>
    <w:rsid w:val="00514432"/>
    <w:rsid w:val="00514873"/>
    <w:rsid w:val="00514A39"/>
    <w:rsid w:val="00514DB6"/>
    <w:rsid w:val="00514E32"/>
    <w:rsid w:val="005151B0"/>
    <w:rsid w:val="005152C8"/>
    <w:rsid w:val="00515472"/>
    <w:rsid w:val="005154A4"/>
    <w:rsid w:val="00515617"/>
    <w:rsid w:val="00515664"/>
    <w:rsid w:val="00515BC3"/>
    <w:rsid w:val="005161D3"/>
    <w:rsid w:val="0051648E"/>
    <w:rsid w:val="005165FB"/>
    <w:rsid w:val="00516678"/>
    <w:rsid w:val="0051669E"/>
    <w:rsid w:val="00516A87"/>
    <w:rsid w:val="00516B78"/>
    <w:rsid w:val="00516D60"/>
    <w:rsid w:val="00516DF5"/>
    <w:rsid w:val="00516E5B"/>
    <w:rsid w:val="005170DA"/>
    <w:rsid w:val="005172BF"/>
    <w:rsid w:val="005176EA"/>
    <w:rsid w:val="00517FC3"/>
    <w:rsid w:val="00517FFA"/>
    <w:rsid w:val="00520225"/>
    <w:rsid w:val="00520234"/>
    <w:rsid w:val="005202F3"/>
    <w:rsid w:val="00520317"/>
    <w:rsid w:val="005203AB"/>
    <w:rsid w:val="00520563"/>
    <w:rsid w:val="005206C3"/>
    <w:rsid w:val="005208C7"/>
    <w:rsid w:val="00520971"/>
    <w:rsid w:val="00520AB3"/>
    <w:rsid w:val="00520C35"/>
    <w:rsid w:val="00520F46"/>
    <w:rsid w:val="00520F4C"/>
    <w:rsid w:val="00521165"/>
    <w:rsid w:val="00521229"/>
    <w:rsid w:val="005212FC"/>
    <w:rsid w:val="0052169E"/>
    <w:rsid w:val="005218DE"/>
    <w:rsid w:val="0052193E"/>
    <w:rsid w:val="00521D20"/>
    <w:rsid w:val="00521DB3"/>
    <w:rsid w:val="00521E91"/>
    <w:rsid w:val="00522280"/>
    <w:rsid w:val="0052255E"/>
    <w:rsid w:val="0052270D"/>
    <w:rsid w:val="0052277C"/>
    <w:rsid w:val="00522887"/>
    <w:rsid w:val="00522ADE"/>
    <w:rsid w:val="00522BFE"/>
    <w:rsid w:val="00522D9C"/>
    <w:rsid w:val="00522ED7"/>
    <w:rsid w:val="00522FC3"/>
    <w:rsid w:val="0052332A"/>
    <w:rsid w:val="0052350F"/>
    <w:rsid w:val="00523733"/>
    <w:rsid w:val="00523BA5"/>
    <w:rsid w:val="00524072"/>
    <w:rsid w:val="005240E9"/>
    <w:rsid w:val="00524230"/>
    <w:rsid w:val="005242E3"/>
    <w:rsid w:val="005245A7"/>
    <w:rsid w:val="00524A3A"/>
    <w:rsid w:val="00524AF5"/>
    <w:rsid w:val="00524B5F"/>
    <w:rsid w:val="005250B6"/>
    <w:rsid w:val="00525462"/>
    <w:rsid w:val="00525517"/>
    <w:rsid w:val="0052553B"/>
    <w:rsid w:val="00525754"/>
    <w:rsid w:val="00525936"/>
    <w:rsid w:val="00525986"/>
    <w:rsid w:val="00525E42"/>
    <w:rsid w:val="005260FC"/>
    <w:rsid w:val="00526342"/>
    <w:rsid w:val="00526AE2"/>
    <w:rsid w:val="00526B09"/>
    <w:rsid w:val="00526B5A"/>
    <w:rsid w:val="0052741F"/>
    <w:rsid w:val="0052771E"/>
    <w:rsid w:val="0052772C"/>
    <w:rsid w:val="00527F2D"/>
    <w:rsid w:val="0053004B"/>
    <w:rsid w:val="0053011D"/>
    <w:rsid w:val="005301AB"/>
    <w:rsid w:val="00530300"/>
    <w:rsid w:val="00530376"/>
    <w:rsid w:val="00530D6C"/>
    <w:rsid w:val="00530DA5"/>
    <w:rsid w:val="00530E19"/>
    <w:rsid w:val="00531489"/>
    <w:rsid w:val="005314D1"/>
    <w:rsid w:val="0053169E"/>
    <w:rsid w:val="00531AD8"/>
    <w:rsid w:val="00531BF9"/>
    <w:rsid w:val="00531D82"/>
    <w:rsid w:val="00531EE4"/>
    <w:rsid w:val="00531F03"/>
    <w:rsid w:val="005321AB"/>
    <w:rsid w:val="005321DB"/>
    <w:rsid w:val="00532382"/>
    <w:rsid w:val="00532505"/>
    <w:rsid w:val="00532635"/>
    <w:rsid w:val="0053282C"/>
    <w:rsid w:val="00532892"/>
    <w:rsid w:val="00532932"/>
    <w:rsid w:val="005329FD"/>
    <w:rsid w:val="00533204"/>
    <w:rsid w:val="00533397"/>
    <w:rsid w:val="0053381A"/>
    <w:rsid w:val="00533A1B"/>
    <w:rsid w:val="00533BEB"/>
    <w:rsid w:val="00533C6B"/>
    <w:rsid w:val="0053412A"/>
    <w:rsid w:val="00534385"/>
    <w:rsid w:val="005344A2"/>
    <w:rsid w:val="005346E1"/>
    <w:rsid w:val="0053493F"/>
    <w:rsid w:val="00534B1B"/>
    <w:rsid w:val="00534BF5"/>
    <w:rsid w:val="00534DC8"/>
    <w:rsid w:val="005353B7"/>
    <w:rsid w:val="00535406"/>
    <w:rsid w:val="00535B94"/>
    <w:rsid w:val="00535C1B"/>
    <w:rsid w:val="00535F0D"/>
    <w:rsid w:val="00535FC2"/>
    <w:rsid w:val="0053617D"/>
    <w:rsid w:val="005366DF"/>
    <w:rsid w:val="00536A66"/>
    <w:rsid w:val="00536ACB"/>
    <w:rsid w:val="00536D52"/>
    <w:rsid w:val="00536E52"/>
    <w:rsid w:val="00536E88"/>
    <w:rsid w:val="00537244"/>
    <w:rsid w:val="005372CB"/>
    <w:rsid w:val="0053745C"/>
    <w:rsid w:val="00537C22"/>
    <w:rsid w:val="00537C37"/>
    <w:rsid w:val="00537EFD"/>
    <w:rsid w:val="00537F0B"/>
    <w:rsid w:val="00540047"/>
    <w:rsid w:val="00540178"/>
    <w:rsid w:val="00540518"/>
    <w:rsid w:val="00540773"/>
    <w:rsid w:val="005408F2"/>
    <w:rsid w:val="00540DF3"/>
    <w:rsid w:val="00540F07"/>
    <w:rsid w:val="005411D1"/>
    <w:rsid w:val="0054145D"/>
    <w:rsid w:val="00541480"/>
    <w:rsid w:val="00541644"/>
    <w:rsid w:val="00541736"/>
    <w:rsid w:val="005418B7"/>
    <w:rsid w:val="00541BFC"/>
    <w:rsid w:val="005420BD"/>
    <w:rsid w:val="00542106"/>
    <w:rsid w:val="0054250E"/>
    <w:rsid w:val="005426F8"/>
    <w:rsid w:val="0054293B"/>
    <w:rsid w:val="00542ECA"/>
    <w:rsid w:val="00542F5E"/>
    <w:rsid w:val="005431CD"/>
    <w:rsid w:val="0054354D"/>
    <w:rsid w:val="005437F6"/>
    <w:rsid w:val="0054391D"/>
    <w:rsid w:val="00543AC9"/>
    <w:rsid w:val="00543B0A"/>
    <w:rsid w:val="00543C01"/>
    <w:rsid w:val="005440CE"/>
    <w:rsid w:val="005442DB"/>
    <w:rsid w:val="005444E1"/>
    <w:rsid w:val="00544801"/>
    <w:rsid w:val="00544916"/>
    <w:rsid w:val="00544A17"/>
    <w:rsid w:val="00544AE5"/>
    <w:rsid w:val="00544C3B"/>
    <w:rsid w:val="00544D1E"/>
    <w:rsid w:val="00544EF7"/>
    <w:rsid w:val="00544F4C"/>
    <w:rsid w:val="00545027"/>
    <w:rsid w:val="00545069"/>
    <w:rsid w:val="00545080"/>
    <w:rsid w:val="0054534F"/>
    <w:rsid w:val="00545458"/>
    <w:rsid w:val="005455D6"/>
    <w:rsid w:val="0054561A"/>
    <w:rsid w:val="005456F8"/>
    <w:rsid w:val="00545876"/>
    <w:rsid w:val="00545B09"/>
    <w:rsid w:val="00546312"/>
    <w:rsid w:val="0054631B"/>
    <w:rsid w:val="005463C3"/>
    <w:rsid w:val="005465EE"/>
    <w:rsid w:val="00546A6C"/>
    <w:rsid w:val="00546B07"/>
    <w:rsid w:val="00546C14"/>
    <w:rsid w:val="00546D8B"/>
    <w:rsid w:val="00546F2B"/>
    <w:rsid w:val="00547010"/>
    <w:rsid w:val="005475BC"/>
    <w:rsid w:val="005479A7"/>
    <w:rsid w:val="005479D8"/>
    <w:rsid w:val="00547A7F"/>
    <w:rsid w:val="00547C74"/>
    <w:rsid w:val="00547D0C"/>
    <w:rsid w:val="00547D90"/>
    <w:rsid w:val="00547EFD"/>
    <w:rsid w:val="0055009E"/>
    <w:rsid w:val="00550159"/>
    <w:rsid w:val="0055022B"/>
    <w:rsid w:val="00550247"/>
    <w:rsid w:val="00550407"/>
    <w:rsid w:val="00550471"/>
    <w:rsid w:val="005506D6"/>
    <w:rsid w:val="00550A20"/>
    <w:rsid w:val="00550C32"/>
    <w:rsid w:val="00550CE2"/>
    <w:rsid w:val="00550D18"/>
    <w:rsid w:val="00550D71"/>
    <w:rsid w:val="00550E5D"/>
    <w:rsid w:val="00551090"/>
    <w:rsid w:val="005514D1"/>
    <w:rsid w:val="005515A5"/>
    <w:rsid w:val="005516D6"/>
    <w:rsid w:val="00551722"/>
    <w:rsid w:val="0055196C"/>
    <w:rsid w:val="00551AEF"/>
    <w:rsid w:val="00551D2C"/>
    <w:rsid w:val="00551FA9"/>
    <w:rsid w:val="0055217D"/>
    <w:rsid w:val="00552239"/>
    <w:rsid w:val="00552274"/>
    <w:rsid w:val="0055236E"/>
    <w:rsid w:val="0055250B"/>
    <w:rsid w:val="00552785"/>
    <w:rsid w:val="005527C6"/>
    <w:rsid w:val="00552AB9"/>
    <w:rsid w:val="00552D41"/>
    <w:rsid w:val="005530AB"/>
    <w:rsid w:val="00553451"/>
    <w:rsid w:val="005535BF"/>
    <w:rsid w:val="005538E7"/>
    <w:rsid w:val="00553A48"/>
    <w:rsid w:val="00553B45"/>
    <w:rsid w:val="00553D27"/>
    <w:rsid w:val="00553D8E"/>
    <w:rsid w:val="00553F45"/>
    <w:rsid w:val="005540F9"/>
    <w:rsid w:val="0055414D"/>
    <w:rsid w:val="005543CC"/>
    <w:rsid w:val="00554487"/>
    <w:rsid w:val="005547DE"/>
    <w:rsid w:val="005549B6"/>
    <w:rsid w:val="00554C9D"/>
    <w:rsid w:val="0055510C"/>
    <w:rsid w:val="00555572"/>
    <w:rsid w:val="005556AD"/>
    <w:rsid w:val="005556BD"/>
    <w:rsid w:val="00555783"/>
    <w:rsid w:val="005558EF"/>
    <w:rsid w:val="0055593C"/>
    <w:rsid w:val="00555A6F"/>
    <w:rsid w:val="00555C89"/>
    <w:rsid w:val="005561D1"/>
    <w:rsid w:val="005562B3"/>
    <w:rsid w:val="00556343"/>
    <w:rsid w:val="005569C9"/>
    <w:rsid w:val="00556AEF"/>
    <w:rsid w:val="005570C9"/>
    <w:rsid w:val="005570EB"/>
    <w:rsid w:val="005572E7"/>
    <w:rsid w:val="00557335"/>
    <w:rsid w:val="005574CC"/>
    <w:rsid w:val="005576AF"/>
    <w:rsid w:val="005576B6"/>
    <w:rsid w:val="005577D1"/>
    <w:rsid w:val="00557892"/>
    <w:rsid w:val="00557BFF"/>
    <w:rsid w:val="005602CE"/>
    <w:rsid w:val="00560309"/>
    <w:rsid w:val="0056040A"/>
    <w:rsid w:val="00560B53"/>
    <w:rsid w:val="00560C20"/>
    <w:rsid w:val="00560CB1"/>
    <w:rsid w:val="00560CFE"/>
    <w:rsid w:val="00560F31"/>
    <w:rsid w:val="00561711"/>
    <w:rsid w:val="00561817"/>
    <w:rsid w:val="00561997"/>
    <w:rsid w:val="00561F3F"/>
    <w:rsid w:val="0056244F"/>
    <w:rsid w:val="00562886"/>
    <w:rsid w:val="00562C95"/>
    <w:rsid w:val="00562D3F"/>
    <w:rsid w:val="00562D6C"/>
    <w:rsid w:val="00562F07"/>
    <w:rsid w:val="0056302C"/>
    <w:rsid w:val="00563064"/>
    <w:rsid w:val="00563834"/>
    <w:rsid w:val="00563ADA"/>
    <w:rsid w:val="00563B32"/>
    <w:rsid w:val="00563C65"/>
    <w:rsid w:val="00563C68"/>
    <w:rsid w:val="00563CBF"/>
    <w:rsid w:val="00564298"/>
    <w:rsid w:val="00564389"/>
    <w:rsid w:val="005643C4"/>
    <w:rsid w:val="005646ED"/>
    <w:rsid w:val="00564A03"/>
    <w:rsid w:val="00564BD9"/>
    <w:rsid w:val="00564CE7"/>
    <w:rsid w:val="00564F1E"/>
    <w:rsid w:val="0056541D"/>
    <w:rsid w:val="00565510"/>
    <w:rsid w:val="00565E0C"/>
    <w:rsid w:val="00565E10"/>
    <w:rsid w:val="0056662C"/>
    <w:rsid w:val="005667F3"/>
    <w:rsid w:val="005669F6"/>
    <w:rsid w:val="00566AC3"/>
    <w:rsid w:val="00566B0F"/>
    <w:rsid w:val="00566C97"/>
    <w:rsid w:val="00566E5F"/>
    <w:rsid w:val="00567286"/>
    <w:rsid w:val="00567313"/>
    <w:rsid w:val="00567407"/>
    <w:rsid w:val="00567693"/>
    <w:rsid w:val="00567BF6"/>
    <w:rsid w:val="00570843"/>
    <w:rsid w:val="00570A58"/>
    <w:rsid w:val="00570C43"/>
    <w:rsid w:val="00570C98"/>
    <w:rsid w:val="00570F35"/>
    <w:rsid w:val="00570F45"/>
    <w:rsid w:val="00570F6A"/>
    <w:rsid w:val="00570FF3"/>
    <w:rsid w:val="005711F6"/>
    <w:rsid w:val="00571222"/>
    <w:rsid w:val="005714C6"/>
    <w:rsid w:val="0057152A"/>
    <w:rsid w:val="0057155A"/>
    <w:rsid w:val="0057172E"/>
    <w:rsid w:val="00571A93"/>
    <w:rsid w:val="00571FE9"/>
    <w:rsid w:val="00572491"/>
    <w:rsid w:val="0057258B"/>
    <w:rsid w:val="005728E9"/>
    <w:rsid w:val="005729ED"/>
    <w:rsid w:val="00572A06"/>
    <w:rsid w:val="00572C1D"/>
    <w:rsid w:val="00572D6C"/>
    <w:rsid w:val="00572FC3"/>
    <w:rsid w:val="0057301A"/>
    <w:rsid w:val="00573261"/>
    <w:rsid w:val="005732D7"/>
    <w:rsid w:val="00573892"/>
    <w:rsid w:val="0057393A"/>
    <w:rsid w:val="00573AE9"/>
    <w:rsid w:val="00573DAD"/>
    <w:rsid w:val="00573DF8"/>
    <w:rsid w:val="00573E90"/>
    <w:rsid w:val="005744BA"/>
    <w:rsid w:val="005748CB"/>
    <w:rsid w:val="00574A32"/>
    <w:rsid w:val="00574A5C"/>
    <w:rsid w:val="00574D53"/>
    <w:rsid w:val="00574E68"/>
    <w:rsid w:val="00574E78"/>
    <w:rsid w:val="005750A7"/>
    <w:rsid w:val="00575187"/>
    <w:rsid w:val="00575D69"/>
    <w:rsid w:val="00575D7D"/>
    <w:rsid w:val="00576399"/>
    <w:rsid w:val="00576417"/>
    <w:rsid w:val="005768F3"/>
    <w:rsid w:val="00576979"/>
    <w:rsid w:val="00576B09"/>
    <w:rsid w:val="00576C80"/>
    <w:rsid w:val="00576CCB"/>
    <w:rsid w:val="0057724F"/>
    <w:rsid w:val="005772D5"/>
    <w:rsid w:val="00577592"/>
    <w:rsid w:val="00577AF4"/>
    <w:rsid w:val="00577FA5"/>
    <w:rsid w:val="00580223"/>
    <w:rsid w:val="005802BA"/>
    <w:rsid w:val="0058036F"/>
    <w:rsid w:val="00580690"/>
    <w:rsid w:val="00580BD2"/>
    <w:rsid w:val="00580F5A"/>
    <w:rsid w:val="00581060"/>
    <w:rsid w:val="005811C6"/>
    <w:rsid w:val="005813AA"/>
    <w:rsid w:val="00581695"/>
    <w:rsid w:val="005818E0"/>
    <w:rsid w:val="00581A5E"/>
    <w:rsid w:val="00581AE8"/>
    <w:rsid w:val="00581B61"/>
    <w:rsid w:val="00581F9B"/>
    <w:rsid w:val="005820F6"/>
    <w:rsid w:val="00582E68"/>
    <w:rsid w:val="00582E98"/>
    <w:rsid w:val="00582F74"/>
    <w:rsid w:val="005833D5"/>
    <w:rsid w:val="005833DF"/>
    <w:rsid w:val="00583A31"/>
    <w:rsid w:val="00583C92"/>
    <w:rsid w:val="00583FA9"/>
    <w:rsid w:val="0058427A"/>
    <w:rsid w:val="005842EF"/>
    <w:rsid w:val="005846D8"/>
    <w:rsid w:val="00584756"/>
    <w:rsid w:val="005848DD"/>
    <w:rsid w:val="00584B5E"/>
    <w:rsid w:val="00584BD5"/>
    <w:rsid w:val="00584BE2"/>
    <w:rsid w:val="00584D24"/>
    <w:rsid w:val="00585068"/>
    <w:rsid w:val="0058517D"/>
    <w:rsid w:val="00585330"/>
    <w:rsid w:val="005853D8"/>
    <w:rsid w:val="005854BD"/>
    <w:rsid w:val="005855D1"/>
    <w:rsid w:val="00585604"/>
    <w:rsid w:val="00585785"/>
    <w:rsid w:val="00585889"/>
    <w:rsid w:val="00585F6C"/>
    <w:rsid w:val="005862CE"/>
    <w:rsid w:val="005864AD"/>
    <w:rsid w:val="005865F8"/>
    <w:rsid w:val="005867F1"/>
    <w:rsid w:val="00586A36"/>
    <w:rsid w:val="00586B2B"/>
    <w:rsid w:val="00586C30"/>
    <w:rsid w:val="00586D8D"/>
    <w:rsid w:val="00586E19"/>
    <w:rsid w:val="00587362"/>
    <w:rsid w:val="00587E9D"/>
    <w:rsid w:val="00590511"/>
    <w:rsid w:val="00590645"/>
    <w:rsid w:val="0059086B"/>
    <w:rsid w:val="00590AEC"/>
    <w:rsid w:val="00590CAC"/>
    <w:rsid w:val="00590EB9"/>
    <w:rsid w:val="00591125"/>
    <w:rsid w:val="00591174"/>
    <w:rsid w:val="005911C2"/>
    <w:rsid w:val="00591212"/>
    <w:rsid w:val="00591C82"/>
    <w:rsid w:val="00591CCA"/>
    <w:rsid w:val="00591D3F"/>
    <w:rsid w:val="005920E0"/>
    <w:rsid w:val="00592349"/>
    <w:rsid w:val="00592378"/>
    <w:rsid w:val="00592937"/>
    <w:rsid w:val="00592DD8"/>
    <w:rsid w:val="00592E63"/>
    <w:rsid w:val="005932F9"/>
    <w:rsid w:val="0059346B"/>
    <w:rsid w:val="00594112"/>
    <w:rsid w:val="00594543"/>
    <w:rsid w:val="0059466C"/>
    <w:rsid w:val="0059488A"/>
    <w:rsid w:val="00594A72"/>
    <w:rsid w:val="00594BC2"/>
    <w:rsid w:val="00594C1D"/>
    <w:rsid w:val="00594D50"/>
    <w:rsid w:val="00594E64"/>
    <w:rsid w:val="0059556C"/>
    <w:rsid w:val="005955EF"/>
    <w:rsid w:val="00595648"/>
    <w:rsid w:val="00595CD7"/>
    <w:rsid w:val="00595FA7"/>
    <w:rsid w:val="005960BB"/>
    <w:rsid w:val="00596209"/>
    <w:rsid w:val="005966E5"/>
    <w:rsid w:val="005968C9"/>
    <w:rsid w:val="005969BC"/>
    <w:rsid w:val="00596B16"/>
    <w:rsid w:val="00596B75"/>
    <w:rsid w:val="00597184"/>
    <w:rsid w:val="00597356"/>
    <w:rsid w:val="005974DB"/>
    <w:rsid w:val="0059769C"/>
    <w:rsid w:val="00597986"/>
    <w:rsid w:val="00597BED"/>
    <w:rsid w:val="00597D0A"/>
    <w:rsid w:val="00597F2E"/>
    <w:rsid w:val="005A08DC"/>
    <w:rsid w:val="005A0AE8"/>
    <w:rsid w:val="005A0B90"/>
    <w:rsid w:val="005A0D23"/>
    <w:rsid w:val="005A0F71"/>
    <w:rsid w:val="005A0F93"/>
    <w:rsid w:val="005A12FC"/>
    <w:rsid w:val="005A1402"/>
    <w:rsid w:val="005A16B3"/>
    <w:rsid w:val="005A1704"/>
    <w:rsid w:val="005A1B06"/>
    <w:rsid w:val="005A1C55"/>
    <w:rsid w:val="005A204A"/>
    <w:rsid w:val="005A21C9"/>
    <w:rsid w:val="005A21DB"/>
    <w:rsid w:val="005A22AD"/>
    <w:rsid w:val="005A2A43"/>
    <w:rsid w:val="005A2E88"/>
    <w:rsid w:val="005A3027"/>
    <w:rsid w:val="005A31F2"/>
    <w:rsid w:val="005A3312"/>
    <w:rsid w:val="005A342C"/>
    <w:rsid w:val="005A3656"/>
    <w:rsid w:val="005A3769"/>
    <w:rsid w:val="005A3BEC"/>
    <w:rsid w:val="005A3D30"/>
    <w:rsid w:val="005A3EB2"/>
    <w:rsid w:val="005A3EEB"/>
    <w:rsid w:val="005A40B7"/>
    <w:rsid w:val="005A450B"/>
    <w:rsid w:val="005A45CD"/>
    <w:rsid w:val="005A485E"/>
    <w:rsid w:val="005A4F89"/>
    <w:rsid w:val="005A52A5"/>
    <w:rsid w:val="005A54D2"/>
    <w:rsid w:val="005A59C1"/>
    <w:rsid w:val="005A5C97"/>
    <w:rsid w:val="005A5EFD"/>
    <w:rsid w:val="005A600A"/>
    <w:rsid w:val="005A6014"/>
    <w:rsid w:val="005A6B49"/>
    <w:rsid w:val="005A6CAD"/>
    <w:rsid w:val="005A6EF4"/>
    <w:rsid w:val="005A7037"/>
    <w:rsid w:val="005A726B"/>
    <w:rsid w:val="005A7303"/>
    <w:rsid w:val="005A7348"/>
    <w:rsid w:val="005A760F"/>
    <w:rsid w:val="005A7989"/>
    <w:rsid w:val="005A7BCD"/>
    <w:rsid w:val="005A7C98"/>
    <w:rsid w:val="005A7D22"/>
    <w:rsid w:val="005A7E92"/>
    <w:rsid w:val="005B066C"/>
    <w:rsid w:val="005B0987"/>
    <w:rsid w:val="005B09E7"/>
    <w:rsid w:val="005B0A26"/>
    <w:rsid w:val="005B0A29"/>
    <w:rsid w:val="005B0AFD"/>
    <w:rsid w:val="005B0D4A"/>
    <w:rsid w:val="005B0D79"/>
    <w:rsid w:val="005B0F74"/>
    <w:rsid w:val="005B1442"/>
    <w:rsid w:val="005B1670"/>
    <w:rsid w:val="005B1681"/>
    <w:rsid w:val="005B1720"/>
    <w:rsid w:val="005B18A4"/>
    <w:rsid w:val="005B192E"/>
    <w:rsid w:val="005B1BF4"/>
    <w:rsid w:val="005B1D24"/>
    <w:rsid w:val="005B1E27"/>
    <w:rsid w:val="005B1F3E"/>
    <w:rsid w:val="005B21A1"/>
    <w:rsid w:val="005B22C8"/>
    <w:rsid w:val="005B265E"/>
    <w:rsid w:val="005B2713"/>
    <w:rsid w:val="005B2820"/>
    <w:rsid w:val="005B2982"/>
    <w:rsid w:val="005B2A12"/>
    <w:rsid w:val="005B2AFF"/>
    <w:rsid w:val="005B2B50"/>
    <w:rsid w:val="005B2C89"/>
    <w:rsid w:val="005B2D34"/>
    <w:rsid w:val="005B2E4E"/>
    <w:rsid w:val="005B3025"/>
    <w:rsid w:val="005B30EC"/>
    <w:rsid w:val="005B3127"/>
    <w:rsid w:val="005B31CB"/>
    <w:rsid w:val="005B31F0"/>
    <w:rsid w:val="005B3204"/>
    <w:rsid w:val="005B3585"/>
    <w:rsid w:val="005B3591"/>
    <w:rsid w:val="005B36CD"/>
    <w:rsid w:val="005B394A"/>
    <w:rsid w:val="005B3990"/>
    <w:rsid w:val="005B3A37"/>
    <w:rsid w:val="005B3B9C"/>
    <w:rsid w:val="005B4234"/>
    <w:rsid w:val="005B42F9"/>
    <w:rsid w:val="005B455F"/>
    <w:rsid w:val="005B4943"/>
    <w:rsid w:val="005B49BB"/>
    <w:rsid w:val="005B49D0"/>
    <w:rsid w:val="005B4A3B"/>
    <w:rsid w:val="005B4BBA"/>
    <w:rsid w:val="005B4BED"/>
    <w:rsid w:val="005B4D8A"/>
    <w:rsid w:val="005B4FFC"/>
    <w:rsid w:val="005B50FA"/>
    <w:rsid w:val="005B51D5"/>
    <w:rsid w:val="005B552A"/>
    <w:rsid w:val="005B587C"/>
    <w:rsid w:val="005B5B1C"/>
    <w:rsid w:val="005B5B24"/>
    <w:rsid w:val="005B5B5D"/>
    <w:rsid w:val="005B5BCB"/>
    <w:rsid w:val="005B5CD5"/>
    <w:rsid w:val="005B5E09"/>
    <w:rsid w:val="005B5F1A"/>
    <w:rsid w:val="005B630E"/>
    <w:rsid w:val="005B66F1"/>
    <w:rsid w:val="005B6902"/>
    <w:rsid w:val="005B6A5B"/>
    <w:rsid w:val="005B6C31"/>
    <w:rsid w:val="005B6FDB"/>
    <w:rsid w:val="005B7100"/>
    <w:rsid w:val="005B7267"/>
    <w:rsid w:val="005B740D"/>
    <w:rsid w:val="005B761E"/>
    <w:rsid w:val="005B7A50"/>
    <w:rsid w:val="005B7F4A"/>
    <w:rsid w:val="005C00D3"/>
    <w:rsid w:val="005C01EC"/>
    <w:rsid w:val="005C06A3"/>
    <w:rsid w:val="005C0893"/>
    <w:rsid w:val="005C0A0C"/>
    <w:rsid w:val="005C0B1B"/>
    <w:rsid w:val="005C0E72"/>
    <w:rsid w:val="005C17FF"/>
    <w:rsid w:val="005C18B0"/>
    <w:rsid w:val="005C1904"/>
    <w:rsid w:val="005C1A20"/>
    <w:rsid w:val="005C1E59"/>
    <w:rsid w:val="005C1EF3"/>
    <w:rsid w:val="005C2002"/>
    <w:rsid w:val="005C2231"/>
    <w:rsid w:val="005C236B"/>
    <w:rsid w:val="005C2529"/>
    <w:rsid w:val="005C2AA1"/>
    <w:rsid w:val="005C2C50"/>
    <w:rsid w:val="005C2CF0"/>
    <w:rsid w:val="005C2F91"/>
    <w:rsid w:val="005C3296"/>
    <w:rsid w:val="005C3801"/>
    <w:rsid w:val="005C3B99"/>
    <w:rsid w:val="005C3C83"/>
    <w:rsid w:val="005C3DD0"/>
    <w:rsid w:val="005C4230"/>
    <w:rsid w:val="005C43E6"/>
    <w:rsid w:val="005C4415"/>
    <w:rsid w:val="005C447F"/>
    <w:rsid w:val="005C4B5C"/>
    <w:rsid w:val="005C4BF9"/>
    <w:rsid w:val="005C5105"/>
    <w:rsid w:val="005C554A"/>
    <w:rsid w:val="005C5582"/>
    <w:rsid w:val="005C5750"/>
    <w:rsid w:val="005C5B3F"/>
    <w:rsid w:val="005C5F37"/>
    <w:rsid w:val="005C63B0"/>
    <w:rsid w:val="005C6897"/>
    <w:rsid w:val="005C6BB9"/>
    <w:rsid w:val="005C7322"/>
    <w:rsid w:val="005C7454"/>
    <w:rsid w:val="005C7821"/>
    <w:rsid w:val="005C78A0"/>
    <w:rsid w:val="005C7A4F"/>
    <w:rsid w:val="005D02F1"/>
    <w:rsid w:val="005D03A3"/>
    <w:rsid w:val="005D04B2"/>
    <w:rsid w:val="005D0598"/>
    <w:rsid w:val="005D07E4"/>
    <w:rsid w:val="005D08FB"/>
    <w:rsid w:val="005D0B73"/>
    <w:rsid w:val="005D0FC6"/>
    <w:rsid w:val="005D124A"/>
    <w:rsid w:val="005D13DE"/>
    <w:rsid w:val="005D145B"/>
    <w:rsid w:val="005D1601"/>
    <w:rsid w:val="005D19AC"/>
    <w:rsid w:val="005D1B06"/>
    <w:rsid w:val="005D1C38"/>
    <w:rsid w:val="005D1DDD"/>
    <w:rsid w:val="005D23DF"/>
    <w:rsid w:val="005D267E"/>
    <w:rsid w:val="005D272F"/>
    <w:rsid w:val="005D28DA"/>
    <w:rsid w:val="005D3216"/>
    <w:rsid w:val="005D3291"/>
    <w:rsid w:val="005D33B5"/>
    <w:rsid w:val="005D3428"/>
    <w:rsid w:val="005D37B4"/>
    <w:rsid w:val="005D39CC"/>
    <w:rsid w:val="005D40E4"/>
    <w:rsid w:val="005D414D"/>
    <w:rsid w:val="005D4202"/>
    <w:rsid w:val="005D4386"/>
    <w:rsid w:val="005D43E3"/>
    <w:rsid w:val="005D46BA"/>
    <w:rsid w:val="005D46C9"/>
    <w:rsid w:val="005D470A"/>
    <w:rsid w:val="005D47C6"/>
    <w:rsid w:val="005D47FE"/>
    <w:rsid w:val="005D4866"/>
    <w:rsid w:val="005D4A01"/>
    <w:rsid w:val="005D4C80"/>
    <w:rsid w:val="005D4D9C"/>
    <w:rsid w:val="005D4F79"/>
    <w:rsid w:val="005D541D"/>
    <w:rsid w:val="005D5427"/>
    <w:rsid w:val="005D5466"/>
    <w:rsid w:val="005D583B"/>
    <w:rsid w:val="005D5B70"/>
    <w:rsid w:val="005D5C30"/>
    <w:rsid w:val="005D607C"/>
    <w:rsid w:val="005D64CA"/>
    <w:rsid w:val="005D694A"/>
    <w:rsid w:val="005D6963"/>
    <w:rsid w:val="005D6A5A"/>
    <w:rsid w:val="005D6B97"/>
    <w:rsid w:val="005D78EF"/>
    <w:rsid w:val="005D78F7"/>
    <w:rsid w:val="005D79DF"/>
    <w:rsid w:val="005D7BFC"/>
    <w:rsid w:val="005D7D5B"/>
    <w:rsid w:val="005D7E44"/>
    <w:rsid w:val="005D7F0B"/>
    <w:rsid w:val="005D7F37"/>
    <w:rsid w:val="005D7F72"/>
    <w:rsid w:val="005E0026"/>
    <w:rsid w:val="005E012B"/>
    <w:rsid w:val="005E04B8"/>
    <w:rsid w:val="005E0564"/>
    <w:rsid w:val="005E07D6"/>
    <w:rsid w:val="005E0869"/>
    <w:rsid w:val="005E0900"/>
    <w:rsid w:val="005E0BCA"/>
    <w:rsid w:val="005E0E30"/>
    <w:rsid w:val="005E12D6"/>
    <w:rsid w:val="005E143B"/>
    <w:rsid w:val="005E15C1"/>
    <w:rsid w:val="005E1654"/>
    <w:rsid w:val="005E17F8"/>
    <w:rsid w:val="005E186D"/>
    <w:rsid w:val="005E1A96"/>
    <w:rsid w:val="005E1B1C"/>
    <w:rsid w:val="005E1CBD"/>
    <w:rsid w:val="005E1DA6"/>
    <w:rsid w:val="005E1DEF"/>
    <w:rsid w:val="005E1F7F"/>
    <w:rsid w:val="005E2149"/>
    <w:rsid w:val="005E2197"/>
    <w:rsid w:val="005E2480"/>
    <w:rsid w:val="005E273D"/>
    <w:rsid w:val="005E2860"/>
    <w:rsid w:val="005E2994"/>
    <w:rsid w:val="005E29E9"/>
    <w:rsid w:val="005E2AE5"/>
    <w:rsid w:val="005E2DE9"/>
    <w:rsid w:val="005E3096"/>
    <w:rsid w:val="005E31D8"/>
    <w:rsid w:val="005E320D"/>
    <w:rsid w:val="005E34BB"/>
    <w:rsid w:val="005E3584"/>
    <w:rsid w:val="005E35E9"/>
    <w:rsid w:val="005E3753"/>
    <w:rsid w:val="005E3C67"/>
    <w:rsid w:val="005E3E36"/>
    <w:rsid w:val="005E3F6D"/>
    <w:rsid w:val="005E40F6"/>
    <w:rsid w:val="005E4557"/>
    <w:rsid w:val="005E457C"/>
    <w:rsid w:val="005E46F1"/>
    <w:rsid w:val="005E4758"/>
    <w:rsid w:val="005E4A66"/>
    <w:rsid w:val="005E4B8C"/>
    <w:rsid w:val="005E4DD1"/>
    <w:rsid w:val="005E4DE5"/>
    <w:rsid w:val="005E5137"/>
    <w:rsid w:val="005E533A"/>
    <w:rsid w:val="005E57D4"/>
    <w:rsid w:val="005E5A80"/>
    <w:rsid w:val="005E5CB9"/>
    <w:rsid w:val="005E5DBF"/>
    <w:rsid w:val="005E614D"/>
    <w:rsid w:val="005E6175"/>
    <w:rsid w:val="005E6289"/>
    <w:rsid w:val="005E62AF"/>
    <w:rsid w:val="005E63CB"/>
    <w:rsid w:val="005E63E1"/>
    <w:rsid w:val="005E6502"/>
    <w:rsid w:val="005E6AA5"/>
    <w:rsid w:val="005E6FAC"/>
    <w:rsid w:val="005E705A"/>
    <w:rsid w:val="005E7077"/>
    <w:rsid w:val="005E725F"/>
    <w:rsid w:val="005E750D"/>
    <w:rsid w:val="005E7734"/>
    <w:rsid w:val="005E786C"/>
    <w:rsid w:val="005E7912"/>
    <w:rsid w:val="005E7973"/>
    <w:rsid w:val="005F0306"/>
    <w:rsid w:val="005F052E"/>
    <w:rsid w:val="005F08E0"/>
    <w:rsid w:val="005F08ED"/>
    <w:rsid w:val="005F091C"/>
    <w:rsid w:val="005F0ACB"/>
    <w:rsid w:val="005F0B32"/>
    <w:rsid w:val="005F0BC8"/>
    <w:rsid w:val="005F0F9F"/>
    <w:rsid w:val="005F0FC1"/>
    <w:rsid w:val="005F0FC4"/>
    <w:rsid w:val="005F1199"/>
    <w:rsid w:val="005F128A"/>
    <w:rsid w:val="005F134E"/>
    <w:rsid w:val="005F13C8"/>
    <w:rsid w:val="005F19FB"/>
    <w:rsid w:val="005F1C2D"/>
    <w:rsid w:val="005F1D12"/>
    <w:rsid w:val="005F205A"/>
    <w:rsid w:val="005F2176"/>
    <w:rsid w:val="005F2336"/>
    <w:rsid w:val="005F2350"/>
    <w:rsid w:val="005F26DC"/>
    <w:rsid w:val="005F271E"/>
    <w:rsid w:val="005F2D72"/>
    <w:rsid w:val="005F30E0"/>
    <w:rsid w:val="005F32C5"/>
    <w:rsid w:val="005F344C"/>
    <w:rsid w:val="005F358E"/>
    <w:rsid w:val="005F363B"/>
    <w:rsid w:val="005F3663"/>
    <w:rsid w:val="005F3AD2"/>
    <w:rsid w:val="005F3C13"/>
    <w:rsid w:val="005F3FA6"/>
    <w:rsid w:val="005F40C1"/>
    <w:rsid w:val="005F4340"/>
    <w:rsid w:val="005F44E9"/>
    <w:rsid w:val="005F4A7B"/>
    <w:rsid w:val="005F4B25"/>
    <w:rsid w:val="005F4C4C"/>
    <w:rsid w:val="005F4F0F"/>
    <w:rsid w:val="005F5286"/>
    <w:rsid w:val="005F55A0"/>
    <w:rsid w:val="005F561E"/>
    <w:rsid w:val="005F57C0"/>
    <w:rsid w:val="005F58F0"/>
    <w:rsid w:val="005F5AD2"/>
    <w:rsid w:val="005F5BC9"/>
    <w:rsid w:val="005F5FF3"/>
    <w:rsid w:val="005F62AF"/>
    <w:rsid w:val="005F657F"/>
    <w:rsid w:val="005F6AF1"/>
    <w:rsid w:val="005F6F50"/>
    <w:rsid w:val="005F6FB1"/>
    <w:rsid w:val="005F71EA"/>
    <w:rsid w:val="005F72ED"/>
    <w:rsid w:val="005F73F3"/>
    <w:rsid w:val="005F7A10"/>
    <w:rsid w:val="005F7A95"/>
    <w:rsid w:val="005F7F5B"/>
    <w:rsid w:val="00600264"/>
    <w:rsid w:val="006002EF"/>
    <w:rsid w:val="0060049C"/>
    <w:rsid w:val="006004A7"/>
    <w:rsid w:val="00600577"/>
    <w:rsid w:val="006007FB"/>
    <w:rsid w:val="006009D5"/>
    <w:rsid w:val="00600BA9"/>
    <w:rsid w:val="00600D49"/>
    <w:rsid w:val="00600D4B"/>
    <w:rsid w:val="00600E2F"/>
    <w:rsid w:val="0060118D"/>
    <w:rsid w:val="0060170C"/>
    <w:rsid w:val="0060176E"/>
    <w:rsid w:val="00601827"/>
    <w:rsid w:val="00601847"/>
    <w:rsid w:val="00601882"/>
    <w:rsid w:val="006018FD"/>
    <w:rsid w:val="00601977"/>
    <w:rsid w:val="0060198B"/>
    <w:rsid w:val="00601E8F"/>
    <w:rsid w:val="00601F83"/>
    <w:rsid w:val="00602798"/>
    <w:rsid w:val="00602820"/>
    <w:rsid w:val="00602DDB"/>
    <w:rsid w:val="00602F7F"/>
    <w:rsid w:val="006031FC"/>
    <w:rsid w:val="00603229"/>
    <w:rsid w:val="00603830"/>
    <w:rsid w:val="00603C1E"/>
    <w:rsid w:val="00603DD6"/>
    <w:rsid w:val="00603EE1"/>
    <w:rsid w:val="0060403A"/>
    <w:rsid w:val="006041AD"/>
    <w:rsid w:val="00604497"/>
    <w:rsid w:val="00604928"/>
    <w:rsid w:val="00604FFC"/>
    <w:rsid w:val="006050F6"/>
    <w:rsid w:val="0060513F"/>
    <w:rsid w:val="0060528B"/>
    <w:rsid w:val="00605360"/>
    <w:rsid w:val="00605450"/>
    <w:rsid w:val="006054A1"/>
    <w:rsid w:val="006056E3"/>
    <w:rsid w:val="006059D4"/>
    <w:rsid w:val="00605B3A"/>
    <w:rsid w:val="00605DA0"/>
    <w:rsid w:val="00605EBB"/>
    <w:rsid w:val="006060F7"/>
    <w:rsid w:val="006061FC"/>
    <w:rsid w:val="006064F0"/>
    <w:rsid w:val="00606881"/>
    <w:rsid w:val="006068AC"/>
    <w:rsid w:val="00606914"/>
    <w:rsid w:val="00606938"/>
    <w:rsid w:val="006069BD"/>
    <w:rsid w:val="00606A86"/>
    <w:rsid w:val="00606C3D"/>
    <w:rsid w:val="00606CAE"/>
    <w:rsid w:val="00606D03"/>
    <w:rsid w:val="00607025"/>
    <w:rsid w:val="0060721C"/>
    <w:rsid w:val="006072D7"/>
    <w:rsid w:val="0060732F"/>
    <w:rsid w:val="006073F1"/>
    <w:rsid w:val="006078D8"/>
    <w:rsid w:val="00607FEA"/>
    <w:rsid w:val="0061008F"/>
    <w:rsid w:val="006101BC"/>
    <w:rsid w:val="00610333"/>
    <w:rsid w:val="006103D4"/>
    <w:rsid w:val="0061046F"/>
    <w:rsid w:val="0061078C"/>
    <w:rsid w:val="00610945"/>
    <w:rsid w:val="00610A43"/>
    <w:rsid w:val="00610ACE"/>
    <w:rsid w:val="00610B3C"/>
    <w:rsid w:val="0061107E"/>
    <w:rsid w:val="006110D8"/>
    <w:rsid w:val="00611156"/>
    <w:rsid w:val="00611169"/>
    <w:rsid w:val="0061125E"/>
    <w:rsid w:val="00611497"/>
    <w:rsid w:val="00611916"/>
    <w:rsid w:val="00611948"/>
    <w:rsid w:val="006119FD"/>
    <w:rsid w:val="00611A30"/>
    <w:rsid w:val="00611B6D"/>
    <w:rsid w:val="00611B92"/>
    <w:rsid w:val="00611CD5"/>
    <w:rsid w:val="006121CE"/>
    <w:rsid w:val="006123E3"/>
    <w:rsid w:val="0061270D"/>
    <w:rsid w:val="00612798"/>
    <w:rsid w:val="00612926"/>
    <w:rsid w:val="00612C27"/>
    <w:rsid w:val="00612C4D"/>
    <w:rsid w:val="00612F93"/>
    <w:rsid w:val="00613013"/>
    <w:rsid w:val="0061310F"/>
    <w:rsid w:val="006131F8"/>
    <w:rsid w:val="00613B2D"/>
    <w:rsid w:val="00613D92"/>
    <w:rsid w:val="00614392"/>
    <w:rsid w:val="00614A3D"/>
    <w:rsid w:val="00614D95"/>
    <w:rsid w:val="0061503A"/>
    <w:rsid w:val="006155DC"/>
    <w:rsid w:val="006156AF"/>
    <w:rsid w:val="00616389"/>
    <w:rsid w:val="0061675B"/>
    <w:rsid w:val="0061684B"/>
    <w:rsid w:val="00616CDF"/>
    <w:rsid w:val="00616D22"/>
    <w:rsid w:val="00616EAA"/>
    <w:rsid w:val="00616FEF"/>
    <w:rsid w:val="00617051"/>
    <w:rsid w:val="006172B5"/>
    <w:rsid w:val="006173AC"/>
    <w:rsid w:val="0061743E"/>
    <w:rsid w:val="00617513"/>
    <w:rsid w:val="0061795E"/>
    <w:rsid w:val="00617E6C"/>
    <w:rsid w:val="0062027E"/>
    <w:rsid w:val="006206E8"/>
    <w:rsid w:val="0062103B"/>
    <w:rsid w:val="0062116E"/>
    <w:rsid w:val="00621228"/>
    <w:rsid w:val="006212D0"/>
    <w:rsid w:val="006219BD"/>
    <w:rsid w:val="006219CA"/>
    <w:rsid w:val="00621BA2"/>
    <w:rsid w:val="00621BC1"/>
    <w:rsid w:val="00621FB1"/>
    <w:rsid w:val="00621FB6"/>
    <w:rsid w:val="00622AA2"/>
    <w:rsid w:val="006232EB"/>
    <w:rsid w:val="00623474"/>
    <w:rsid w:val="00623853"/>
    <w:rsid w:val="00624105"/>
    <w:rsid w:val="0062427A"/>
    <w:rsid w:val="00624382"/>
    <w:rsid w:val="00624752"/>
    <w:rsid w:val="00624757"/>
    <w:rsid w:val="006247AA"/>
    <w:rsid w:val="006247D3"/>
    <w:rsid w:val="006248E5"/>
    <w:rsid w:val="00624B9F"/>
    <w:rsid w:val="00624D13"/>
    <w:rsid w:val="00624DA5"/>
    <w:rsid w:val="00624E4E"/>
    <w:rsid w:val="00624E7B"/>
    <w:rsid w:val="0062503A"/>
    <w:rsid w:val="006251E8"/>
    <w:rsid w:val="0062541A"/>
    <w:rsid w:val="00625466"/>
    <w:rsid w:val="00625613"/>
    <w:rsid w:val="00625904"/>
    <w:rsid w:val="00625C0E"/>
    <w:rsid w:val="00625C49"/>
    <w:rsid w:val="00625E48"/>
    <w:rsid w:val="00626430"/>
    <w:rsid w:val="00626512"/>
    <w:rsid w:val="00626740"/>
    <w:rsid w:val="00626A7B"/>
    <w:rsid w:val="00626C21"/>
    <w:rsid w:val="00626C35"/>
    <w:rsid w:val="00626F47"/>
    <w:rsid w:val="00627118"/>
    <w:rsid w:val="00627328"/>
    <w:rsid w:val="0062772D"/>
    <w:rsid w:val="00627734"/>
    <w:rsid w:val="00627887"/>
    <w:rsid w:val="006278D0"/>
    <w:rsid w:val="00627C71"/>
    <w:rsid w:val="00627D0C"/>
    <w:rsid w:val="00627DCF"/>
    <w:rsid w:val="00627E47"/>
    <w:rsid w:val="0063013B"/>
    <w:rsid w:val="0063017E"/>
    <w:rsid w:val="006309CC"/>
    <w:rsid w:val="00630B49"/>
    <w:rsid w:val="00630D5A"/>
    <w:rsid w:val="00630E08"/>
    <w:rsid w:val="00630F24"/>
    <w:rsid w:val="00631D7E"/>
    <w:rsid w:val="00631E1D"/>
    <w:rsid w:val="00632061"/>
    <w:rsid w:val="00632152"/>
    <w:rsid w:val="00632585"/>
    <w:rsid w:val="00632626"/>
    <w:rsid w:val="00632718"/>
    <w:rsid w:val="006328F3"/>
    <w:rsid w:val="006329D1"/>
    <w:rsid w:val="00632A18"/>
    <w:rsid w:val="00633196"/>
    <w:rsid w:val="006331C4"/>
    <w:rsid w:val="00633395"/>
    <w:rsid w:val="006334D3"/>
    <w:rsid w:val="0063385B"/>
    <w:rsid w:val="006338BF"/>
    <w:rsid w:val="00633A8F"/>
    <w:rsid w:val="00634220"/>
    <w:rsid w:val="0063433F"/>
    <w:rsid w:val="00634638"/>
    <w:rsid w:val="006347B4"/>
    <w:rsid w:val="0063482B"/>
    <w:rsid w:val="00634847"/>
    <w:rsid w:val="006349EB"/>
    <w:rsid w:val="00634B42"/>
    <w:rsid w:val="00634BF5"/>
    <w:rsid w:val="006350D0"/>
    <w:rsid w:val="00635151"/>
    <w:rsid w:val="006351C5"/>
    <w:rsid w:val="006352C7"/>
    <w:rsid w:val="00635361"/>
    <w:rsid w:val="00635425"/>
    <w:rsid w:val="0063562A"/>
    <w:rsid w:val="0063599A"/>
    <w:rsid w:val="006361CD"/>
    <w:rsid w:val="006361F1"/>
    <w:rsid w:val="00636282"/>
    <w:rsid w:val="006367D2"/>
    <w:rsid w:val="00636805"/>
    <w:rsid w:val="006368F2"/>
    <w:rsid w:val="006369B9"/>
    <w:rsid w:val="00636C45"/>
    <w:rsid w:val="006370F2"/>
    <w:rsid w:val="00637854"/>
    <w:rsid w:val="006379F0"/>
    <w:rsid w:val="0064005D"/>
    <w:rsid w:val="006400DB"/>
    <w:rsid w:val="006405B5"/>
    <w:rsid w:val="00640992"/>
    <w:rsid w:val="00640B65"/>
    <w:rsid w:val="00640C39"/>
    <w:rsid w:val="00640E2C"/>
    <w:rsid w:val="00640FBE"/>
    <w:rsid w:val="006410DE"/>
    <w:rsid w:val="00641354"/>
    <w:rsid w:val="006414A1"/>
    <w:rsid w:val="00641507"/>
    <w:rsid w:val="006416A2"/>
    <w:rsid w:val="00641816"/>
    <w:rsid w:val="00641817"/>
    <w:rsid w:val="00641904"/>
    <w:rsid w:val="00641C66"/>
    <w:rsid w:val="00641D3D"/>
    <w:rsid w:val="00641DE4"/>
    <w:rsid w:val="00641E41"/>
    <w:rsid w:val="00641EF1"/>
    <w:rsid w:val="00642034"/>
    <w:rsid w:val="006420B8"/>
    <w:rsid w:val="00642187"/>
    <w:rsid w:val="00642794"/>
    <w:rsid w:val="006428AA"/>
    <w:rsid w:val="00642999"/>
    <w:rsid w:val="00642B26"/>
    <w:rsid w:val="00642E9E"/>
    <w:rsid w:val="00642F73"/>
    <w:rsid w:val="006430C8"/>
    <w:rsid w:val="006431E0"/>
    <w:rsid w:val="00643642"/>
    <w:rsid w:val="006437E9"/>
    <w:rsid w:val="006438E2"/>
    <w:rsid w:val="00643BD8"/>
    <w:rsid w:val="00644463"/>
    <w:rsid w:val="006445F7"/>
    <w:rsid w:val="00644C3A"/>
    <w:rsid w:val="00644E65"/>
    <w:rsid w:val="00644E6F"/>
    <w:rsid w:val="00645048"/>
    <w:rsid w:val="00645360"/>
    <w:rsid w:val="006454CB"/>
    <w:rsid w:val="006455A8"/>
    <w:rsid w:val="006455FC"/>
    <w:rsid w:val="006456A4"/>
    <w:rsid w:val="00645715"/>
    <w:rsid w:val="006457D2"/>
    <w:rsid w:val="00645E62"/>
    <w:rsid w:val="0064618C"/>
    <w:rsid w:val="006461C8"/>
    <w:rsid w:val="006462D4"/>
    <w:rsid w:val="0064675D"/>
    <w:rsid w:val="00646768"/>
    <w:rsid w:val="0064680F"/>
    <w:rsid w:val="006468D1"/>
    <w:rsid w:val="00646974"/>
    <w:rsid w:val="00646E93"/>
    <w:rsid w:val="00646E98"/>
    <w:rsid w:val="00646FB1"/>
    <w:rsid w:val="00647E1A"/>
    <w:rsid w:val="0065005C"/>
    <w:rsid w:val="0065008D"/>
    <w:rsid w:val="00650474"/>
    <w:rsid w:val="00650485"/>
    <w:rsid w:val="00650537"/>
    <w:rsid w:val="00650560"/>
    <w:rsid w:val="0065059C"/>
    <w:rsid w:val="006505F3"/>
    <w:rsid w:val="006506FB"/>
    <w:rsid w:val="00650D2A"/>
    <w:rsid w:val="00650D9D"/>
    <w:rsid w:val="00651109"/>
    <w:rsid w:val="00651187"/>
    <w:rsid w:val="0065121F"/>
    <w:rsid w:val="00651349"/>
    <w:rsid w:val="00651427"/>
    <w:rsid w:val="00651501"/>
    <w:rsid w:val="006515F6"/>
    <w:rsid w:val="006517BF"/>
    <w:rsid w:val="006519BC"/>
    <w:rsid w:val="00651C4B"/>
    <w:rsid w:val="0065241A"/>
    <w:rsid w:val="00652599"/>
    <w:rsid w:val="00652976"/>
    <w:rsid w:val="00652A2F"/>
    <w:rsid w:val="00652B1A"/>
    <w:rsid w:val="00652B6D"/>
    <w:rsid w:val="00652F45"/>
    <w:rsid w:val="006533D2"/>
    <w:rsid w:val="006534F8"/>
    <w:rsid w:val="00653B2F"/>
    <w:rsid w:val="00653C22"/>
    <w:rsid w:val="00653EBA"/>
    <w:rsid w:val="006540C4"/>
    <w:rsid w:val="00654184"/>
    <w:rsid w:val="006545A0"/>
    <w:rsid w:val="00654950"/>
    <w:rsid w:val="00654960"/>
    <w:rsid w:val="006549F5"/>
    <w:rsid w:val="00654AE1"/>
    <w:rsid w:val="00654CFD"/>
    <w:rsid w:val="00654DA5"/>
    <w:rsid w:val="006550A3"/>
    <w:rsid w:val="0065538A"/>
    <w:rsid w:val="00655482"/>
    <w:rsid w:val="0065555C"/>
    <w:rsid w:val="0065556A"/>
    <w:rsid w:val="00655607"/>
    <w:rsid w:val="00655888"/>
    <w:rsid w:val="00655A3C"/>
    <w:rsid w:val="00655CF2"/>
    <w:rsid w:val="00655D87"/>
    <w:rsid w:val="00655D90"/>
    <w:rsid w:val="00655ED9"/>
    <w:rsid w:val="0065613F"/>
    <w:rsid w:val="0065635A"/>
    <w:rsid w:val="00656889"/>
    <w:rsid w:val="00656B61"/>
    <w:rsid w:val="00656D14"/>
    <w:rsid w:val="00656F85"/>
    <w:rsid w:val="00657089"/>
    <w:rsid w:val="006574F2"/>
    <w:rsid w:val="00657733"/>
    <w:rsid w:val="0065786E"/>
    <w:rsid w:val="00657B5A"/>
    <w:rsid w:val="00657CBF"/>
    <w:rsid w:val="00657E25"/>
    <w:rsid w:val="00657F0B"/>
    <w:rsid w:val="00657F30"/>
    <w:rsid w:val="00657F95"/>
    <w:rsid w:val="00660441"/>
    <w:rsid w:val="00660475"/>
    <w:rsid w:val="00660DB6"/>
    <w:rsid w:val="006613F8"/>
    <w:rsid w:val="006613FA"/>
    <w:rsid w:val="00661471"/>
    <w:rsid w:val="006614AB"/>
    <w:rsid w:val="00661DAD"/>
    <w:rsid w:val="00661FDA"/>
    <w:rsid w:val="00662172"/>
    <w:rsid w:val="00662224"/>
    <w:rsid w:val="006625F7"/>
    <w:rsid w:val="0066263B"/>
    <w:rsid w:val="006627B9"/>
    <w:rsid w:val="006627DD"/>
    <w:rsid w:val="00662844"/>
    <w:rsid w:val="00662BED"/>
    <w:rsid w:val="00662CF0"/>
    <w:rsid w:val="00662D04"/>
    <w:rsid w:val="00662E32"/>
    <w:rsid w:val="006630F9"/>
    <w:rsid w:val="006631F8"/>
    <w:rsid w:val="006636DA"/>
    <w:rsid w:val="0066389A"/>
    <w:rsid w:val="00663B42"/>
    <w:rsid w:val="00663BD6"/>
    <w:rsid w:val="00663C88"/>
    <w:rsid w:val="00663E08"/>
    <w:rsid w:val="00663E35"/>
    <w:rsid w:val="0066426A"/>
    <w:rsid w:val="006642A0"/>
    <w:rsid w:val="006642DA"/>
    <w:rsid w:val="006645BF"/>
    <w:rsid w:val="0066477B"/>
    <w:rsid w:val="006647AC"/>
    <w:rsid w:val="00664A55"/>
    <w:rsid w:val="00664BAC"/>
    <w:rsid w:val="00664E04"/>
    <w:rsid w:val="006651A8"/>
    <w:rsid w:val="006653A9"/>
    <w:rsid w:val="006654B5"/>
    <w:rsid w:val="00665971"/>
    <w:rsid w:val="00665A97"/>
    <w:rsid w:val="00665C25"/>
    <w:rsid w:val="00665DC6"/>
    <w:rsid w:val="00665E4A"/>
    <w:rsid w:val="00665EDC"/>
    <w:rsid w:val="00665F2B"/>
    <w:rsid w:val="00666003"/>
    <w:rsid w:val="0066611D"/>
    <w:rsid w:val="006661F7"/>
    <w:rsid w:val="00666308"/>
    <w:rsid w:val="006666E8"/>
    <w:rsid w:val="0066691A"/>
    <w:rsid w:val="00666A3B"/>
    <w:rsid w:val="00666AEA"/>
    <w:rsid w:val="00666B42"/>
    <w:rsid w:val="00666F06"/>
    <w:rsid w:val="00667052"/>
    <w:rsid w:val="00667432"/>
    <w:rsid w:val="00667524"/>
    <w:rsid w:val="0066778F"/>
    <w:rsid w:val="00667945"/>
    <w:rsid w:val="00667962"/>
    <w:rsid w:val="00667C96"/>
    <w:rsid w:val="00667E15"/>
    <w:rsid w:val="00670021"/>
    <w:rsid w:val="0067017D"/>
    <w:rsid w:val="00670331"/>
    <w:rsid w:val="006705FA"/>
    <w:rsid w:val="006708B1"/>
    <w:rsid w:val="00670903"/>
    <w:rsid w:val="00670AB3"/>
    <w:rsid w:val="00671026"/>
    <w:rsid w:val="0067126F"/>
    <w:rsid w:val="0067134B"/>
    <w:rsid w:val="0067153C"/>
    <w:rsid w:val="006715DC"/>
    <w:rsid w:val="0067181D"/>
    <w:rsid w:val="00671993"/>
    <w:rsid w:val="00671F07"/>
    <w:rsid w:val="00672446"/>
    <w:rsid w:val="006724DF"/>
    <w:rsid w:val="006724EF"/>
    <w:rsid w:val="006725D7"/>
    <w:rsid w:val="0067271D"/>
    <w:rsid w:val="0067292C"/>
    <w:rsid w:val="006729E2"/>
    <w:rsid w:val="00672F6A"/>
    <w:rsid w:val="00673136"/>
    <w:rsid w:val="006736F6"/>
    <w:rsid w:val="00673866"/>
    <w:rsid w:val="006738B8"/>
    <w:rsid w:val="00674279"/>
    <w:rsid w:val="0067430D"/>
    <w:rsid w:val="00674B4B"/>
    <w:rsid w:val="00674BE2"/>
    <w:rsid w:val="00674CBA"/>
    <w:rsid w:val="00674ED8"/>
    <w:rsid w:val="00675167"/>
    <w:rsid w:val="00675197"/>
    <w:rsid w:val="0067533B"/>
    <w:rsid w:val="006754A3"/>
    <w:rsid w:val="0067591F"/>
    <w:rsid w:val="00675A40"/>
    <w:rsid w:val="00675CB2"/>
    <w:rsid w:val="00675D55"/>
    <w:rsid w:val="00675DE6"/>
    <w:rsid w:val="00676388"/>
    <w:rsid w:val="00676906"/>
    <w:rsid w:val="00676D07"/>
    <w:rsid w:val="00676D31"/>
    <w:rsid w:val="00676E5E"/>
    <w:rsid w:val="00676E6A"/>
    <w:rsid w:val="00676EC4"/>
    <w:rsid w:val="006774E2"/>
    <w:rsid w:val="006774F9"/>
    <w:rsid w:val="00677626"/>
    <w:rsid w:val="006776A7"/>
    <w:rsid w:val="00677DB5"/>
    <w:rsid w:val="00677DFB"/>
    <w:rsid w:val="00677EBA"/>
    <w:rsid w:val="00677FD4"/>
    <w:rsid w:val="006801F8"/>
    <w:rsid w:val="00680643"/>
    <w:rsid w:val="00680AC6"/>
    <w:rsid w:val="00680BB3"/>
    <w:rsid w:val="006810E5"/>
    <w:rsid w:val="00681561"/>
    <w:rsid w:val="006815F2"/>
    <w:rsid w:val="0068164C"/>
    <w:rsid w:val="006818AD"/>
    <w:rsid w:val="00681CD1"/>
    <w:rsid w:val="00681F34"/>
    <w:rsid w:val="00681FE7"/>
    <w:rsid w:val="006822DF"/>
    <w:rsid w:val="006823DA"/>
    <w:rsid w:val="006825A5"/>
    <w:rsid w:val="0068265B"/>
    <w:rsid w:val="00682673"/>
    <w:rsid w:val="006829D6"/>
    <w:rsid w:val="006829F7"/>
    <w:rsid w:val="00682A12"/>
    <w:rsid w:val="00682C64"/>
    <w:rsid w:val="0068309A"/>
    <w:rsid w:val="00683125"/>
    <w:rsid w:val="00683318"/>
    <w:rsid w:val="00683456"/>
    <w:rsid w:val="006836BE"/>
    <w:rsid w:val="00683CC1"/>
    <w:rsid w:val="00683EEC"/>
    <w:rsid w:val="00683F08"/>
    <w:rsid w:val="00684042"/>
    <w:rsid w:val="00684192"/>
    <w:rsid w:val="006841F6"/>
    <w:rsid w:val="00684684"/>
    <w:rsid w:val="00684E07"/>
    <w:rsid w:val="0068560A"/>
    <w:rsid w:val="0068570A"/>
    <w:rsid w:val="00685765"/>
    <w:rsid w:val="00685A2C"/>
    <w:rsid w:val="00685A64"/>
    <w:rsid w:val="00685B3E"/>
    <w:rsid w:val="00685DCE"/>
    <w:rsid w:val="00685F1D"/>
    <w:rsid w:val="00686009"/>
    <w:rsid w:val="00686148"/>
    <w:rsid w:val="006861A7"/>
    <w:rsid w:val="00686653"/>
    <w:rsid w:val="0068674D"/>
    <w:rsid w:val="00686960"/>
    <w:rsid w:val="00686A01"/>
    <w:rsid w:val="00686AC7"/>
    <w:rsid w:val="00686AE9"/>
    <w:rsid w:val="00687038"/>
    <w:rsid w:val="00687373"/>
    <w:rsid w:val="0068766D"/>
    <w:rsid w:val="006877BD"/>
    <w:rsid w:val="006878E9"/>
    <w:rsid w:val="00687A36"/>
    <w:rsid w:val="00687A96"/>
    <w:rsid w:val="00687B22"/>
    <w:rsid w:val="00687BD3"/>
    <w:rsid w:val="006904C5"/>
    <w:rsid w:val="006906A0"/>
    <w:rsid w:val="006906EC"/>
    <w:rsid w:val="00690C0B"/>
    <w:rsid w:val="00690CAA"/>
    <w:rsid w:val="00690D0C"/>
    <w:rsid w:val="006914E8"/>
    <w:rsid w:val="0069162C"/>
    <w:rsid w:val="00691890"/>
    <w:rsid w:val="006918C3"/>
    <w:rsid w:val="00691915"/>
    <w:rsid w:val="0069227F"/>
    <w:rsid w:val="00692333"/>
    <w:rsid w:val="00692415"/>
    <w:rsid w:val="00692711"/>
    <w:rsid w:val="006927BE"/>
    <w:rsid w:val="00692892"/>
    <w:rsid w:val="00692B7D"/>
    <w:rsid w:val="00692D2A"/>
    <w:rsid w:val="00693199"/>
    <w:rsid w:val="0069338C"/>
    <w:rsid w:val="006933AC"/>
    <w:rsid w:val="00693556"/>
    <w:rsid w:val="0069358E"/>
    <w:rsid w:val="00693698"/>
    <w:rsid w:val="00693D1F"/>
    <w:rsid w:val="00693FB1"/>
    <w:rsid w:val="00693FE3"/>
    <w:rsid w:val="0069405B"/>
    <w:rsid w:val="00694111"/>
    <w:rsid w:val="006941AF"/>
    <w:rsid w:val="006944B6"/>
    <w:rsid w:val="0069454E"/>
    <w:rsid w:val="00694B26"/>
    <w:rsid w:val="00694B4E"/>
    <w:rsid w:val="00694BCB"/>
    <w:rsid w:val="00694F74"/>
    <w:rsid w:val="00695113"/>
    <w:rsid w:val="006951B1"/>
    <w:rsid w:val="0069524C"/>
    <w:rsid w:val="006952A2"/>
    <w:rsid w:val="0069535B"/>
    <w:rsid w:val="006954B1"/>
    <w:rsid w:val="0069552E"/>
    <w:rsid w:val="00695662"/>
    <w:rsid w:val="00695A59"/>
    <w:rsid w:val="00695A7E"/>
    <w:rsid w:val="006960EC"/>
    <w:rsid w:val="00696205"/>
    <w:rsid w:val="006962B7"/>
    <w:rsid w:val="00696344"/>
    <w:rsid w:val="006963B2"/>
    <w:rsid w:val="00696503"/>
    <w:rsid w:val="00696914"/>
    <w:rsid w:val="00696A94"/>
    <w:rsid w:val="00696BE6"/>
    <w:rsid w:val="00696FFA"/>
    <w:rsid w:val="006970EC"/>
    <w:rsid w:val="00697799"/>
    <w:rsid w:val="00697805"/>
    <w:rsid w:val="00697998"/>
    <w:rsid w:val="006979D3"/>
    <w:rsid w:val="006A02B0"/>
    <w:rsid w:val="006A074D"/>
    <w:rsid w:val="006A076E"/>
    <w:rsid w:val="006A08A0"/>
    <w:rsid w:val="006A0B91"/>
    <w:rsid w:val="006A0C46"/>
    <w:rsid w:val="006A0D84"/>
    <w:rsid w:val="006A0E25"/>
    <w:rsid w:val="006A0F55"/>
    <w:rsid w:val="006A0FE5"/>
    <w:rsid w:val="006A0FF6"/>
    <w:rsid w:val="006A1087"/>
    <w:rsid w:val="006A14CB"/>
    <w:rsid w:val="006A1841"/>
    <w:rsid w:val="006A18A8"/>
    <w:rsid w:val="006A18B1"/>
    <w:rsid w:val="006A196E"/>
    <w:rsid w:val="006A1975"/>
    <w:rsid w:val="006A1CAD"/>
    <w:rsid w:val="006A1CBC"/>
    <w:rsid w:val="006A2085"/>
    <w:rsid w:val="006A20C4"/>
    <w:rsid w:val="006A20E6"/>
    <w:rsid w:val="006A2562"/>
    <w:rsid w:val="006A2585"/>
    <w:rsid w:val="006A26D2"/>
    <w:rsid w:val="006A29F2"/>
    <w:rsid w:val="006A2A64"/>
    <w:rsid w:val="006A2A90"/>
    <w:rsid w:val="006A2B8B"/>
    <w:rsid w:val="006A2C69"/>
    <w:rsid w:val="006A3146"/>
    <w:rsid w:val="006A3198"/>
    <w:rsid w:val="006A3380"/>
    <w:rsid w:val="006A359A"/>
    <w:rsid w:val="006A3967"/>
    <w:rsid w:val="006A3D4C"/>
    <w:rsid w:val="006A3DB4"/>
    <w:rsid w:val="006A41C6"/>
    <w:rsid w:val="006A452F"/>
    <w:rsid w:val="006A459A"/>
    <w:rsid w:val="006A46A8"/>
    <w:rsid w:val="006A4897"/>
    <w:rsid w:val="006A4DBC"/>
    <w:rsid w:val="006A4EF1"/>
    <w:rsid w:val="006A51B0"/>
    <w:rsid w:val="006A5282"/>
    <w:rsid w:val="006A536E"/>
    <w:rsid w:val="006A5668"/>
    <w:rsid w:val="006A5732"/>
    <w:rsid w:val="006A57AD"/>
    <w:rsid w:val="006A5C2A"/>
    <w:rsid w:val="006A5D1B"/>
    <w:rsid w:val="006A5D8C"/>
    <w:rsid w:val="006A5F1E"/>
    <w:rsid w:val="006A5F2F"/>
    <w:rsid w:val="006A60F5"/>
    <w:rsid w:val="006A63E3"/>
    <w:rsid w:val="006A6899"/>
    <w:rsid w:val="006A6BD7"/>
    <w:rsid w:val="006A6BE4"/>
    <w:rsid w:val="006A6C45"/>
    <w:rsid w:val="006A6C64"/>
    <w:rsid w:val="006A70D2"/>
    <w:rsid w:val="006A7170"/>
    <w:rsid w:val="006A7837"/>
    <w:rsid w:val="006A7B45"/>
    <w:rsid w:val="006A7B7F"/>
    <w:rsid w:val="006A7C47"/>
    <w:rsid w:val="006B0520"/>
    <w:rsid w:val="006B0605"/>
    <w:rsid w:val="006B0882"/>
    <w:rsid w:val="006B0A37"/>
    <w:rsid w:val="006B10EC"/>
    <w:rsid w:val="006B12F6"/>
    <w:rsid w:val="006B14C4"/>
    <w:rsid w:val="006B192D"/>
    <w:rsid w:val="006B2013"/>
    <w:rsid w:val="006B20A6"/>
    <w:rsid w:val="006B23EE"/>
    <w:rsid w:val="006B2568"/>
    <w:rsid w:val="006B271B"/>
    <w:rsid w:val="006B2721"/>
    <w:rsid w:val="006B2823"/>
    <w:rsid w:val="006B288E"/>
    <w:rsid w:val="006B2D80"/>
    <w:rsid w:val="006B2DA8"/>
    <w:rsid w:val="006B2E21"/>
    <w:rsid w:val="006B3030"/>
    <w:rsid w:val="006B3254"/>
    <w:rsid w:val="006B345A"/>
    <w:rsid w:val="006B34DA"/>
    <w:rsid w:val="006B3608"/>
    <w:rsid w:val="006B3814"/>
    <w:rsid w:val="006B394C"/>
    <w:rsid w:val="006B3BF9"/>
    <w:rsid w:val="006B3C54"/>
    <w:rsid w:val="006B3D3B"/>
    <w:rsid w:val="006B3E9A"/>
    <w:rsid w:val="006B4231"/>
    <w:rsid w:val="006B4246"/>
    <w:rsid w:val="006B4327"/>
    <w:rsid w:val="006B4663"/>
    <w:rsid w:val="006B475D"/>
    <w:rsid w:val="006B486F"/>
    <w:rsid w:val="006B4B40"/>
    <w:rsid w:val="006B4EBE"/>
    <w:rsid w:val="006B4F60"/>
    <w:rsid w:val="006B511D"/>
    <w:rsid w:val="006B5184"/>
    <w:rsid w:val="006B5811"/>
    <w:rsid w:val="006B59B4"/>
    <w:rsid w:val="006B59B6"/>
    <w:rsid w:val="006B5AEF"/>
    <w:rsid w:val="006B5CA6"/>
    <w:rsid w:val="006B5E90"/>
    <w:rsid w:val="006B600A"/>
    <w:rsid w:val="006B6193"/>
    <w:rsid w:val="006B61C9"/>
    <w:rsid w:val="006B640D"/>
    <w:rsid w:val="006B6665"/>
    <w:rsid w:val="006B6872"/>
    <w:rsid w:val="006B6A76"/>
    <w:rsid w:val="006B6DCF"/>
    <w:rsid w:val="006B6EFF"/>
    <w:rsid w:val="006B76CA"/>
    <w:rsid w:val="006B7ADC"/>
    <w:rsid w:val="006B7C20"/>
    <w:rsid w:val="006B7E3B"/>
    <w:rsid w:val="006B7F19"/>
    <w:rsid w:val="006C0161"/>
    <w:rsid w:val="006C023E"/>
    <w:rsid w:val="006C033F"/>
    <w:rsid w:val="006C04DD"/>
    <w:rsid w:val="006C073B"/>
    <w:rsid w:val="006C106E"/>
    <w:rsid w:val="006C12DA"/>
    <w:rsid w:val="006C14F4"/>
    <w:rsid w:val="006C16B9"/>
    <w:rsid w:val="006C1736"/>
    <w:rsid w:val="006C17E5"/>
    <w:rsid w:val="006C190A"/>
    <w:rsid w:val="006C1984"/>
    <w:rsid w:val="006C1A71"/>
    <w:rsid w:val="006C1C2E"/>
    <w:rsid w:val="006C1C46"/>
    <w:rsid w:val="006C1D38"/>
    <w:rsid w:val="006C1E0D"/>
    <w:rsid w:val="006C21A2"/>
    <w:rsid w:val="006C2387"/>
    <w:rsid w:val="006C28C8"/>
    <w:rsid w:val="006C28D0"/>
    <w:rsid w:val="006C299F"/>
    <w:rsid w:val="006C31B8"/>
    <w:rsid w:val="006C3261"/>
    <w:rsid w:val="006C339E"/>
    <w:rsid w:val="006C3476"/>
    <w:rsid w:val="006C34F0"/>
    <w:rsid w:val="006C3AFC"/>
    <w:rsid w:val="006C3DC9"/>
    <w:rsid w:val="006C3F46"/>
    <w:rsid w:val="006C40AE"/>
    <w:rsid w:val="006C421A"/>
    <w:rsid w:val="006C42FC"/>
    <w:rsid w:val="006C43AF"/>
    <w:rsid w:val="006C4420"/>
    <w:rsid w:val="006C47EB"/>
    <w:rsid w:val="006C484D"/>
    <w:rsid w:val="006C4922"/>
    <w:rsid w:val="006C5020"/>
    <w:rsid w:val="006C5302"/>
    <w:rsid w:val="006C5635"/>
    <w:rsid w:val="006C57B6"/>
    <w:rsid w:val="006C5A40"/>
    <w:rsid w:val="006C5ACC"/>
    <w:rsid w:val="006C5B95"/>
    <w:rsid w:val="006C5CED"/>
    <w:rsid w:val="006C5EFA"/>
    <w:rsid w:val="006C6083"/>
    <w:rsid w:val="006C6269"/>
    <w:rsid w:val="006C6382"/>
    <w:rsid w:val="006C63A3"/>
    <w:rsid w:val="006C6811"/>
    <w:rsid w:val="006C6AD0"/>
    <w:rsid w:val="006C6D22"/>
    <w:rsid w:val="006C6D8B"/>
    <w:rsid w:val="006C6E84"/>
    <w:rsid w:val="006C7057"/>
    <w:rsid w:val="006C712F"/>
    <w:rsid w:val="006C73AF"/>
    <w:rsid w:val="006C7429"/>
    <w:rsid w:val="006C749B"/>
    <w:rsid w:val="006C77C7"/>
    <w:rsid w:val="006C7970"/>
    <w:rsid w:val="006C7B93"/>
    <w:rsid w:val="006D031A"/>
    <w:rsid w:val="006D036A"/>
    <w:rsid w:val="006D036D"/>
    <w:rsid w:val="006D0946"/>
    <w:rsid w:val="006D095E"/>
    <w:rsid w:val="006D0CC4"/>
    <w:rsid w:val="006D0D0B"/>
    <w:rsid w:val="006D0D41"/>
    <w:rsid w:val="006D0D5E"/>
    <w:rsid w:val="006D0FC8"/>
    <w:rsid w:val="006D126E"/>
    <w:rsid w:val="006D146D"/>
    <w:rsid w:val="006D1527"/>
    <w:rsid w:val="006D16D9"/>
    <w:rsid w:val="006D1BAA"/>
    <w:rsid w:val="006D1BCB"/>
    <w:rsid w:val="006D1D95"/>
    <w:rsid w:val="006D1E31"/>
    <w:rsid w:val="006D1EF1"/>
    <w:rsid w:val="006D1FCA"/>
    <w:rsid w:val="006D227B"/>
    <w:rsid w:val="006D25F3"/>
    <w:rsid w:val="006D2CB5"/>
    <w:rsid w:val="006D35BB"/>
    <w:rsid w:val="006D36B4"/>
    <w:rsid w:val="006D38E7"/>
    <w:rsid w:val="006D3978"/>
    <w:rsid w:val="006D39B5"/>
    <w:rsid w:val="006D3B2F"/>
    <w:rsid w:val="006D3BAD"/>
    <w:rsid w:val="006D4112"/>
    <w:rsid w:val="006D41B0"/>
    <w:rsid w:val="006D4260"/>
    <w:rsid w:val="006D4414"/>
    <w:rsid w:val="006D44CD"/>
    <w:rsid w:val="006D451E"/>
    <w:rsid w:val="006D455A"/>
    <w:rsid w:val="006D4CF8"/>
    <w:rsid w:val="006D4E27"/>
    <w:rsid w:val="006D5265"/>
    <w:rsid w:val="006D53DE"/>
    <w:rsid w:val="006D555C"/>
    <w:rsid w:val="006D5980"/>
    <w:rsid w:val="006D5BB4"/>
    <w:rsid w:val="006D5D6B"/>
    <w:rsid w:val="006D6018"/>
    <w:rsid w:val="006D6025"/>
    <w:rsid w:val="006D602B"/>
    <w:rsid w:val="006D6065"/>
    <w:rsid w:val="006D6267"/>
    <w:rsid w:val="006D6420"/>
    <w:rsid w:val="006D6621"/>
    <w:rsid w:val="006D6656"/>
    <w:rsid w:val="006D6B9A"/>
    <w:rsid w:val="006D6D37"/>
    <w:rsid w:val="006D6E46"/>
    <w:rsid w:val="006D6FEE"/>
    <w:rsid w:val="006D729A"/>
    <w:rsid w:val="006D7429"/>
    <w:rsid w:val="006D7600"/>
    <w:rsid w:val="006D76CF"/>
    <w:rsid w:val="006D7A91"/>
    <w:rsid w:val="006D7B01"/>
    <w:rsid w:val="006D7B44"/>
    <w:rsid w:val="006D7F6F"/>
    <w:rsid w:val="006E003A"/>
    <w:rsid w:val="006E00F8"/>
    <w:rsid w:val="006E0404"/>
    <w:rsid w:val="006E0432"/>
    <w:rsid w:val="006E0771"/>
    <w:rsid w:val="006E0B7B"/>
    <w:rsid w:val="006E1161"/>
    <w:rsid w:val="006E11BE"/>
    <w:rsid w:val="006E12C1"/>
    <w:rsid w:val="006E12C4"/>
    <w:rsid w:val="006E157A"/>
    <w:rsid w:val="006E157C"/>
    <w:rsid w:val="006E15A5"/>
    <w:rsid w:val="006E1917"/>
    <w:rsid w:val="006E1A92"/>
    <w:rsid w:val="006E1AB2"/>
    <w:rsid w:val="006E1B97"/>
    <w:rsid w:val="006E1D44"/>
    <w:rsid w:val="006E1E88"/>
    <w:rsid w:val="006E22C6"/>
    <w:rsid w:val="006E2350"/>
    <w:rsid w:val="006E235E"/>
    <w:rsid w:val="006E23EE"/>
    <w:rsid w:val="006E248C"/>
    <w:rsid w:val="006E2559"/>
    <w:rsid w:val="006E2734"/>
    <w:rsid w:val="006E298F"/>
    <w:rsid w:val="006E2B3C"/>
    <w:rsid w:val="006E2F07"/>
    <w:rsid w:val="006E3032"/>
    <w:rsid w:val="006E3109"/>
    <w:rsid w:val="006E3134"/>
    <w:rsid w:val="006E34DC"/>
    <w:rsid w:val="006E38EF"/>
    <w:rsid w:val="006E3A2A"/>
    <w:rsid w:val="006E419B"/>
    <w:rsid w:val="006E4214"/>
    <w:rsid w:val="006E457A"/>
    <w:rsid w:val="006E4820"/>
    <w:rsid w:val="006E4964"/>
    <w:rsid w:val="006E4B35"/>
    <w:rsid w:val="006E4CC8"/>
    <w:rsid w:val="006E4E61"/>
    <w:rsid w:val="006E4F1D"/>
    <w:rsid w:val="006E4F2A"/>
    <w:rsid w:val="006E4F38"/>
    <w:rsid w:val="006E5319"/>
    <w:rsid w:val="006E55EF"/>
    <w:rsid w:val="006E5800"/>
    <w:rsid w:val="006E58D6"/>
    <w:rsid w:val="006E5BDC"/>
    <w:rsid w:val="006E5C46"/>
    <w:rsid w:val="006E5D84"/>
    <w:rsid w:val="006E5F81"/>
    <w:rsid w:val="006E6081"/>
    <w:rsid w:val="006E60C1"/>
    <w:rsid w:val="006E665B"/>
    <w:rsid w:val="006E6882"/>
    <w:rsid w:val="006E6B55"/>
    <w:rsid w:val="006E731B"/>
    <w:rsid w:val="006E75E6"/>
    <w:rsid w:val="006E75F7"/>
    <w:rsid w:val="006E780A"/>
    <w:rsid w:val="006E7880"/>
    <w:rsid w:val="006E78E6"/>
    <w:rsid w:val="006E7AEB"/>
    <w:rsid w:val="006E7C2C"/>
    <w:rsid w:val="006E7E4E"/>
    <w:rsid w:val="006E7E7A"/>
    <w:rsid w:val="006F03C5"/>
    <w:rsid w:val="006F04C6"/>
    <w:rsid w:val="006F0507"/>
    <w:rsid w:val="006F06A2"/>
    <w:rsid w:val="006F0739"/>
    <w:rsid w:val="006F076B"/>
    <w:rsid w:val="006F09C0"/>
    <w:rsid w:val="006F0BE7"/>
    <w:rsid w:val="006F0C31"/>
    <w:rsid w:val="006F122F"/>
    <w:rsid w:val="006F1506"/>
    <w:rsid w:val="006F178B"/>
    <w:rsid w:val="006F1B06"/>
    <w:rsid w:val="006F1E59"/>
    <w:rsid w:val="006F1F48"/>
    <w:rsid w:val="006F21E6"/>
    <w:rsid w:val="006F2887"/>
    <w:rsid w:val="006F2910"/>
    <w:rsid w:val="006F2B17"/>
    <w:rsid w:val="006F2D66"/>
    <w:rsid w:val="006F306B"/>
    <w:rsid w:val="006F33D5"/>
    <w:rsid w:val="006F3484"/>
    <w:rsid w:val="006F35CE"/>
    <w:rsid w:val="006F36AD"/>
    <w:rsid w:val="006F3754"/>
    <w:rsid w:val="006F37F7"/>
    <w:rsid w:val="006F3AE3"/>
    <w:rsid w:val="006F3EED"/>
    <w:rsid w:val="006F3F08"/>
    <w:rsid w:val="006F477A"/>
    <w:rsid w:val="006F4802"/>
    <w:rsid w:val="006F4949"/>
    <w:rsid w:val="006F4B0B"/>
    <w:rsid w:val="006F4BE1"/>
    <w:rsid w:val="006F4C41"/>
    <w:rsid w:val="006F4E1F"/>
    <w:rsid w:val="006F5005"/>
    <w:rsid w:val="006F51BF"/>
    <w:rsid w:val="006F5517"/>
    <w:rsid w:val="006F576E"/>
    <w:rsid w:val="006F57FA"/>
    <w:rsid w:val="006F5990"/>
    <w:rsid w:val="006F599A"/>
    <w:rsid w:val="006F5F18"/>
    <w:rsid w:val="006F61D5"/>
    <w:rsid w:val="006F63A8"/>
    <w:rsid w:val="006F6999"/>
    <w:rsid w:val="006F6A30"/>
    <w:rsid w:val="006F6DF3"/>
    <w:rsid w:val="006F720F"/>
    <w:rsid w:val="006F7389"/>
    <w:rsid w:val="006F743F"/>
    <w:rsid w:val="006F7510"/>
    <w:rsid w:val="006F7564"/>
    <w:rsid w:val="006F7647"/>
    <w:rsid w:val="006F789A"/>
    <w:rsid w:val="006F7A6B"/>
    <w:rsid w:val="006F7C09"/>
    <w:rsid w:val="0070032C"/>
    <w:rsid w:val="00700476"/>
    <w:rsid w:val="007007F0"/>
    <w:rsid w:val="00700A8D"/>
    <w:rsid w:val="00700AC3"/>
    <w:rsid w:val="00700D68"/>
    <w:rsid w:val="0070126A"/>
    <w:rsid w:val="00701390"/>
    <w:rsid w:val="007013E7"/>
    <w:rsid w:val="00701491"/>
    <w:rsid w:val="0070154A"/>
    <w:rsid w:val="007019BB"/>
    <w:rsid w:val="00701F2F"/>
    <w:rsid w:val="0070211E"/>
    <w:rsid w:val="00702290"/>
    <w:rsid w:val="007022D5"/>
    <w:rsid w:val="0070235B"/>
    <w:rsid w:val="007023F0"/>
    <w:rsid w:val="00702813"/>
    <w:rsid w:val="00702879"/>
    <w:rsid w:val="007029E2"/>
    <w:rsid w:val="00702D96"/>
    <w:rsid w:val="00702F34"/>
    <w:rsid w:val="00703216"/>
    <w:rsid w:val="00703C3E"/>
    <w:rsid w:val="00704072"/>
    <w:rsid w:val="007041E1"/>
    <w:rsid w:val="0070449C"/>
    <w:rsid w:val="007045B6"/>
    <w:rsid w:val="00704630"/>
    <w:rsid w:val="00704763"/>
    <w:rsid w:val="0070476A"/>
    <w:rsid w:val="00704AF5"/>
    <w:rsid w:val="00704BDE"/>
    <w:rsid w:val="00704D14"/>
    <w:rsid w:val="00704E9B"/>
    <w:rsid w:val="00704F54"/>
    <w:rsid w:val="007053C8"/>
    <w:rsid w:val="00705683"/>
    <w:rsid w:val="00705B00"/>
    <w:rsid w:val="00705B5C"/>
    <w:rsid w:val="00705B75"/>
    <w:rsid w:val="00705D6D"/>
    <w:rsid w:val="00705E20"/>
    <w:rsid w:val="007061D0"/>
    <w:rsid w:val="007061E7"/>
    <w:rsid w:val="00706284"/>
    <w:rsid w:val="0070665B"/>
    <w:rsid w:val="00706D5C"/>
    <w:rsid w:val="00706E2F"/>
    <w:rsid w:val="00707091"/>
    <w:rsid w:val="0070715C"/>
    <w:rsid w:val="007071E2"/>
    <w:rsid w:val="00707E4E"/>
    <w:rsid w:val="00707EFB"/>
    <w:rsid w:val="00707F48"/>
    <w:rsid w:val="007100A7"/>
    <w:rsid w:val="0071035E"/>
    <w:rsid w:val="00710504"/>
    <w:rsid w:val="00710667"/>
    <w:rsid w:val="00710CCA"/>
    <w:rsid w:val="00710E8D"/>
    <w:rsid w:val="00710EB0"/>
    <w:rsid w:val="00711072"/>
    <w:rsid w:val="0071111A"/>
    <w:rsid w:val="00711172"/>
    <w:rsid w:val="007112A1"/>
    <w:rsid w:val="007112F2"/>
    <w:rsid w:val="0071160B"/>
    <w:rsid w:val="00711754"/>
    <w:rsid w:val="00711983"/>
    <w:rsid w:val="00711995"/>
    <w:rsid w:val="00711C1A"/>
    <w:rsid w:val="00711F10"/>
    <w:rsid w:val="007120CC"/>
    <w:rsid w:val="007122B3"/>
    <w:rsid w:val="007124CE"/>
    <w:rsid w:val="007126FA"/>
    <w:rsid w:val="0071270A"/>
    <w:rsid w:val="007129BD"/>
    <w:rsid w:val="00712BE7"/>
    <w:rsid w:val="00712BED"/>
    <w:rsid w:val="00712C47"/>
    <w:rsid w:val="00712F09"/>
    <w:rsid w:val="00712F5C"/>
    <w:rsid w:val="00713169"/>
    <w:rsid w:val="007131CC"/>
    <w:rsid w:val="00713290"/>
    <w:rsid w:val="0071335F"/>
    <w:rsid w:val="00713406"/>
    <w:rsid w:val="00713815"/>
    <w:rsid w:val="00713E41"/>
    <w:rsid w:val="00713F82"/>
    <w:rsid w:val="007140C0"/>
    <w:rsid w:val="00714196"/>
    <w:rsid w:val="0071419D"/>
    <w:rsid w:val="00714204"/>
    <w:rsid w:val="00714338"/>
    <w:rsid w:val="00714360"/>
    <w:rsid w:val="007144E4"/>
    <w:rsid w:val="00714A44"/>
    <w:rsid w:val="00714B21"/>
    <w:rsid w:val="00714B30"/>
    <w:rsid w:val="00714E9D"/>
    <w:rsid w:val="00714FC2"/>
    <w:rsid w:val="00715277"/>
    <w:rsid w:val="0071559E"/>
    <w:rsid w:val="007155E2"/>
    <w:rsid w:val="00715700"/>
    <w:rsid w:val="00715843"/>
    <w:rsid w:val="007159C3"/>
    <w:rsid w:val="00715A4C"/>
    <w:rsid w:val="00715A71"/>
    <w:rsid w:val="00715ADA"/>
    <w:rsid w:val="00715AFA"/>
    <w:rsid w:val="00715F09"/>
    <w:rsid w:val="00715F9A"/>
    <w:rsid w:val="00716053"/>
    <w:rsid w:val="007161AA"/>
    <w:rsid w:val="007162F8"/>
    <w:rsid w:val="00716664"/>
    <w:rsid w:val="00716868"/>
    <w:rsid w:val="007168A5"/>
    <w:rsid w:val="00716A9F"/>
    <w:rsid w:val="00716D66"/>
    <w:rsid w:val="00717277"/>
    <w:rsid w:val="00717355"/>
    <w:rsid w:val="00717521"/>
    <w:rsid w:val="00717599"/>
    <w:rsid w:val="00717D56"/>
    <w:rsid w:val="00717F7C"/>
    <w:rsid w:val="00720CC7"/>
    <w:rsid w:val="0072144B"/>
    <w:rsid w:val="007214FC"/>
    <w:rsid w:val="007217BF"/>
    <w:rsid w:val="00722277"/>
    <w:rsid w:val="007223A4"/>
    <w:rsid w:val="007224DE"/>
    <w:rsid w:val="007225A7"/>
    <w:rsid w:val="00722A1A"/>
    <w:rsid w:val="00722BA9"/>
    <w:rsid w:val="00722E60"/>
    <w:rsid w:val="00722FAA"/>
    <w:rsid w:val="00723359"/>
    <w:rsid w:val="00723489"/>
    <w:rsid w:val="007234B9"/>
    <w:rsid w:val="00723686"/>
    <w:rsid w:val="00723791"/>
    <w:rsid w:val="0072382C"/>
    <w:rsid w:val="007238C3"/>
    <w:rsid w:val="007238E7"/>
    <w:rsid w:val="00723DC6"/>
    <w:rsid w:val="00723EF4"/>
    <w:rsid w:val="007244D5"/>
    <w:rsid w:val="0072499A"/>
    <w:rsid w:val="00724AF8"/>
    <w:rsid w:val="00724D1D"/>
    <w:rsid w:val="00724D84"/>
    <w:rsid w:val="00724FBB"/>
    <w:rsid w:val="00724FC2"/>
    <w:rsid w:val="00725107"/>
    <w:rsid w:val="007256E2"/>
    <w:rsid w:val="007259BC"/>
    <w:rsid w:val="00725DB2"/>
    <w:rsid w:val="00725DC1"/>
    <w:rsid w:val="00725EDD"/>
    <w:rsid w:val="007260DA"/>
    <w:rsid w:val="0072658A"/>
    <w:rsid w:val="00726652"/>
    <w:rsid w:val="007267F2"/>
    <w:rsid w:val="0072691B"/>
    <w:rsid w:val="00726C9D"/>
    <w:rsid w:val="00727029"/>
    <w:rsid w:val="00727512"/>
    <w:rsid w:val="007276FF"/>
    <w:rsid w:val="007278E4"/>
    <w:rsid w:val="00727925"/>
    <w:rsid w:val="00727A29"/>
    <w:rsid w:val="00727A9C"/>
    <w:rsid w:val="00727CC7"/>
    <w:rsid w:val="00727E2F"/>
    <w:rsid w:val="00727E51"/>
    <w:rsid w:val="00730072"/>
    <w:rsid w:val="00730221"/>
    <w:rsid w:val="0073042D"/>
    <w:rsid w:val="00730655"/>
    <w:rsid w:val="00730681"/>
    <w:rsid w:val="0073073B"/>
    <w:rsid w:val="00730981"/>
    <w:rsid w:val="00730A4A"/>
    <w:rsid w:val="00730BE9"/>
    <w:rsid w:val="00730CAA"/>
    <w:rsid w:val="00730E91"/>
    <w:rsid w:val="0073129E"/>
    <w:rsid w:val="007312CB"/>
    <w:rsid w:val="007312DA"/>
    <w:rsid w:val="007314C0"/>
    <w:rsid w:val="00731593"/>
    <w:rsid w:val="00731667"/>
    <w:rsid w:val="00731BCF"/>
    <w:rsid w:val="00731F04"/>
    <w:rsid w:val="00731F56"/>
    <w:rsid w:val="0073203F"/>
    <w:rsid w:val="00732323"/>
    <w:rsid w:val="00732B4A"/>
    <w:rsid w:val="00732B84"/>
    <w:rsid w:val="00732E1A"/>
    <w:rsid w:val="00732E92"/>
    <w:rsid w:val="00732FC1"/>
    <w:rsid w:val="007331CB"/>
    <w:rsid w:val="00733316"/>
    <w:rsid w:val="00733455"/>
    <w:rsid w:val="0073357B"/>
    <w:rsid w:val="007338E2"/>
    <w:rsid w:val="00733FB8"/>
    <w:rsid w:val="00734006"/>
    <w:rsid w:val="0073403C"/>
    <w:rsid w:val="007341EE"/>
    <w:rsid w:val="00734295"/>
    <w:rsid w:val="0073439F"/>
    <w:rsid w:val="007349AF"/>
    <w:rsid w:val="00734C27"/>
    <w:rsid w:val="00734C72"/>
    <w:rsid w:val="00734DF9"/>
    <w:rsid w:val="00734E83"/>
    <w:rsid w:val="00735186"/>
    <w:rsid w:val="00735445"/>
    <w:rsid w:val="00735472"/>
    <w:rsid w:val="0073561E"/>
    <w:rsid w:val="0073597E"/>
    <w:rsid w:val="007359D3"/>
    <w:rsid w:val="00735A22"/>
    <w:rsid w:val="00735C56"/>
    <w:rsid w:val="007362F0"/>
    <w:rsid w:val="00736754"/>
    <w:rsid w:val="007368A1"/>
    <w:rsid w:val="007369EE"/>
    <w:rsid w:val="00736C86"/>
    <w:rsid w:val="00736D81"/>
    <w:rsid w:val="00736F41"/>
    <w:rsid w:val="0073762F"/>
    <w:rsid w:val="0073779C"/>
    <w:rsid w:val="00737811"/>
    <w:rsid w:val="00737955"/>
    <w:rsid w:val="00737998"/>
    <w:rsid w:val="007379D1"/>
    <w:rsid w:val="00737CCF"/>
    <w:rsid w:val="00737F60"/>
    <w:rsid w:val="00740060"/>
    <w:rsid w:val="00740A85"/>
    <w:rsid w:val="00740AA6"/>
    <w:rsid w:val="00740CE8"/>
    <w:rsid w:val="00740D63"/>
    <w:rsid w:val="00740E20"/>
    <w:rsid w:val="00741252"/>
    <w:rsid w:val="00741348"/>
    <w:rsid w:val="00741353"/>
    <w:rsid w:val="00741463"/>
    <w:rsid w:val="007415A8"/>
    <w:rsid w:val="0074179D"/>
    <w:rsid w:val="00741EB7"/>
    <w:rsid w:val="00742128"/>
    <w:rsid w:val="00742231"/>
    <w:rsid w:val="00742509"/>
    <w:rsid w:val="007426F8"/>
    <w:rsid w:val="0074271E"/>
    <w:rsid w:val="0074297F"/>
    <w:rsid w:val="007429CE"/>
    <w:rsid w:val="00742FE1"/>
    <w:rsid w:val="007432C8"/>
    <w:rsid w:val="00743377"/>
    <w:rsid w:val="007433D4"/>
    <w:rsid w:val="00743ADE"/>
    <w:rsid w:val="00743B92"/>
    <w:rsid w:val="00743DC7"/>
    <w:rsid w:val="00743EAB"/>
    <w:rsid w:val="00743EDE"/>
    <w:rsid w:val="007442F6"/>
    <w:rsid w:val="007443C0"/>
    <w:rsid w:val="007445B3"/>
    <w:rsid w:val="007448AD"/>
    <w:rsid w:val="007449AE"/>
    <w:rsid w:val="00744B40"/>
    <w:rsid w:val="00744BBF"/>
    <w:rsid w:val="00744CDF"/>
    <w:rsid w:val="00744DA4"/>
    <w:rsid w:val="00745064"/>
    <w:rsid w:val="00745453"/>
    <w:rsid w:val="0074548C"/>
    <w:rsid w:val="0074574F"/>
    <w:rsid w:val="00745800"/>
    <w:rsid w:val="007459AE"/>
    <w:rsid w:val="00745A6F"/>
    <w:rsid w:val="00745CCC"/>
    <w:rsid w:val="00745F55"/>
    <w:rsid w:val="007465E8"/>
    <w:rsid w:val="0074691F"/>
    <w:rsid w:val="0074697A"/>
    <w:rsid w:val="00746B8B"/>
    <w:rsid w:val="00746BF3"/>
    <w:rsid w:val="00746E26"/>
    <w:rsid w:val="00746ED5"/>
    <w:rsid w:val="00746F1E"/>
    <w:rsid w:val="0074700C"/>
    <w:rsid w:val="00747073"/>
    <w:rsid w:val="007472E0"/>
    <w:rsid w:val="00747311"/>
    <w:rsid w:val="00747456"/>
    <w:rsid w:val="00747BBE"/>
    <w:rsid w:val="00747CB1"/>
    <w:rsid w:val="007501D8"/>
    <w:rsid w:val="007505FD"/>
    <w:rsid w:val="0075069B"/>
    <w:rsid w:val="00750808"/>
    <w:rsid w:val="00750903"/>
    <w:rsid w:val="00750C14"/>
    <w:rsid w:val="00750D4D"/>
    <w:rsid w:val="0075121B"/>
    <w:rsid w:val="00751353"/>
    <w:rsid w:val="007514BE"/>
    <w:rsid w:val="007515AF"/>
    <w:rsid w:val="00751FF6"/>
    <w:rsid w:val="0075215A"/>
    <w:rsid w:val="00752234"/>
    <w:rsid w:val="0075231E"/>
    <w:rsid w:val="007524B9"/>
    <w:rsid w:val="007526EA"/>
    <w:rsid w:val="00752710"/>
    <w:rsid w:val="00752755"/>
    <w:rsid w:val="007529B4"/>
    <w:rsid w:val="00752BE4"/>
    <w:rsid w:val="00753028"/>
    <w:rsid w:val="0075321B"/>
    <w:rsid w:val="007535A9"/>
    <w:rsid w:val="00753630"/>
    <w:rsid w:val="0075378A"/>
    <w:rsid w:val="00753949"/>
    <w:rsid w:val="00753D81"/>
    <w:rsid w:val="00753EDA"/>
    <w:rsid w:val="00753F6C"/>
    <w:rsid w:val="00754202"/>
    <w:rsid w:val="007545A9"/>
    <w:rsid w:val="007545FA"/>
    <w:rsid w:val="00754AF8"/>
    <w:rsid w:val="00754BF4"/>
    <w:rsid w:val="00754E56"/>
    <w:rsid w:val="00754F28"/>
    <w:rsid w:val="007551AF"/>
    <w:rsid w:val="007554D7"/>
    <w:rsid w:val="0075570F"/>
    <w:rsid w:val="007559A9"/>
    <w:rsid w:val="00755D19"/>
    <w:rsid w:val="00755D9F"/>
    <w:rsid w:val="00755DB9"/>
    <w:rsid w:val="00756100"/>
    <w:rsid w:val="00756130"/>
    <w:rsid w:val="007563D9"/>
    <w:rsid w:val="00756490"/>
    <w:rsid w:val="0075656B"/>
    <w:rsid w:val="007565DA"/>
    <w:rsid w:val="007568BC"/>
    <w:rsid w:val="00756966"/>
    <w:rsid w:val="00756C68"/>
    <w:rsid w:val="00756DFD"/>
    <w:rsid w:val="0075722D"/>
    <w:rsid w:val="00757335"/>
    <w:rsid w:val="0075738F"/>
    <w:rsid w:val="007579EE"/>
    <w:rsid w:val="00757A32"/>
    <w:rsid w:val="00757DDE"/>
    <w:rsid w:val="00757F6B"/>
    <w:rsid w:val="007600EC"/>
    <w:rsid w:val="0076039F"/>
    <w:rsid w:val="00760895"/>
    <w:rsid w:val="00760993"/>
    <w:rsid w:val="00760A9F"/>
    <w:rsid w:val="00760ABB"/>
    <w:rsid w:val="00760B9C"/>
    <w:rsid w:val="00760C44"/>
    <w:rsid w:val="00761246"/>
    <w:rsid w:val="007613EE"/>
    <w:rsid w:val="00761440"/>
    <w:rsid w:val="0076154E"/>
    <w:rsid w:val="00761A76"/>
    <w:rsid w:val="00761AB9"/>
    <w:rsid w:val="00761B7E"/>
    <w:rsid w:val="00761E65"/>
    <w:rsid w:val="00761FEB"/>
    <w:rsid w:val="0076200A"/>
    <w:rsid w:val="00762042"/>
    <w:rsid w:val="0076242F"/>
    <w:rsid w:val="0076277F"/>
    <w:rsid w:val="00763135"/>
    <w:rsid w:val="007634E0"/>
    <w:rsid w:val="00763623"/>
    <w:rsid w:val="00763CE7"/>
    <w:rsid w:val="0076429E"/>
    <w:rsid w:val="00764426"/>
    <w:rsid w:val="00764682"/>
    <w:rsid w:val="0076492D"/>
    <w:rsid w:val="00764C45"/>
    <w:rsid w:val="00764D90"/>
    <w:rsid w:val="0076509B"/>
    <w:rsid w:val="007650F7"/>
    <w:rsid w:val="007651F2"/>
    <w:rsid w:val="00765226"/>
    <w:rsid w:val="0076543F"/>
    <w:rsid w:val="007654BA"/>
    <w:rsid w:val="007656BE"/>
    <w:rsid w:val="00765810"/>
    <w:rsid w:val="0076593A"/>
    <w:rsid w:val="00765982"/>
    <w:rsid w:val="007659FF"/>
    <w:rsid w:val="00765AE5"/>
    <w:rsid w:val="00765B60"/>
    <w:rsid w:val="00765B9D"/>
    <w:rsid w:val="00765C68"/>
    <w:rsid w:val="00765C7E"/>
    <w:rsid w:val="00765F17"/>
    <w:rsid w:val="0076601D"/>
    <w:rsid w:val="0076639F"/>
    <w:rsid w:val="00766453"/>
    <w:rsid w:val="00766458"/>
    <w:rsid w:val="007664CA"/>
    <w:rsid w:val="00766627"/>
    <w:rsid w:val="007666B1"/>
    <w:rsid w:val="007666D8"/>
    <w:rsid w:val="007667A9"/>
    <w:rsid w:val="0076687F"/>
    <w:rsid w:val="007669A5"/>
    <w:rsid w:val="00766C20"/>
    <w:rsid w:val="00767000"/>
    <w:rsid w:val="007671EA"/>
    <w:rsid w:val="007672C2"/>
    <w:rsid w:val="00767890"/>
    <w:rsid w:val="007678A2"/>
    <w:rsid w:val="00767A80"/>
    <w:rsid w:val="00767ED3"/>
    <w:rsid w:val="00767EDA"/>
    <w:rsid w:val="0077006D"/>
    <w:rsid w:val="0077040F"/>
    <w:rsid w:val="007704B2"/>
    <w:rsid w:val="0077061D"/>
    <w:rsid w:val="007708BE"/>
    <w:rsid w:val="00770AA8"/>
    <w:rsid w:val="00770C65"/>
    <w:rsid w:val="007711F5"/>
    <w:rsid w:val="00771345"/>
    <w:rsid w:val="007713D9"/>
    <w:rsid w:val="0077147B"/>
    <w:rsid w:val="007716CE"/>
    <w:rsid w:val="0077176B"/>
    <w:rsid w:val="0077187C"/>
    <w:rsid w:val="007718D6"/>
    <w:rsid w:val="00771B10"/>
    <w:rsid w:val="00771F1B"/>
    <w:rsid w:val="00772064"/>
    <w:rsid w:val="00772159"/>
    <w:rsid w:val="00772A47"/>
    <w:rsid w:val="00772D98"/>
    <w:rsid w:val="00773049"/>
    <w:rsid w:val="00773182"/>
    <w:rsid w:val="007733E5"/>
    <w:rsid w:val="0077343F"/>
    <w:rsid w:val="007736BE"/>
    <w:rsid w:val="0077390C"/>
    <w:rsid w:val="00773C1D"/>
    <w:rsid w:val="00773DF4"/>
    <w:rsid w:val="00773F2F"/>
    <w:rsid w:val="00773F31"/>
    <w:rsid w:val="0077440C"/>
    <w:rsid w:val="00774572"/>
    <w:rsid w:val="0077460F"/>
    <w:rsid w:val="0077463E"/>
    <w:rsid w:val="0077466E"/>
    <w:rsid w:val="00774F2D"/>
    <w:rsid w:val="00774FF6"/>
    <w:rsid w:val="007752CD"/>
    <w:rsid w:val="007753FD"/>
    <w:rsid w:val="007755C5"/>
    <w:rsid w:val="007759A3"/>
    <w:rsid w:val="00775C02"/>
    <w:rsid w:val="00775D90"/>
    <w:rsid w:val="00775DDC"/>
    <w:rsid w:val="00776383"/>
    <w:rsid w:val="00776724"/>
    <w:rsid w:val="0077689E"/>
    <w:rsid w:val="00776D8E"/>
    <w:rsid w:val="00777256"/>
    <w:rsid w:val="0077745D"/>
    <w:rsid w:val="0077791E"/>
    <w:rsid w:val="00777AD8"/>
    <w:rsid w:val="00777D41"/>
    <w:rsid w:val="00777D9D"/>
    <w:rsid w:val="00777DF4"/>
    <w:rsid w:val="00777F9D"/>
    <w:rsid w:val="00780002"/>
    <w:rsid w:val="007802AF"/>
    <w:rsid w:val="0078068A"/>
    <w:rsid w:val="007808D6"/>
    <w:rsid w:val="00780956"/>
    <w:rsid w:val="00780B1F"/>
    <w:rsid w:val="00780FD0"/>
    <w:rsid w:val="00780FD1"/>
    <w:rsid w:val="007811A3"/>
    <w:rsid w:val="00781641"/>
    <w:rsid w:val="007816B0"/>
    <w:rsid w:val="0078193A"/>
    <w:rsid w:val="00781B43"/>
    <w:rsid w:val="00781C64"/>
    <w:rsid w:val="00781DE5"/>
    <w:rsid w:val="007821C9"/>
    <w:rsid w:val="007823BB"/>
    <w:rsid w:val="0078252B"/>
    <w:rsid w:val="00782563"/>
    <w:rsid w:val="0078258C"/>
    <w:rsid w:val="007828E5"/>
    <w:rsid w:val="00782C75"/>
    <w:rsid w:val="00782F07"/>
    <w:rsid w:val="0078314D"/>
    <w:rsid w:val="007836C7"/>
    <w:rsid w:val="00783943"/>
    <w:rsid w:val="00784099"/>
    <w:rsid w:val="007840AF"/>
    <w:rsid w:val="0078455D"/>
    <w:rsid w:val="00784755"/>
    <w:rsid w:val="00784B01"/>
    <w:rsid w:val="00784F29"/>
    <w:rsid w:val="007850D3"/>
    <w:rsid w:val="007855C6"/>
    <w:rsid w:val="00785775"/>
    <w:rsid w:val="00785850"/>
    <w:rsid w:val="00785FF7"/>
    <w:rsid w:val="007863ED"/>
    <w:rsid w:val="00786677"/>
    <w:rsid w:val="00786810"/>
    <w:rsid w:val="00786841"/>
    <w:rsid w:val="007869AC"/>
    <w:rsid w:val="00786AA1"/>
    <w:rsid w:val="00786AC3"/>
    <w:rsid w:val="00786D48"/>
    <w:rsid w:val="00787430"/>
    <w:rsid w:val="00787526"/>
    <w:rsid w:val="007875A7"/>
    <w:rsid w:val="007875FA"/>
    <w:rsid w:val="007877AA"/>
    <w:rsid w:val="007877AD"/>
    <w:rsid w:val="00787974"/>
    <w:rsid w:val="00787A15"/>
    <w:rsid w:val="00787C70"/>
    <w:rsid w:val="00787E12"/>
    <w:rsid w:val="0079016A"/>
    <w:rsid w:val="007902D7"/>
    <w:rsid w:val="00790399"/>
    <w:rsid w:val="00790447"/>
    <w:rsid w:val="007904B2"/>
    <w:rsid w:val="007904D2"/>
    <w:rsid w:val="0079055C"/>
    <w:rsid w:val="007911C1"/>
    <w:rsid w:val="00791596"/>
    <w:rsid w:val="00791A05"/>
    <w:rsid w:val="00791B96"/>
    <w:rsid w:val="00791EE5"/>
    <w:rsid w:val="007920CB"/>
    <w:rsid w:val="007920CC"/>
    <w:rsid w:val="00792362"/>
    <w:rsid w:val="007924A3"/>
    <w:rsid w:val="00792BAA"/>
    <w:rsid w:val="00792FE0"/>
    <w:rsid w:val="00793428"/>
    <w:rsid w:val="007934F3"/>
    <w:rsid w:val="007935B8"/>
    <w:rsid w:val="0079382D"/>
    <w:rsid w:val="00793A56"/>
    <w:rsid w:val="00793C59"/>
    <w:rsid w:val="00793E02"/>
    <w:rsid w:val="007940CC"/>
    <w:rsid w:val="0079434F"/>
    <w:rsid w:val="00794BBA"/>
    <w:rsid w:val="00794C44"/>
    <w:rsid w:val="00794D5A"/>
    <w:rsid w:val="00794F79"/>
    <w:rsid w:val="0079517D"/>
    <w:rsid w:val="00795308"/>
    <w:rsid w:val="0079530E"/>
    <w:rsid w:val="00795422"/>
    <w:rsid w:val="007955B8"/>
    <w:rsid w:val="007958B5"/>
    <w:rsid w:val="00795927"/>
    <w:rsid w:val="0079592F"/>
    <w:rsid w:val="007959AE"/>
    <w:rsid w:val="00795DEE"/>
    <w:rsid w:val="00795E59"/>
    <w:rsid w:val="00795ED7"/>
    <w:rsid w:val="0079651F"/>
    <w:rsid w:val="00796833"/>
    <w:rsid w:val="00796A8B"/>
    <w:rsid w:val="00796C6A"/>
    <w:rsid w:val="00796CE8"/>
    <w:rsid w:val="00797005"/>
    <w:rsid w:val="0079723D"/>
    <w:rsid w:val="00797353"/>
    <w:rsid w:val="00797504"/>
    <w:rsid w:val="00797522"/>
    <w:rsid w:val="007976DE"/>
    <w:rsid w:val="00797795"/>
    <w:rsid w:val="007977B7"/>
    <w:rsid w:val="007977CE"/>
    <w:rsid w:val="00797945"/>
    <w:rsid w:val="00797A03"/>
    <w:rsid w:val="00797AE5"/>
    <w:rsid w:val="00797EFE"/>
    <w:rsid w:val="007A025F"/>
    <w:rsid w:val="007A028B"/>
    <w:rsid w:val="007A03D7"/>
    <w:rsid w:val="007A0598"/>
    <w:rsid w:val="007A0BD6"/>
    <w:rsid w:val="007A0BD8"/>
    <w:rsid w:val="007A12A5"/>
    <w:rsid w:val="007A1516"/>
    <w:rsid w:val="007A1799"/>
    <w:rsid w:val="007A1AF6"/>
    <w:rsid w:val="007A1D2F"/>
    <w:rsid w:val="007A20AC"/>
    <w:rsid w:val="007A2121"/>
    <w:rsid w:val="007A29DD"/>
    <w:rsid w:val="007A2A19"/>
    <w:rsid w:val="007A2DF4"/>
    <w:rsid w:val="007A3091"/>
    <w:rsid w:val="007A3264"/>
    <w:rsid w:val="007A34F4"/>
    <w:rsid w:val="007A36F7"/>
    <w:rsid w:val="007A377E"/>
    <w:rsid w:val="007A3B05"/>
    <w:rsid w:val="007A3CDD"/>
    <w:rsid w:val="007A3D95"/>
    <w:rsid w:val="007A3DF2"/>
    <w:rsid w:val="007A3E6D"/>
    <w:rsid w:val="007A40CA"/>
    <w:rsid w:val="007A420C"/>
    <w:rsid w:val="007A4234"/>
    <w:rsid w:val="007A43B3"/>
    <w:rsid w:val="007A4432"/>
    <w:rsid w:val="007A46CB"/>
    <w:rsid w:val="007A4903"/>
    <w:rsid w:val="007A4A62"/>
    <w:rsid w:val="007A4B40"/>
    <w:rsid w:val="007A4FC2"/>
    <w:rsid w:val="007A5079"/>
    <w:rsid w:val="007A54BB"/>
    <w:rsid w:val="007A550E"/>
    <w:rsid w:val="007A56C4"/>
    <w:rsid w:val="007A5984"/>
    <w:rsid w:val="007A638A"/>
    <w:rsid w:val="007A64A6"/>
    <w:rsid w:val="007A64B7"/>
    <w:rsid w:val="007A66C5"/>
    <w:rsid w:val="007A6791"/>
    <w:rsid w:val="007A688B"/>
    <w:rsid w:val="007A68D0"/>
    <w:rsid w:val="007A6BAE"/>
    <w:rsid w:val="007A6BB0"/>
    <w:rsid w:val="007A6BEE"/>
    <w:rsid w:val="007A6EA7"/>
    <w:rsid w:val="007B0288"/>
    <w:rsid w:val="007B0314"/>
    <w:rsid w:val="007B0357"/>
    <w:rsid w:val="007B0447"/>
    <w:rsid w:val="007B046E"/>
    <w:rsid w:val="007B04B4"/>
    <w:rsid w:val="007B10A1"/>
    <w:rsid w:val="007B10F1"/>
    <w:rsid w:val="007B124E"/>
    <w:rsid w:val="007B1567"/>
    <w:rsid w:val="007B1688"/>
    <w:rsid w:val="007B16D2"/>
    <w:rsid w:val="007B1B5B"/>
    <w:rsid w:val="007B1CA5"/>
    <w:rsid w:val="007B1FF2"/>
    <w:rsid w:val="007B2217"/>
    <w:rsid w:val="007B269A"/>
    <w:rsid w:val="007B26E3"/>
    <w:rsid w:val="007B27ED"/>
    <w:rsid w:val="007B2A45"/>
    <w:rsid w:val="007B2C6B"/>
    <w:rsid w:val="007B2CA6"/>
    <w:rsid w:val="007B3048"/>
    <w:rsid w:val="007B32F7"/>
    <w:rsid w:val="007B392D"/>
    <w:rsid w:val="007B3B7C"/>
    <w:rsid w:val="007B3CB9"/>
    <w:rsid w:val="007B405D"/>
    <w:rsid w:val="007B4437"/>
    <w:rsid w:val="007B480E"/>
    <w:rsid w:val="007B4E00"/>
    <w:rsid w:val="007B55BB"/>
    <w:rsid w:val="007B5954"/>
    <w:rsid w:val="007B5B18"/>
    <w:rsid w:val="007B5B54"/>
    <w:rsid w:val="007B5BCD"/>
    <w:rsid w:val="007B5CB6"/>
    <w:rsid w:val="007B5DA1"/>
    <w:rsid w:val="007B5EBE"/>
    <w:rsid w:val="007B655F"/>
    <w:rsid w:val="007B6570"/>
    <w:rsid w:val="007B658C"/>
    <w:rsid w:val="007B65FD"/>
    <w:rsid w:val="007B665B"/>
    <w:rsid w:val="007B6AFC"/>
    <w:rsid w:val="007B6E77"/>
    <w:rsid w:val="007B6F37"/>
    <w:rsid w:val="007B6F84"/>
    <w:rsid w:val="007B7118"/>
    <w:rsid w:val="007B713C"/>
    <w:rsid w:val="007B7342"/>
    <w:rsid w:val="007B7686"/>
    <w:rsid w:val="007B7CB0"/>
    <w:rsid w:val="007B7E64"/>
    <w:rsid w:val="007B7FA6"/>
    <w:rsid w:val="007C02A1"/>
    <w:rsid w:val="007C0718"/>
    <w:rsid w:val="007C094E"/>
    <w:rsid w:val="007C09AB"/>
    <w:rsid w:val="007C0D63"/>
    <w:rsid w:val="007C0E28"/>
    <w:rsid w:val="007C0FDA"/>
    <w:rsid w:val="007C1058"/>
    <w:rsid w:val="007C1134"/>
    <w:rsid w:val="007C120A"/>
    <w:rsid w:val="007C143F"/>
    <w:rsid w:val="007C1AB0"/>
    <w:rsid w:val="007C1AF2"/>
    <w:rsid w:val="007C1C0E"/>
    <w:rsid w:val="007C1DE3"/>
    <w:rsid w:val="007C1EB5"/>
    <w:rsid w:val="007C2214"/>
    <w:rsid w:val="007C2742"/>
    <w:rsid w:val="007C29DF"/>
    <w:rsid w:val="007C2B7A"/>
    <w:rsid w:val="007C2CCE"/>
    <w:rsid w:val="007C31F0"/>
    <w:rsid w:val="007C3234"/>
    <w:rsid w:val="007C38D5"/>
    <w:rsid w:val="007C3AA6"/>
    <w:rsid w:val="007C3B80"/>
    <w:rsid w:val="007C3C44"/>
    <w:rsid w:val="007C3D4B"/>
    <w:rsid w:val="007C4000"/>
    <w:rsid w:val="007C4F12"/>
    <w:rsid w:val="007C50DC"/>
    <w:rsid w:val="007C5158"/>
    <w:rsid w:val="007C51D7"/>
    <w:rsid w:val="007C551F"/>
    <w:rsid w:val="007C5577"/>
    <w:rsid w:val="007C55F7"/>
    <w:rsid w:val="007C5A83"/>
    <w:rsid w:val="007C5B35"/>
    <w:rsid w:val="007C63B3"/>
    <w:rsid w:val="007C65AE"/>
    <w:rsid w:val="007C679B"/>
    <w:rsid w:val="007C698F"/>
    <w:rsid w:val="007C6BD2"/>
    <w:rsid w:val="007C6D5F"/>
    <w:rsid w:val="007C6E5D"/>
    <w:rsid w:val="007C7305"/>
    <w:rsid w:val="007C7358"/>
    <w:rsid w:val="007C73F7"/>
    <w:rsid w:val="007C74C2"/>
    <w:rsid w:val="007C75BA"/>
    <w:rsid w:val="007C76B3"/>
    <w:rsid w:val="007C7887"/>
    <w:rsid w:val="007C78A0"/>
    <w:rsid w:val="007C7A0B"/>
    <w:rsid w:val="007C7A11"/>
    <w:rsid w:val="007C7A32"/>
    <w:rsid w:val="007C7E8A"/>
    <w:rsid w:val="007D020C"/>
    <w:rsid w:val="007D0667"/>
    <w:rsid w:val="007D07DD"/>
    <w:rsid w:val="007D07FA"/>
    <w:rsid w:val="007D0AD9"/>
    <w:rsid w:val="007D0B33"/>
    <w:rsid w:val="007D0E22"/>
    <w:rsid w:val="007D0F24"/>
    <w:rsid w:val="007D0FC9"/>
    <w:rsid w:val="007D11A8"/>
    <w:rsid w:val="007D1339"/>
    <w:rsid w:val="007D135E"/>
    <w:rsid w:val="007D1389"/>
    <w:rsid w:val="007D1674"/>
    <w:rsid w:val="007D1728"/>
    <w:rsid w:val="007D1A35"/>
    <w:rsid w:val="007D1F25"/>
    <w:rsid w:val="007D20F9"/>
    <w:rsid w:val="007D2117"/>
    <w:rsid w:val="007D22D0"/>
    <w:rsid w:val="007D2308"/>
    <w:rsid w:val="007D2375"/>
    <w:rsid w:val="007D2418"/>
    <w:rsid w:val="007D24C8"/>
    <w:rsid w:val="007D26D6"/>
    <w:rsid w:val="007D26E4"/>
    <w:rsid w:val="007D2B4F"/>
    <w:rsid w:val="007D2BF8"/>
    <w:rsid w:val="007D2BFF"/>
    <w:rsid w:val="007D2D75"/>
    <w:rsid w:val="007D2FA4"/>
    <w:rsid w:val="007D332E"/>
    <w:rsid w:val="007D35D8"/>
    <w:rsid w:val="007D3640"/>
    <w:rsid w:val="007D3A5B"/>
    <w:rsid w:val="007D3B6F"/>
    <w:rsid w:val="007D3E41"/>
    <w:rsid w:val="007D413F"/>
    <w:rsid w:val="007D41F4"/>
    <w:rsid w:val="007D4533"/>
    <w:rsid w:val="007D46BB"/>
    <w:rsid w:val="007D48D5"/>
    <w:rsid w:val="007D4914"/>
    <w:rsid w:val="007D49CB"/>
    <w:rsid w:val="007D4B06"/>
    <w:rsid w:val="007D4B63"/>
    <w:rsid w:val="007D4C62"/>
    <w:rsid w:val="007D4D6D"/>
    <w:rsid w:val="007D4D96"/>
    <w:rsid w:val="007D4E10"/>
    <w:rsid w:val="007D5170"/>
    <w:rsid w:val="007D58E6"/>
    <w:rsid w:val="007D5CA1"/>
    <w:rsid w:val="007D5CCC"/>
    <w:rsid w:val="007D5E34"/>
    <w:rsid w:val="007D5EDE"/>
    <w:rsid w:val="007D5F04"/>
    <w:rsid w:val="007D5F82"/>
    <w:rsid w:val="007D60CE"/>
    <w:rsid w:val="007D620B"/>
    <w:rsid w:val="007D649F"/>
    <w:rsid w:val="007D66B0"/>
    <w:rsid w:val="007D68BC"/>
    <w:rsid w:val="007D68FD"/>
    <w:rsid w:val="007D6997"/>
    <w:rsid w:val="007D6D2F"/>
    <w:rsid w:val="007D7088"/>
    <w:rsid w:val="007D7294"/>
    <w:rsid w:val="007D761B"/>
    <w:rsid w:val="007D7C0A"/>
    <w:rsid w:val="007D7D8B"/>
    <w:rsid w:val="007E01A0"/>
    <w:rsid w:val="007E04B7"/>
    <w:rsid w:val="007E079E"/>
    <w:rsid w:val="007E0898"/>
    <w:rsid w:val="007E08E1"/>
    <w:rsid w:val="007E0B4A"/>
    <w:rsid w:val="007E0C8A"/>
    <w:rsid w:val="007E0D7A"/>
    <w:rsid w:val="007E0FF4"/>
    <w:rsid w:val="007E104A"/>
    <w:rsid w:val="007E1170"/>
    <w:rsid w:val="007E13F3"/>
    <w:rsid w:val="007E148B"/>
    <w:rsid w:val="007E14A3"/>
    <w:rsid w:val="007E14E3"/>
    <w:rsid w:val="007E1584"/>
    <w:rsid w:val="007E15DE"/>
    <w:rsid w:val="007E161B"/>
    <w:rsid w:val="007E179E"/>
    <w:rsid w:val="007E1803"/>
    <w:rsid w:val="007E1A41"/>
    <w:rsid w:val="007E2127"/>
    <w:rsid w:val="007E2471"/>
    <w:rsid w:val="007E289C"/>
    <w:rsid w:val="007E2A9E"/>
    <w:rsid w:val="007E2F14"/>
    <w:rsid w:val="007E378D"/>
    <w:rsid w:val="007E37EC"/>
    <w:rsid w:val="007E3916"/>
    <w:rsid w:val="007E3BD2"/>
    <w:rsid w:val="007E3D5E"/>
    <w:rsid w:val="007E4229"/>
    <w:rsid w:val="007E4272"/>
    <w:rsid w:val="007E4289"/>
    <w:rsid w:val="007E43CD"/>
    <w:rsid w:val="007E44A8"/>
    <w:rsid w:val="007E4527"/>
    <w:rsid w:val="007E463C"/>
    <w:rsid w:val="007E488C"/>
    <w:rsid w:val="007E4A66"/>
    <w:rsid w:val="007E4C13"/>
    <w:rsid w:val="007E4DFE"/>
    <w:rsid w:val="007E4E4E"/>
    <w:rsid w:val="007E4EA4"/>
    <w:rsid w:val="007E4EDD"/>
    <w:rsid w:val="007E50CC"/>
    <w:rsid w:val="007E53C7"/>
    <w:rsid w:val="007E559F"/>
    <w:rsid w:val="007E5F0E"/>
    <w:rsid w:val="007E6119"/>
    <w:rsid w:val="007E6229"/>
    <w:rsid w:val="007E650F"/>
    <w:rsid w:val="007E659C"/>
    <w:rsid w:val="007E66C0"/>
    <w:rsid w:val="007E6743"/>
    <w:rsid w:val="007E688A"/>
    <w:rsid w:val="007E6A55"/>
    <w:rsid w:val="007E6B3B"/>
    <w:rsid w:val="007E6CEA"/>
    <w:rsid w:val="007E6E6F"/>
    <w:rsid w:val="007E7243"/>
    <w:rsid w:val="007E75AC"/>
    <w:rsid w:val="007E75C5"/>
    <w:rsid w:val="007E7C7C"/>
    <w:rsid w:val="007E7E8A"/>
    <w:rsid w:val="007F003E"/>
    <w:rsid w:val="007F03ED"/>
    <w:rsid w:val="007F0503"/>
    <w:rsid w:val="007F07A0"/>
    <w:rsid w:val="007F09D1"/>
    <w:rsid w:val="007F0CE6"/>
    <w:rsid w:val="007F1167"/>
    <w:rsid w:val="007F134D"/>
    <w:rsid w:val="007F1665"/>
    <w:rsid w:val="007F1708"/>
    <w:rsid w:val="007F1791"/>
    <w:rsid w:val="007F1931"/>
    <w:rsid w:val="007F1AB2"/>
    <w:rsid w:val="007F1D2A"/>
    <w:rsid w:val="007F1D6F"/>
    <w:rsid w:val="007F2100"/>
    <w:rsid w:val="007F23EB"/>
    <w:rsid w:val="007F2409"/>
    <w:rsid w:val="007F25C7"/>
    <w:rsid w:val="007F25D0"/>
    <w:rsid w:val="007F262C"/>
    <w:rsid w:val="007F2D1F"/>
    <w:rsid w:val="007F2E1A"/>
    <w:rsid w:val="007F3171"/>
    <w:rsid w:val="007F3225"/>
    <w:rsid w:val="007F333A"/>
    <w:rsid w:val="007F338D"/>
    <w:rsid w:val="007F3635"/>
    <w:rsid w:val="007F366F"/>
    <w:rsid w:val="007F3936"/>
    <w:rsid w:val="007F393C"/>
    <w:rsid w:val="007F39C1"/>
    <w:rsid w:val="007F3B90"/>
    <w:rsid w:val="007F3C25"/>
    <w:rsid w:val="007F3C64"/>
    <w:rsid w:val="007F3CAE"/>
    <w:rsid w:val="007F3CB6"/>
    <w:rsid w:val="007F3DB2"/>
    <w:rsid w:val="007F4108"/>
    <w:rsid w:val="007F410E"/>
    <w:rsid w:val="007F4147"/>
    <w:rsid w:val="007F433A"/>
    <w:rsid w:val="007F4712"/>
    <w:rsid w:val="007F4755"/>
    <w:rsid w:val="007F4919"/>
    <w:rsid w:val="007F4A1B"/>
    <w:rsid w:val="007F4BA4"/>
    <w:rsid w:val="007F4D66"/>
    <w:rsid w:val="007F4E66"/>
    <w:rsid w:val="007F5071"/>
    <w:rsid w:val="007F5102"/>
    <w:rsid w:val="007F5187"/>
    <w:rsid w:val="007F53CF"/>
    <w:rsid w:val="007F547A"/>
    <w:rsid w:val="007F54FF"/>
    <w:rsid w:val="007F55F7"/>
    <w:rsid w:val="007F5925"/>
    <w:rsid w:val="007F623C"/>
    <w:rsid w:val="007F6541"/>
    <w:rsid w:val="007F65CE"/>
    <w:rsid w:val="007F6668"/>
    <w:rsid w:val="007F6824"/>
    <w:rsid w:val="007F6955"/>
    <w:rsid w:val="007F6B9C"/>
    <w:rsid w:val="007F6C1A"/>
    <w:rsid w:val="007F729B"/>
    <w:rsid w:val="007F74F6"/>
    <w:rsid w:val="007F7EC4"/>
    <w:rsid w:val="007F7F52"/>
    <w:rsid w:val="00800259"/>
    <w:rsid w:val="008002BA"/>
    <w:rsid w:val="0080033A"/>
    <w:rsid w:val="008009F3"/>
    <w:rsid w:val="00800B0F"/>
    <w:rsid w:val="00800B36"/>
    <w:rsid w:val="00800F50"/>
    <w:rsid w:val="0080127C"/>
    <w:rsid w:val="0080129B"/>
    <w:rsid w:val="008016C6"/>
    <w:rsid w:val="008029E0"/>
    <w:rsid w:val="00802ED5"/>
    <w:rsid w:val="00802F90"/>
    <w:rsid w:val="00803179"/>
    <w:rsid w:val="008036AC"/>
    <w:rsid w:val="00803EA6"/>
    <w:rsid w:val="00803EC4"/>
    <w:rsid w:val="00803EF5"/>
    <w:rsid w:val="00804575"/>
    <w:rsid w:val="008048DB"/>
    <w:rsid w:val="00804AB9"/>
    <w:rsid w:val="00804B80"/>
    <w:rsid w:val="00804F3C"/>
    <w:rsid w:val="00805042"/>
    <w:rsid w:val="00805070"/>
    <w:rsid w:val="008051FE"/>
    <w:rsid w:val="00805394"/>
    <w:rsid w:val="008053A1"/>
    <w:rsid w:val="00805445"/>
    <w:rsid w:val="00805873"/>
    <w:rsid w:val="008058FF"/>
    <w:rsid w:val="008059D3"/>
    <w:rsid w:val="00805CAF"/>
    <w:rsid w:val="00805E95"/>
    <w:rsid w:val="00805F56"/>
    <w:rsid w:val="0080612C"/>
    <w:rsid w:val="008061C3"/>
    <w:rsid w:val="0080646B"/>
    <w:rsid w:val="008064A5"/>
    <w:rsid w:val="00806776"/>
    <w:rsid w:val="008067B0"/>
    <w:rsid w:val="008069E4"/>
    <w:rsid w:val="00806A7B"/>
    <w:rsid w:val="00806AA1"/>
    <w:rsid w:val="00806BA9"/>
    <w:rsid w:val="00806D44"/>
    <w:rsid w:val="00806E79"/>
    <w:rsid w:val="00806FF3"/>
    <w:rsid w:val="0080756C"/>
    <w:rsid w:val="008075A0"/>
    <w:rsid w:val="008076AD"/>
    <w:rsid w:val="008077B1"/>
    <w:rsid w:val="0080799E"/>
    <w:rsid w:val="00807A18"/>
    <w:rsid w:val="00807FED"/>
    <w:rsid w:val="0081005C"/>
    <w:rsid w:val="008102CD"/>
    <w:rsid w:val="00810A01"/>
    <w:rsid w:val="00810BE0"/>
    <w:rsid w:val="00810BF1"/>
    <w:rsid w:val="00810BF7"/>
    <w:rsid w:val="00810D01"/>
    <w:rsid w:val="008110FB"/>
    <w:rsid w:val="008111C2"/>
    <w:rsid w:val="00811264"/>
    <w:rsid w:val="008112B6"/>
    <w:rsid w:val="008114DE"/>
    <w:rsid w:val="0081150D"/>
    <w:rsid w:val="008117CE"/>
    <w:rsid w:val="0081184D"/>
    <w:rsid w:val="00811880"/>
    <w:rsid w:val="00811981"/>
    <w:rsid w:val="00811ADA"/>
    <w:rsid w:val="00811D34"/>
    <w:rsid w:val="00811DD9"/>
    <w:rsid w:val="00811EAC"/>
    <w:rsid w:val="00811EBC"/>
    <w:rsid w:val="00811F08"/>
    <w:rsid w:val="00812150"/>
    <w:rsid w:val="00812279"/>
    <w:rsid w:val="008122E9"/>
    <w:rsid w:val="00812523"/>
    <w:rsid w:val="00812798"/>
    <w:rsid w:val="00812D92"/>
    <w:rsid w:val="00813067"/>
    <w:rsid w:val="00813127"/>
    <w:rsid w:val="0081332E"/>
    <w:rsid w:val="00813359"/>
    <w:rsid w:val="0081357E"/>
    <w:rsid w:val="00813AEE"/>
    <w:rsid w:val="00813F8A"/>
    <w:rsid w:val="008142CA"/>
    <w:rsid w:val="00814332"/>
    <w:rsid w:val="00814490"/>
    <w:rsid w:val="00814845"/>
    <w:rsid w:val="00814945"/>
    <w:rsid w:val="00814AAA"/>
    <w:rsid w:val="00815025"/>
    <w:rsid w:val="0081512F"/>
    <w:rsid w:val="00815191"/>
    <w:rsid w:val="0081538A"/>
    <w:rsid w:val="008157B1"/>
    <w:rsid w:val="008158CA"/>
    <w:rsid w:val="00815A84"/>
    <w:rsid w:val="00815B26"/>
    <w:rsid w:val="00815CD4"/>
    <w:rsid w:val="00816771"/>
    <w:rsid w:val="008168D4"/>
    <w:rsid w:val="00816CAC"/>
    <w:rsid w:val="00816E66"/>
    <w:rsid w:val="008172F6"/>
    <w:rsid w:val="00817328"/>
    <w:rsid w:val="00817549"/>
    <w:rsid w:val="008177C8"/>
    <w:rsid w:val="0081786D"/>
    <w:rsid w:val="00817AF8"/>
    <w:rsid w:val="00817D04"/>
    <w:rsid w:val="00817E65"/>
    <w:rsid w:val="0082005F"/>
    <w:rsid w:val="008200E3"/>
    <w:rsid w:val="0082017B"/>
    <w:rsid w:val="008201AA"/>
    <w:rsid w:val="00820239"/>
    <w:rsid w:val="00820370"/>
    <w:rsid w:val="008203EA"/>
    <w:rsid w:val="008204E2"/>
    <w:rsid w:val="00820650"/>
    <w:rsid w:val="0082096B"/>
    <w:rsid w:val="00820CDE"/>
    <w:rsid w:val="0082172A"/>
    <w:rsid w:val="00821DA0"/>
    <w:rsid w:val="008220B7"/>
    <w:rsid w:val="00822127"/>
    <w:rsid w:val="00822324"/>
    <w:rsid w:val="0082235D"/>
    <w:rsid w:val="00822531"/>
    <w:rsid w:val="00822907"/>
    <w:rsid w:val="00822DB9"/>
    <w:rsid w:val="00822ED3"/>
    <w:rsid w:val="00822F1F"/>
    <w:rsid w:val="00823283"/>
    <w:rsid w:val="008234DA"/>
    <w:rsid w:val="00823915"/>
    <w:rsid w:val="00823975"/>
    <w:rsid w:val="00823C1E"/>
    <w:rsid w:val="00823E1C"/>
    <w:rsid w:val="0082412F"/>
    <w:rsid w:val="008241FF"/>
    <w:rsid w:val="008242C0"/>
    <w:rsid w:val="008242CF"/>
    <w:rsid w:val="00824319"/>
    <w:rsid w:val="0082437A"/>
    <w:rsid w:val="00824BA4"/>
    <w:rsid w:val="00824C3E"/>
    <w:rsid w:val="00825518"/>
    <w:rsid w:val="00825572"/>
    <w:rsid w:val="00825801"/>
    <w:rsid w:val="00825915"/>
    <w:rsid w:val="00825A54"/>
    <w:rsid w:val="00825AA1"/>
    <w:rsid w:val="00825AA2"/>
    <w:rsid w:val="00825BC4"/>
    <w:rsid w:val="00825CF5"/>
    <w:rsid w:val="00825FAC"/>
    <w:rsid w:val="0082620E"/>
    <w:rsid w:val="00826309"/>
    <w:rsid w:val="0082672D"/>
    <w:rsid w:val="0082673C"/>
    <w:rsid w:val="00826A66"/>
    <w:rsid w:val="00826C89"/>
    <w:rsid w:val="00826E96"/>
    <w:rsid w:val="00826F36"/>
    <w:rsid w:val="008272DD"/>
    <w:rsid w:val="0082731E"/>
    <w:rsid w:val="00827341"/>
    <w:rsid w:val="008277AF"/>
    <w:rsid w:val="00827C17"/>
    <w:rsid w:val="00827FF3"/>
    <w:rsid w:val="0083014D"/>
    <w:rsid w:val="008304BF"/>
    <w:rsid w:val="00830620"/>
    <w:rsid w:val="008306A6"/>
    <w:rsid w:val="0083078F"/>
    <w:rsid w:val="008307AA"/>
    <w:rsid w:val="00830B7E"/>
    <w:rsid w:val="00830C02"/>
    <w:rsid w:val="00830EC6"/>
    <w:rsid w:val="0083109E"/>
    <w:rsid w:val="008313F8"/>
    <w:rsid w:val="00831574"/>
    <w:rsid w:val="008319A5"/>
    <w:rsid w:val="00831A71"/>
    <w:rsid w:val="00831D0C"/>
    <w:rsid w:val="00831EAE"/>
    <w:rsid w:val="0083231E"/>
    <w:rsid w:val="008325E7"/>
    <w:rsid w:val="00832797"/>
    <w:rsid w:val="00832932"/>
    <w:rsid w:val="00832B09"/>
    <w:rsid w:val="00832D6F"/>
    <w:rsid w:val="00832D81"/>
    <w:rsid w:val="00833520"/>
    <w:rsid w:val="00833EA8"/>
    <w:rsid w:val="00833F10"/>
    <w:rsid w:val="00834099"/>
    <w:rsid w:val="008345CC"/>
    <w:rsid w:val="008345E0"/>
    <w:rsid w:val="00834968"/>
    <w:rsid w:val="008349B7"/>
    <w:rsid w:val="008349FC"/>
    <w:rsid w:val="00834B03"/>
    <w:rsid w:val="00834B20"/>
    <w:rsid w:val="00835233"/>
    <w:rsid w:val="008352B5"/>
    <w:rsid w:val="0083538B"/>
    <w:rsid w:val="008354DE"/>
    <w:rsid w:val="00835A8D"/>
    <w:rsid w:val="00835B5F"/>
    <w:rsid w:val="008364F2"/>
    <w:rsid w:val="00836702"/>
    <w:rsid w:val="00836734"/>
    <w:rsid w:val="00836A99"/>
    <w:rsid w:val="00836E2B"/>
    <w:rsid w:val="00837105"/>
    <w:rsid w:val="00837108"/>
    <w:rsid w:val="008372AA"/>
    <w:rsid w:val="008374B1"/>
    <w:rsid w:val="00837596"/>
    <w:rsid w:val="00837C2D"/>
    <w:rsid w:val="00840049"/>
    <w:rsid w:val="00840721"/>
    <w:rsid w:val="00840AE5"/>
    <w:rsid w:val="00840AED"/>
    <w:rsid w:val="00840B73"/>
    <w:rsid w:val="00840CFF"/>
    <w:rsid w:val="00841172"/>
    <w:rsid w:val="0084133C"/>
    <w:rsid w:val="0084165E"/>
    <w:rsid w:val="00841869"/>
    <w:rsid w:val="00841A19"/>
    <w:rsid w:val="00841AF0"/>
    <w:rsid w:val="00841C9A"/>
    <w:rsid w:val="00841DDE"/>
    <w:rsid w:val="00841F73"/>
    <w:rsid w:val="00842079"/>
    <w:rsid w:val="00842377"/>
    <w:rsid w:val="00842388"/>
    <w:rsid w:val="008426F1"/>
    <w:rsid w:val="00842AC2"/>
    <w:rsid w:val="00842E5B"/>
    <w:rsid w:val="00843072"/>
    <w:rsid w:val="0084312F"/>
    <w:rsid w:val="008435C6"/>
    <w:rsid w:val="00843763"/>
    <w:rsid w:val="008437E1"/>
    <w:rsid w:val="0084382E"/>
    <w:rsid w:val="00843932"/>
    <w:rsid w:val="00843C77"/>
    <w:rsid w:val="00843E46"/>
    <w:rsid w:val="00843F6C"/>
    <w:rsid w:val="00843FA3"/>
    <w:rsid w:val="00844131"/>
    <w:rsid w:val="00844137"/>
    <w:rsid w:val="008443EF"/>
    <w:rsid w:val="0084445D"/>
    <w:rsid w:val="008448C8"/>
    <w:rsid w:val="0084506D"/>
    <w:rsid w:val="0084528B"/>
    <w:rsid w:val="008453D0"/>
    <w:rsid w:val="0084577E"/>
    <w:rsid w:val="00845796"/>
    <w:rsid w:val="008459F6"/>
    <w:rsid w:val="00845A37"/>
    <w:rsid w:val="00845CE3"/>
    <w:rsid w:val="00845D86"/>
    <w:rsid w:val="00845DDB"/>
    <w:rsid w:val="00845E43"/>
    <w:rsid w:val="00846069"/>
    <w:rsid w:val="0084615B"/>
    <w:rsid w:val="008462B7"/>
    <w:rsid w:val="0084649D"/>
    <w:rsid w:val="00846528"/>
    <w:rsid w:val="008465FA"/>
    <w:rsid w:val="00846E51"/>
    <w:rsid w:val="00846FF8"/>
    <w:rsid w:val="00847289"/>
    <w:rsid w:val="008474CC"/>
    <w:rsid w:val="008476A7"/>
    <w:rsid w:val="008476FD"/>
    <w:rsid w:val="00847889"/>
    <w:rsid w:val="00847943"/>
    <w:rsid w:val="00847BFE"/>
    <w:rsid w:val="00847FB3"/>
    <w:rsid w:val="00850319"/>
    <w:rsid w:val="008503C3"/>
    <w:rsid w:val="00850602"/>
    <w:rsid w:val="008511D1"/>
    <w:rsid w:val="008512C3"/>
    <w:rsid w:val="00851441"/>
    <w:rsid w:val="0085153A"/>
    <w:rsid w:val="00851655"/>
    <w:rsid w:val="0085178E"/>
    <w:rsid w:val="00851A47"/>
    <w:rsid w:val="00851B1F"/>
    <w:rsid w:val="00851CED"/>
    <w:rsid w:val="00851DBB"/>
    <w:rsid w:val="00851F79"/>
    <w:rsid w:val="008520AC"/>
    <w:rsid w:val="008520AE"/>
    <w:rsid w:val="0085243F"/>
    <w:rsid w:val="008524C6"/>
    <w:rsid w:val="008528D4"/>
    <w:rsid w:val="0085305E"/>
    <w:rsid w:val="008530EC"/>
    <w:rsid w:val="00853467"/>
    <w:rsid w:val="00853851"/>
    <w:rsid w:val="008539C2"/>
    <w:rsid w:val="00853C0A"/>
    <w:rsid w:val="00854279"/>
    <w:rsid w:val="00854471"/>
    <w:rsid w:val="008548A7"/>
    <w:rsid w:val="00854ABE"/>
    <w:rsid w:val="00854B01"/>
    <w:rsid w:val="00854B6D"/>
    <w:rsid w:val="00854C44"/>
    <w:rsid w:val="00854E57"/>
    <w:rsid w:val="00855184"/>
    <w:rsid w:val="008552EF"/>
    <w:rsid w:val="008553B4"/>
    <w:rsid w:val="00855517"/>
    <w:rsid w:val="008555AD"/>
    <w:rsid w:val="0085560C"/>
    <w:rsid w:val="008558BA"/>
    <w:rsid w:val="008559FA"/>
    <w:rsid w:val="008559FC"/>
    <w:rsid w:val="00855AB1"/>
    <w:rsid w:val="00855B56"/>
    <w:rsid w:val="00855C91"/>
    <w:rsid w:val="00855D73"/>
    <w:rsid w:val="00855EBA"/>
    <w:rsid w:val="00856249"/>
    <w:rsid w:val="0085673E"/>
    <w:rsid w:val="00856973"/>
    <w:rsid w:val="008569C6"/>
    <w:rsid w:val="008570F0"/>
    <w:rsid w:val="00857383"/>
    <w:rsid w:val="00857607"/>
    <w:rsid w:val="00857DAF"/>
    <w:rsid w:val="00860134"/>
    <w:rsid w:val="0086018E"/>
    <w:rsid w:val="008603F6"/>
    <w:rsid w:val="008604D2"/>
    <w:rsid w:val="008604F1"/>
    <w:rsid w:val="00860A0D"/>
    <w:rsid w:val="00860AD5"/>
    <w:rsid w:val="00860B14"/>
    <w:rsid w:val="00860B5F"/>
    <w:rsid w:val="00861246"/>
    <w:rsid w:val="00861253"/>
    <w:rsid w:val="0086134C"/>
    <w:rsid w:val="0086151B"/>
    <w:rsid w:val="008616C2"/>
    <w:rsid w:val="008617BA"/>
    <w:rsid w:val="0086184B"/>
    <w:rsid w:val="00861B46"/>
    <w:rsid w:val="008623CB"/>
    <w:rsid w:val="00862549"/>
    <w:rsid w:val="00862850"/>
    <w:rsid w:val="0086291C"/>
    <w:rsid w:val="008629D5"/>
    <w:rsid w:val="00862C98"/>
    <w:rsid w:val="00862E02"/>
    <w:rsid w:val="0086307B"/>
    <w:rsid w:val="00863497"/>
    <w:rsid w:val="0086354B"/>
    <w:rsid w:val="0086363A"/>
    <w:rsid w:val="0086369A"/>
    <w:rsid w:val="008636D3"/>
    <w:rsid w:val="00863D5A"/>
    <w:rsid w:val="00863FD1"/>
    <w:rsid w:val="00864291"/>
    <w:rsid w:val="008644CA"/>
    <w:rsid w:val="00864542"/>
    <w:rsid w:val="00864776"/>
    <w:rsid w:val="008647D2"/>
    <w:rsid w:val="00864A34"/>
    <w:rsid w:val="00864E50"/>
    <w:rsid w:val="00864E7C"/>
    <w:rsid w:val="00864ECA"/>
    <w:rsid w:val="00865021"/>
    <w:rsid w:val="0086512F"/>
    <w:rsid w:val="0086559A"/>
    <w:rsid w:val="0086560D"/>
    <w:rsid w:val="00866175"/>
    <w:rsid w:val="00866863"/>
    <w:rsid w:val="00866AA3"/>
    <w:rsid w:val="00866BB8"/>
    <w:rsid w:val="00866C0B"/>
    <w:rsid w:val="00866C66"/>
    <w:rsid w:val="00867001"/>
    <w:rsid w:val="00867084"/>
    <w:rsid w:val="00867248"/>
    <w:rsid w:val="008672A6"/>
    <w:rsid w:val="008673ED"/>
    <w:rsid w:val="008673F1"/>
    <w:rsid w:val="008674F9"/>
    <w:rsid w:val="00867558"/>
    <w:rsid w:val="0086758B"/>
    <w:rsid w:val="00867779"/>
    <w:rsid w:val="00867B00"/>
    <w:rsid w:val="00867E87"/>
    <w:rsid w:val="00867F32"/>
    <w:rsid w:val="00867F5D"/>
    <w:rsid w:val="00867FBC"/>
    <w:rsid w:val="0087038D"/>
    <w:rsid w:val="0087052F"/>
    <w:rsid w:val="00870594"/>
    <w:rsid w:val="008706CF"/>
    <w:rsid w:val="00870878"/>
    <w:rsid w:val="00870AC1"/>
    <w:rsid w:val="00870BC0"/>
    <w:rsid w:val="00870DCA"/>
    <w:rsid w:val="00870E71"/>
    <w:rsid w:val="00870E84"/>
    <w:rsid w:val="00870ED1"/>
    <w:rsid w:val="00870EFB"/>
    <w:rsid w:val="00870FD5"/>
    <w:rsid w:val="00871188"/>
    <w:rsid w:val="008714A5"/>
    <w:rsid w:val="00871BAC"/>
    <w:rsid w:val="00871CFA"/>
    <w:rsid w:val="00871EA9"/>
    <w:rsid w:val="00871EB3"/>
    <w:rsid w:val="008720D8"/>
    <w:rsid w:val="008724AB"/>
    <w:rsid w:val="0087274B"/>
    <w:rsid w:val="008727DE"/>
    <w:rsid w:val="00872A7F"/>
    <w:rsid w:val="00872BF8"/>
    <w:rsid w:val="0087300F"/>
    <w:rsid w:val="008733B5"/>
    <w:rsid w:val="00873423"/>
    <w:rsid w:val="008736D2"/>
    <w:rsid w:val="008736E0"/>
    <w:rsid w:val="00873CDB"/>
    <w:rsid w:val="00873D0F"/>
    <w:rsid w:val="00873F63"/>
    <w:rsid w:val="008744EA"/>
    <w:rsid w:val="00874618"/>
    <w:rsid w:val="00874C2B"/>
    <w:rsid w:val="00874E12"/>
    <w:rsid w:val="00875089"/>
    <w:rsid w:val="00875335"/>
    <w:rsid w:val="00875391"/>
    <w:rsid w:val="0087561E"/>
    <w:rsid w:val="00875729"/>
    <w:rsid w:val="0087584F"/>
    <w:rsid w:val="008759CF"/>
    <w:rsid w:val="00875AB0"/>
    <w:rsid w:val="00875AD9"/>
    <w:rsid w:val="00875C64"/>
    <w:rsid w:val="00875F6F"/>
    <w:rsid w:val="00875F82"/>
    <w:rsid w:val="008760A4"/>
    <w:rsid w:val="0087638A"/>
    <w:rsid w:val="0087675D"/>
    <w:rsid w:val="008767DE"/>
    <w:rsid w:val="0087730F"/>
    <w:rsid w:val="0087731C"/>
    <w:rsid w:val="0087767A"/>
    <w:rsid w:val="00877AD9"/>
    <w:rsid w:val="00877B43"/>
    <w:rsid w:val="00877BBC"/>
    <w:rsid w:val="00877C98"/>
    <w:rsid w:val="00877CB2"/>
    <w:rsid w:val="00880027"/>
    <w:rsid w:val="00880168"/>
    <w:rsid w:val="00880192"/>
    <w:rsid w:val="00880CA7"/>
    <w:rsid w:val="00880D4B"/>
    <w:rsid w:val="00881482"/>
    <w:rsid w:val="00881503"/>
    <w:rsid w:val="00881608"/>
    <w:rsid w:val="00881855"/>
    <w:rsid w:val="00881B99"/>
    <w:rsid w:val="00881CCB"/>
    <w:rsid w:val="00881FCA"/>
    <w:rsid w:val="008822D4"/>
    <w:rsid w:val="00882389"/>
    <w:rsid w:val="00882418"/>
    <w:rsid w:val="0088254F"/>
    <w:rsid w:val="00882804"/>
    <w:rsid w:val="00882B71"/>
    <w:rsid w:val="00882C3C"/>
    <w:rsid w:val="00882DB8"/>
    <w:rsid w:val="008835AA"/>
    <w:rsid w:val="0088381E"/>
    <w:rsid w:val="00883907"/>
    <w:rsid w:val="00883A0B"/>
    <w:rsid w:val="00883A23"/>
    <w:rsid w:val="00883E3C"/>
    <w:rsid w:val="00883ECC"/>
    <w:rsid w:val="00883F60"/>
    <w:rsid w:val="00884074"/>
    <w:rsid w:val="00884127"/>
    <w:rsid w:val="008843FA"/>
    <w:rsid w:val="008844D2"/>
    <w:rsid w:val="00884963"/>
    <w:rsid w:val="00884D7F"/>
    <w:rsid w:val="0088508A"/>
    <w:rsid w:val="00885790"/>
    <w:rsid w:val="00885800"/>
    <w:rsid w:val="00886037"/>
    <w:rsid w:val="008860ED"/>
    <w:rsid w:val="0088629D"/>
    <w:rsid w:val="00886457"/>
    <w:rsid w:val="0088653B"/>
    <w:rsid w:val="00886922"/>
    <w:rsid w:val="008869EA"/>
    <w:rsid w:val="00886D10"/>
    <w:rsid w:val="00886F3B"/>
    <w:rsid w:val="00887701"/>
    <w:rsid w:val="00887811"/>
    <w:rsid w:val="00887C15"/>
    <w:rsid w:val="00887C2D"/>
    <w:rsid w:val="00887CEC"/>
    <w:rsid w:val="00890007"/>
    <w:rsid w:val="008901CA"/>
    <w:rsid w:val="00890603"/>
    <w:rsid w:val="00890754"/>
    <w:rsid w:val="0089079A"/>
    <w:rsid w:val="00890816"/>
    <w:rsid w:val="00890C7F"/>
    <w:rsid w:val="00890D92"/>
    <w:rsid w:val="00890DB1"/>
    <w:rsid w:val="00890E5B"/>
    <w:rsid w:val="008910C3"/>
    <w:rsid w:val="0089138B"/>
    <w:rsid w:val="00891555"/>
    <w:rsid w:val="008916D3"/>
    <w:rsid w:val="0089184A"/>
    <w:rsid w:val="00891A2D"/>
    <w:rsid w:val="00891CA6"/>
    <w:rsid w:val="00891DC5"/>
    <w:rsid w:val="00891F20"/>
    <w:rsid w:val="008922B3"/>
    <w:rsid w:val="0089233F"/>
    <w:rsid w:val="0089240E"/>
    <w:rsid w:val="008925FD"/>
    <w:rsid w:val="00892932"/>
    <w:rsid w:val="00892A29"/>
    <w:rsid w:val="00892BF4"/>
    <w:rsid w:val="00892FA4"/>
    <w:rsid w:val="00893110"/>
    <w:rsid w:val="00893192"/>
    <w:rsid w:val="0089327F"/>
    <w:rsid w:val="0089333E"/>
    <w:rsid w:val="00893483"/>
    <w:rsid w:val="008937D4"/>
    <w:rsid w:val="008937DA"/>
    <w:rsid w:val="00893801"/>
    <w:rsid w:val="00893889"/>
    <w:rsid w:val="0089389A"/>
    <w:rsid w:val="00893FEE"/>
    <w:rsid w:val="00894086"/>
    <w:rsid w:val="00894461"/>
    <w:rsid w:val="008948F9"/>
    <w:rsid w:val="00894BB7"/>
    <w:rsid w:val="0089526D"/>
    <w:rsid w:val="00895448"/>
    <w:rsid w:val="008959B5"/>
    <w:rsid w:val="00895A5A"/>
    <w:rsid w:val="008961DE"/>
    <w:rsid w:val="008962A5"/>
    <w:rsid w:val="008968AC"/>
    <w:rsid w:val="00896D0E"/>
    <w:rsid w:val="00896FED"/>
    <w:rsid w:val="0089705C"/>
    <w:rsid w:val="008970F9"/>
    <w:rsid w:val="00897536"/>
    <w:rsid w:val="00897580"/>
    <w:rsid w:val="00897760"/>
    <w:rsid w:val="00897901"/>
    <w:rsid w:val="00897C68"/>
    <w:rsid w:val="00897CBF"/>
    <w:rsid w:val="00897CE6"/>
    <w:rsid w:val="00897D9F"/>
    <w:rsid w:val="008A027E"/>
    <w:rsid w:val="008A0631"/>
    <w:rsid w:val="008A0730"/>
    <w:rsid w:val="008A08EA"/>
    <w:rsid w:val="008A0B5C"/>
    <w:rsid w:val="008A0BF0"/>
    <w:rsid w:val="008A0C2D"/>
    <w:rsid w:val="008A0C7B"/>
    <w:rsid w:val="008A0D22"/>
    <w:rsid w:val="008A0D80"/>
    <w:rsid w:val="008A0EE3"/>
    <w:rsid w:val="008A111A"/>
    <w:rsid w:val="008A11EF"/>
    <w:rsid w:val="008A1263"/>
    <w:rsid w:val="008A12B6"/>
    <w:rsid w:val="008A16B5"/>
    <w:rsid w:val="008A1A9E"/>
    <w:rsid w:val="008A1BD2"/>
    <w:rsid w:val="008A1C54"/>
    <w:rsid w:val="008A1C5D"/>
    <w:rsid w:val="008A1E7A"/>
    <w:rsid w:val="008A208E"/>
    <w:rsid w:val="008A2155"/>
    <w:rsid w:val="008A2292"/>
    <w:rsid w:val="008A23DE"/>
    <w:rsid w:val="008A2425"/>
    <w:rsid w:val="008A2469"/>
    <w:rsid w:val="008A24DD"/>
    <w:rsid w:val="008A24F0"/>
    <w:rsid w:val="008A2818"/>
    <w:rsid w:val="008A296A"/>
    <w:rsid w:val="008A2AB1"/>
    <w:rsid w:val="008A2AD5"/>
    <w:rsid w:val="008A2CA9"/>
    <w:rsid w:val="008A2CBF"/>
    <w:rsid w:val="008A2D2D"/>
    <w:rsid w:val="008A3141"/>
    <w:rsid w:val="008A39FC"/>
    <w:rsid w:val="008A3A94"/>
    <w:rsid w:val="008A3CAE"/>
    <w:rsid w:val="008A3D58"/>
    <w:rsid w:val="008A40A7"/>
    <w:rsid w:val="008A40F1"/>
    <w:rsid w:val="008A4150"/>
    <w:rsid w:val="008A4232"/>
    <w:rsid w:val="008A43A0"/>
    <w:rsid w:val="008A44F0"/>
    <w:rsid w:val="008A46AC"/>
    <w:rsid w:val="008A494A"/>
    <w:rsid w:val="008A4A7D"/>
    <w:rsid w:val="008A4B22"/>
    <w:rsid w:val="008A4BC4"/>
    <w:rsid w:val="008A4BF1"/>
    <w:rsid w:val="008A5530"/>
    <w:rsid w:val="008A56DF"/>
    <w:rsid w:val="008A58E3"/>
    <w:rsid w:val="008A5C60"/>
    <w:rsid w:val="008A6474"/>
    <w:rsid w:val="008A65EF"/>
    <w:rsid w:val="008A661C"/>
    <w:rsid w:val="008A6740"/>
    <w:rsid w:val="008A6843"/>
    <w:rsid w:val="008A6896"/>
    <w:rsid w:val="008A691B"/>
    <w:rsid w:val="008A6929"/>
    <w:rsid w:val="008A6AE5"/>
    <w:rsid w:val="008A6F3D"/>
    <w:rsid w:val="008A712D"/>
    <w:rsid w:val="008A7484"/>
    <w:rsid w:val="008B0207"/>
    <w:rsid w:val="008B03F7"/>
    <w:rsid w:val="008B0484"/>
    <w:rsid w:val="008B04D3"/>
    <w:rsid w:val="008B075A"/>
    <w:rsid w:val="008B08DF"/>
    <w:rsid w:val="008B0A98"/>
    <w:rsid w:val="008B0B61"/>
    <w:rsid w:val="008B0B8E"/>
    <w:rsid w:val="008B0C73"/>
    <w:rsid w:val="008B0E87"/>
    <w:rsid w:val="008B1146"/>
    <w:rsid w:val="008B12E8"/>
    <w:rsid w:val="008B1392"/>
    <w:rsid w:val="008B1502"/>
    <w:rsid w:val="008B1503"/>
    <w:rsid w:val="008B1521"/>
    <w:rsid w:val="008B15A3"/>
    <w:rsid w:val="008B1815"/>
    <w:rsid w:val="008B18D1"/>
    <w:rsid w:val="008B1A62"/>
    <w:rsid w:val="008B1CB9"/>
    <w:rsid w:val="008B1EC5"/>
    <w:rsid w:val="008B2171"/>
    <w:rsid w:val="008B2313"/>
    <w:rsid w:val="008B243F"/>
    <w:rsid w:val="008B2658"/>
    <w:rsid w:val="008B2785"/>
    <w:rsid w:val="008B28A7"/>
    <w:rsid w:val="008B2906"/>
    <w:rsid w:val="008B2AB0"/>
    <w:rsid w:val="008B2BD1"/>
    <w:rsid w:val="008B2DA6"/>
    <w:rsid w:val="008B2E6D"/>
    <w:rsid w:val="008B3249"/>
    <w:rsid w:val="008B32CF"/>
    <w:rsid w:val="008B33D5"/>
    <w:rsid w:val="008B3415"/>
    <w:rsid w:val="008B3460"/>
    <w:rsid w:val="008B36C2"/>
    <w:rsid w:val="008B3762"/>
    <w:rsid w:val="008B38C0"/>
    <w:rsid w:val="008B3A26"/>
    <w:rsid w:val="008B3AA0"/>
    <w:rsid w:val="008B4074"/>
    <w:rsid w:val="008B4A1E"/>
    <w:rsid w:val="008B4B13"/>
    <w:rsid w:val="008B4B30"/>
    <w:rsid w:val="008B4C31"/>
    <w:rsid w:val="008B4D10"/>
    <w:rsid w:val="008B505B"/>
    <w:rsid w:val="008B522F"/>
    <w:rsid w:val="008B5236"/>
    <w:rsid w:val="008B52B0"/>
    <w:rsid w:val="008B5CB6"/>
    <w:rsid w:val="008B5D85"/>
    <w:rsid w:val="008B5E16"/>
    <w:rsid w:val="008B5E7A"/>
    <w:rsid w:val="008B6080"/>
    <w:rsid w:val="008B60C6"/>
    <w:rsid w:val="008B6265"/>
    <w:rsid w:val="008B66A3"/>
    <w:rsid w:val="008B67F9"/>
    <w:rsid w:val="008B6B65"/>
    <w:rsid w:val="008B6CE7"/>
    <w:rsid w:val="008B712B"/>
    <w:rsid w:val="008B7166"/>
    <w:rsid w:val="008B7186"/>
    <w:rsid w:val="008B721B"/>
    <w:rsid w:val="008B728C"/>
    <w:rsid w:val="008B7623"/>
    <w:rsid w:val="008B7967"/>
    <w:rsid w:val="008B7D3B"/>
    <w:rsid w:val="008C03E2"/>
    <w:rsid w:val="008C04AB"/>
    <w:rsid w:val="008C0636"/>
    <w:rsid w:val="008C0750"/>
    <w:rsid w:val="008C0884"/>
    <w:rsid w:val="008C0BF5"/>
    <w:rsid w:val="008C0C10"/>
    <w:rsid w:val="008C1134"/>
    <w:rsid w:val="008C1327"/>
    <w:rsid w:val="008C133F"/>
    <w:rsid w:val="008C1669"/>
    <w:rsid w:val="008C186D"/>
    <w:rsid w:val="008C1892"/>
    <w:rsid w:val="008C1C66"/>
    <w:rsid w:val="008C1CAD"/>
    <w:rsid w:val="008C1FB5"/>
    <w:rsid w:val="008C2047"/>
    <w:rsid w:val="008C20D5"/>
    <w:rsid w:val="008C23A1"/>
    <w:rsid w:val="008C2461"/>
    <w:rsid w:val="008C2849"/>
    <w:rsid w:val="008C2A06"/>
    <w:rsid w:val="008C2AFB"/>
    <w:rsid w:val="008C2E21"/>
    <w:rsid w:val="008C30E9"/>
    <w:rsid w:val="008C372D"/>
    <w:rsid w:val="008C39D0"/>
    <w:rsid w:val="008C3A16"/>
    <w:rsid w:val="008C3A94"/>
    <w:rsid w:val="008C3CE0"/>
    <w:rsid w:val="008C4089"/>
    <w:rsid w:val="008C40C7"/>
    <w:rsid w:val="008C40CB"/>
    <w:rsid w:val="008C4247"/>
    <w:rsid w:val="008C4471"/>
    <w:rsid w:val="008C48CA"/>
    <w:rsid w:val="008C4B09"/>
    <w:rsid w:val="008C5047"/>
    <w:rsid w:val="008C539E"/>
    <w:rsid w:val="008C549F"/>
    <w:rsid w:val="008C55FC"/>
    <w:rsid w:val="008C5762"/>
    <w:rsid w:val="008C5FB1"/>
    <w:rsid w:val="008C5FC9"/>
    <w:rsid w:val="008C5FED"/>
    <w:rsid w:val="008C63AB"/>
    <w:rsid w:val="008C6495"/>
    <w:rsid w:val="008C6C63"/>
    <w:rsid w:val="008C719C"/>
    <w:rsid w:val="008C7239"/>
    <w:rsid w:val="008C737A"/>
    <w:rsid w:val="008C7512"/>
    <w:rsid w:val="008C7677"/>
    <w:rsid w:val="008C76E7"/>
    <w:rsid w:val="008C78CD"/>
    <w:rsid w:val="008C79BC"/>
    <w:rsid w:val="008C7A55"/>
    <w:rsid w:val="008C7DE3"/>
    <w:rsid w:val="008D04DB"/>
    <w:rsid w:val="008D07B6"/>
    <w:rsid w:val="008D0887"/>
    <w:rsid w:val="008D0901"/>
    <w:rsid w:val="008D090F"/>
    <w:rsid w:val="008D0A0B"/>
    <w:rsid w:val="008D0D3B"/>
    <w:rsid w:val="008D0E81"/>
    <w:rsid w:val="008D1143"/>
    <w:rsid w:val="008D1289"/>
    <w:rsid w:val="008D14CA"/>
    <w:rsid w:val="008D1664"/>
    <w:rsid w:val="008D1722"/>
    <w:rsid w:val="008D1963"/>
    <w:rsid w:val="008D1F28"/>
    <w:rsid w:val="008D2137"/>
    <w:rsid w:val="008D2563"/>
    <w:rsid w:val="008D282B"/>
    <w:rsid w:val="008D282C"/>
    <w:rsid w:val="008D2C6E"/>
    <w:rsid w:val="008D2D10"/>
    <w:rsid w:val="008D2E29"/>
    <w:rsid w:val="008D2E31"/>
    <w:rsid w:val="008D2F75"/>
    <w:rsid w:val="008D3252"/>
    <w:rsid w:val="008D342A"/>
    <w:rsid w:val="008D345B"/>
    <w:rsid w:val="008D39D5"/>
    <w:rsid w:val="008D3BCA"/>
    <w:rsid w:val="008D3F6D"/>
    <w:rsid w:val="008D403C"/>
    <w:rsid w:val="008D413E"/>
    <w:rsid w:val="008D42B5"/>
    <w:rsid w:val="008D445C"/>
    <w:rsid w:val="008D4542"/>
    <w:rsid w:val="008D4567"/>
    <w:rsid w:val="008D4AA7"/>
    <w:rsid w:val="008D4ACB"/>
    <w:rsid w:val="008D4B57"/>
    <w:rsid w:val="008D4BBF"/>
    <w:rsid w:val="008D4CB2"/>
    <w:rsid w:val="008D4E58"/>
    <w:rsid w:val="008D5488"/>
    <w:rsid w:val="008D54DE"/>
    <w:rsid w:val="008D56A0"/>
    <w:rsid w:val="008D58E5"/>
    <w:rsid w:val="008D59F1"/>
    <w:rsid w:val="008D604A"/>
    <w:rsid w:val="008D63EA"/>
    <w:rsid w:val="008D6833"/>
    <w:rsid w:val="008D68DF"/>
    <w:rsid w:val="008D695F"/>
    <w:rsid w:val="008D6A25"/>
    <w:rsid w:val="008D74E4"/>
    <w:rsid w:val="008D7987"/>
    <w:rsid w:val="008D7E63"/>
    <w:rsid w:val="008D7EFA"/>
    <w:rsid w:val="008E0577"/>
    <w:rsid w:val="008E083A"/>
    <w:rsid w:val="008E1019"/>
    <w:rsid w:val="008E1219"/>
    <w:rsid w:val="008E1483"/>
    <w:rsid w:val="008E1904"/>
    <w:rsid w:val="008E1EE3"/>
    <w:rsid w:val="008E2196"/>
    <w:rsid w:val="008E21E6"/>
    <w:rsid w:val="008E2458"/>
    <w:rsid w:val="008E2499"/>
    <w:rsid w:val="008E2563"/>
    <w:rsid w:val="008E2597"/>
    <w:rsid w:val="008E2726"/>
    <w:rsid w:val="008E2795"/>
    <w:rsid w:val="008E29AE"/>
    <w:rsid w:val="008E2BF4"/>
    <w:rsid w:val="008E2EC5"/>
    <w:rsid w:val="008E318F"/>
    <w:rsid w:val="008E3308"/>
    <w:rsid w:val="008E34AB"/>
    <w:rsid w:val="008E3977"/>
    <w:rsid w:val="008E3A19"/>
    <w:rsid w:val="008E3BBC"/>
    <w:rsid w:val="008E3DEC"/>
    <w:rsid w:val="008E4104"/>
    <w:rsid w:val="008E48AE"/>
    <w:rsid w:val="008E4918"/>
    <w:rsid w:val="008E4BFC"/>
    <w:rsid w:val="008E4CB0"/>
    <w:rsid w:val="008E4E90"/>
    <w:rsid w:val="008E4EC9"/>
    <w:rsid w:val="008E4EEE"/>
    <w:rsid w:val="008E4FBA"/>
    <w:rsid w:val="008E50F9"/>
    <w:rsid w:val="008E52D6"/>
    <w:rsid w:val="008E574F"/>
    <w:rsid w:val="008E58D9"/>
    <w:rsid w:val="008E5936"/>
    <w:rsid w:val="008E5D24"/>
    <w:rsid w:val="008E5D40"/>
    <w:rsid w:val="008E5F11"/>
    <w:rsid w:val="008E5F8E"/>
    <w:rsid w:val="008E603E"/>
    <w:rsid w:val="008E6139"/>
    <w:rsid w:val="008E655D"/>
    <w:rsid w:val="008E6F51"/>
    <w:rsid w:val="008E7024"/>
    <w:rsid w:val="008E73D3"/>
    <w:rsid w:val="008E75CF"/>
    <w:rsid w:val="008E7741"/>
    <w:rsid w:val="008E7906"/>
    <w:rsid w:val="008E7FF8"/>
    <w:rsid w:val="008F0005"/>
    <w:rsid w:val="008F012C"/>
    <w:rsid w:val="008F01A8"/>
    <w:rsid w:val="008F0697"/>
    <w:rsid w:val="008F08A5"/>
    <w:rsid w:val="008F0957"/>
    <w:rsid w:val="008F0A55"/>
    <w:rsid w:val="008F0C17"/>
    <w:rsid w:val="008F0E26"/>
    <w:rsid w:val="008F17F4"/>
    <w:rsid w:val="008F1B35"/>
    <w:rsid w:val="008F1EE4"/>
    <w:rsid w:val="008F1F0C"/>
    <w:rsid w:val="008F2647"/>
    <w:rsid w:val="008F2911"/>
    <w:rsid w:val="008F29F3"/>
    <w:rsid w:val="008F2E9E"/>
    <w:rsid w:val="008F2EAE"/>
    <w:rsid w:val="008F2EED"/>
    <w:rsid w:val="008F34CD"/>
    <w:rsid w:val="008F3B7B"/>
    <w:rsid w:val="008F3D7A"/>
    <w:rsid w:val="008F3DD2"/>
    <w:rsid w:val="008F3E44"/>
    <w:rsid w:val="008F3FB1"/>
    <w:rsid w:val="008F3FCF"/>
    <w:rsid w:val="008F4088"/>
    <w:rsid w:val="008F43BA"/>
    <w:rsid w:val="008F4418"/>
    <w:rsid w:val="008F456C"/>
    <w:rsid w:val="008F4717"/>
    <w:rsid w:val="008F4845"/>
    <w:rsid w:val="008F4897"/>
    <w:rsid w:val="008F48A6"/>
    <w:rsid w:val="008F4B49"/>
    <w:rsid w:val="008F4E2F"/>
    <w:rsid w:val="008F50C7"/>
    <w:rsid w:val="008F52E5"/>
    <w:rsid w:val="008F5300"/>
    <w:rsid w:val="008F53A1"/>
    <w:rsid w:val="008F54E9"/>
    <w:rsid w:val="008F557E"/>
    <w:rsid w:val="008F563C"/>
    <w:rsid w:val="008F5E71"/>
    <w:rsid w:val="008F5EC9"/>
    <w:rsid w:val="008F60EC"/>
    <w:rsid w:val="008F6480"/>
    <w:rsid w:val="008F6713"/>
    <w:rsid w:val="008F6F1F"/>
    <w:rsid w:val="008F70F3"/>
    <w:rsid w:val="008F76AE"/>
    <w:rsid w:val="008F780C"/>
    <w:rsid w:val="008F7839"/>
    <w:rsid w:val="008F7BF7"/>
    <w:rsid w:val="008F7C82"/>
    <w:rsid w:val="008F7D4A"/>
    <w:rsid w:val="008F7F00"/>
    <w:rsid w:val="008F7FD7"/>
    <w:rsid w:val="0090023F"/>
    <w:rsid w:val="009003C5"/>
    <w:rsid w:val="00900467"/>
    <w:rsid w:val="009006E7"/>
    <w:rsid w:val="009007EA"/>
    <w:rsid w:val="00900A54"/>
    <w:rsid w:val="009013E1"/>
    <w:rsid w:val="009014D6"/>
    <w:rsid w:val="009015C9"/>
    <w:rsid w:val="00901788"/>
    <w:rsid w:val="00901CEB"/>
    <w:rsid w:val="00901D9A"/>
    <w:rsid w:val="00901E50"/>
    <w:rsid w:val="009020A8"/>
    <w:rsid w:val="00902259"/>
    <w:rsid w:val="009023EA"/>
    <w:rsid w:val="0090256B"/>
    <w:rsid w:val="00902849"/>
    <w:rsid w:val="009028AC"/>
    <w:rsid w:val="00902906"/>
    <w:rsid w:val="00902E5F"/>
    <w:rsid w:val="00903039"/>
    <w:rsid w:val="00903430"/>
    <w:rsid w:val="0090398D"/>
    <w:rsid w:val="00904040"/>
    <w:rsid w:val="00904110"/>
    <w:rsid w:val="00904678"/>
    <w:rsid w:val="00904757"/>
    <w:rsid w:val="00904972"/>
    <w:rsid w:val="00904A0A"/>
    <w:rsid w:val="00904BD0"/>
    <w:rsid w:val="00904BE9"/>
    <w:rsid w:val="00904E84"/>
    <w:rsid w:val="00905111"/>
    <w:rsid w:val="00905587"/>
    <w:rsid w:val="009055A1"/>
    <w:rsid w:val="009056F8"/>
    <w:rsid w:val="00905DC9"/>
    <w:rsid w:val="00905E32"/>
    <w:rsid w:val="00906111"/>
    <w:rsid w:val="00906135"/>
    <w:rsid w:val="00906242"/>
    <w:rsid w:val="0090635A"/>
    <w:rsid w:val="009065D9"/>
    <w:rsid w:val="009067AA"/>
    <w:rsid w:val="009067C2"/>
    <w:rsid w:val="009069C8"/>
    <w:rsid w:val="00906A15"/>
    <w:rsid w:val="00906EB7"/>
    <w:rsid w:val="00906FC5"/>
    <w:rsid w:val="00907000"/>
    <w:rsid w:val="00907164"/>
    <w:rsid w:val="009071C8"/>
    <w:rsid w:val="00907292"/>
    <w:rsid w:val="00907351"/>
    <w:rsid w:val="009074B8"/>
    <w:rsid w:val="00907768"/>
    <w:rsid w:val="00907826"/>
    <w:rsid w:val="009078BB"/>
    <w:rsid w:val="00907CB0"/>
    <w:rsid w:val="00907D0C"/>
    <w:rsid w:val="00910114"/>
    <w:rsid w:val="00910200"/>
    <w:rsid w:val="00910715"/>
    <w:rsid w:val="009110B6"/>
    <w:rsid w:val="009111D0"/>
    <w:rsid w:val="0091122C"/>
    <w:rsid w:val="00911304"/>
    <w:rsid w:val="00911371"/>
    <w:rsid w:val="00911498"/>
    <w:rsid w:val="009114A9"/>
    <w:rsid w:val="009114B8"/>
    <w:rsid w:val="009116C7"/>
    <w:rsid w:val="00911834"/>
    <w:rsid w:val="00911C73"/>
    <w:rsid w:val="00911FF0"/>
    <w:rsid w:val="009121DD"/>
    <w:rsid w:val="009122DC"/>
    <w:rsid w:val="009127ED"/>
    <w:rsid w:val="00912951"/>
    <w:rsid w:val="009129DB"/>
    <w:rsid w:val="00912AB8"/>
    <w:rsid w:val="00912B6C"/>
    <w:rsid w:val="00912D9A"/>
    <w:rsid w:val="00912DE1"/>
    <w:rsid w:val="00913021"/>
    <w:rsid w:val="00913174"/>
    <w:rsid w:val="0091330E"/>
    <w:rsid w:val="009138D9"/>
    <w:rsid w:val="00913ACF"/>
    <w:rsid w:val="00913E2B"/>
    <w:rsid w:val="009140A9"/>
    <w:rsid w:val="00914193"/>
    <w:rsid w:val="009142C5"/>
    <w:rsid w:val="0091431D"/>
    <w:rsid w:val="009146F5"/>
    <w:rsid w:val="00914A91"/>
    <w:rsid w:val="00914CA2"/>
    <w:rsid w:val="00914CDE"/>
    <w:rsid w:val="00914D81"/>
    <w:rsid w:val="00914E7A"/>
    <w:rsid w:val="00914FC0"/>
    <w:rsid w:val="00914FEE"/>
    <w:rsid w:val="009150D1"/>
    <w:rsid w:val="00915587"/>
    <w:rsid w:val="009156C2"/>
    <w:rsid w:val="00915A79"/>
    <w:rsid w:val="00915A8A"/>
    <w:rsid w:val="00915B25"/>
    <w:rsid w:val="00915EDB"/>
    <w:rsid w:val="00915F47"/>
    <w:rsid w:val="00915F72"/>
    <w:rsid w:val="00916166"/>
    <w:rsid w:val="00916401"/>
    <w:rsid w:val="00916541"/>
    <w:rsid w:val="009166B8"/>
    <w:rsid w:val="00916CAB"/>
    <w:rsid w:val="00916DE4"/>
    <w:rsid w:val="00916F02"/>
    <w:rsid w:val="00916F3F"/>
    <w:rsid w:val="00916FFC"/>
    <w:rsid w:val="009171C8"/>
    <w:rsid w:val="00917261"/>
    <w:rsid w:val="009174BB"/>
    <w:rsid w:val="00917793"/>
    <w:rsid w:val="009179CA"/>
    <w:rsid w:val="00917CB3"/>
    <w:rsid w:val="00917DB9"/>
    <w:rsid w:val="00920263"/>
    <w:rsid w:val="009205DE"/>
    <w:rsid w:val="00920930"/>
    <w:rsid w:val="00920AB4"/>
    <w:rsid w:val="00920B62"/>
    <w:rsid w:val="00920C03"/>
    <w:rsid w:val="00920C1E"/>
    <w:rsid w:val="00920CF4"/>
    <w:rsid w:val="009211A8"/>
    <w:rsid w:val="009213F7"/>
    <w:rsid w:val="00921766"/>
    <w:rsid w:val="00921BE0"/>
    <w:rsid w:val="00921C7A"/>
    <w:rsid w:val="0092206C"/>
    <w:rsid w:val="009227F9"/>
    <w:rsid w:val="00922C63"/>
    <w:rsid w:val="00922CDA"/>
    <w:rsid w:val="00923531"/>
    <w:rsid w:val="009235C7"/>
    <w:rsid w:val="00923918"/>
    <w:rsid w:val="00923A0C"/>
    <w:rsid w:val="00923AD2"/>
    <w:rsid w:val="00923B51"/>
    <w:rsid w:val="00923FFB"/>
    <w:rsid w:val="009242CA"/>
    <w:rsid w:val="009245D8"/>
    <w:rsid w:val="00924C15"/>
    <w:rsid w:val="00924C16"/>
    <w:rsid w:val="00924C28"/>
    <w:rsid w:val="00924CC4"/>
    <w:rsid w:val="00924D7B"/>
    <w:rsid w:val="00924DB3"/>
    <w:rsid w:val="0092556C"/>
    <w:rsid w:val="009255B1"/>
    <w:rsid w:val="00925669"/>
    <w:rsid w:val="00925992"/>
    <w:rsid w:val="00925FEA"/>
    <w:rsid w:val="009260E8"/>
    <w:rsid w:val="00926411"/>
    <w:rsid w:val="009269CE"/>
    <w:rsid w:val="00926AEA"/>
    <w:rsid w:val="00926D18"/>
    <w:rsid w:val="00926D84"/>
    <w:rsid w:val="00927344"/>
    <w:rsid w:val="00927557"/>
    <w:rsid w:val="00927710"/>
    <w:rsid w:val="00927863"/>
    <w:rsid w:val="0092789F"/>
    <w:rsid w:val="00927981"/>
    <w:rsid w:val="00927C22"/>
    <w:rsid w:val="00927C54"/>
    <w:rsid w:val="00927D62"/>
    <w:rsid w:val="00927FA7"/>
    <w:rsid w:val="00927FED"/>
    <w:rsid w:val="009304D9"/>
    <w:rsid w:val="00930518"/>
    <w:rsid w:val="0093085C"/>
    <w:rsid w:val="00930B02"/>
    <w:rsid w:val="00930D68"/>
    <w:rsid w:val="00931068"/>
    <w:rsid w:val="0093125F"/>
    <w:rsid w:val="00931460"/>
    <w:rsid w:val="00931BC7"/>
    <w:rsid w:val="00931E11"/>
    <w:rsid w:val="009324C9"/>
    <w:rsid w:val="009326CA"/>
    <w:rsid w:val="00932B1A"/>
    <w:rsid w:val="00932EEE"/>
    <w:rsid w:val="0093359D"/>
    <w:rsid w:val="009335DE"/>
    <w:rsid w:val="0093384F"/>
    <w:rsid w:val="00933B9E"/>
    <w:rsid w:val="00933D37"/>
    <w:rsid w:val="00934470"/>
    <w:rsid w:val="00934641"/>
    <w:rsid w:val="00934748"/>
    <w:rsid w:val="009347FC"/>
    <w:rsid w:val="009348A1"/>
    <w:rsid w:val="00934994"/>
    <w:rsid w:val="009349C7"/>
    <w:rsid w:val="00934EE5"/>
    <w:rsid w:val="00934F32"/>
    <w:rsid w:val="00935082"/>
    <w:rsid w:val="0093509D"/>
    <w:rsid w:val="00935454"/>
    <w:rsid w:val="00935639"/>
    <w:rsid w:val="00935647"/>
    <w:rsid w:val="00935A4C"/>
    <w:rsid w:val="00935AE8"/>
    <w:rsid w:val="00935DEF"/>
    <w:rsid w:val="00935EFA"/>
    <w:rsid w:val="00936074"/>
    <w:rsid w:val="0093616C"/>
    <w:rsid w:val="009364B1"/>
    <w:rsid w:val="009364CC"/>
    <w:rsid w:val="0093671F"/>
    <w:rsid w:val="00936833"/>
    <w:rsid w:val="009369AD"/>
    <w:rsid w:val="00936B05"/>
    <w:rsid w:val="00936D06"/>
    <w:rsid w:val="00936DA7"/>
    <w:rsid w:val="00936FF5"/>
    <w:rsid w:val="00937221"/>
    <w:rsid w:val="00937257"/>
    <w:rsid w:val="0093743F"/>
    <w:rsid w:val="0093772F"/>
    <w:rsid w:val="00937936"/>
    <w:rsid w:val="00937A13"/>
    <w:rsid w:val="00937A7A"/>
    <w:rsid w:val="00937D4F"/>
    <w:rsid w:val="00937DD7"/>
    <w:rsid w:val="00937E41"/>
    <w:rsid w:val="00940163"/>
    <w:rsid w:val="00940768"/>
    <w:rsid w:val="0094079F"/>
    <w:rsid w:val="009407C6"/>
    <w:rsid w:val="00940837"/>
    <w:rsid w:val="009409B4"/>
    <w:rsid w:val="00940CA7"/>
    <w:rsid w:val="00940D69"/>
    <w:rsid w:val="0094109D"/>
    <w:rsid w:val="009412C2"/>
    <w:rsid w:val="00941521"/>
    <w:rsid w:val="009415A1"/>
    <w:rsid w:val="0094173E"/>
    <w:rsid w:val="0094195D"/>
    <w:rsid w:val="0094198E"/>
    <w:rsid w:val="00941D8C"/>
    <w:rsid w:val="00942123"/>
    <w:rsid w:val="00942305"/>
    <w:rsid w:val="009424DE"/>
    <w:rsid w:val="0094260F"/>
    <w:rsid w:val="00942661"/>
    <w:rsid w:val="00942672"/>
    <w:rsid w:val="0094299B"/>
    <w:rsid w:val="00942A93"/>
    <w:rsid w:val="00942AD7"/>
    <w:rsid w:val="00942D02"/>
    <w:rsid w:val="00942D69"/>
    <w:rsid w:val="0094306E"/>
    <w:rsid w:val="0094339D"/>
    <w:rsid w:val="009434B9"/>
    <w:rsid w:val="00943509"/>
    <w:rsid w:val="009435B3"/>
    <w:rsid w:val="009436C6"/>
    <w:rsid w:val="0094385F"/>
    <w:rsid w:val="009439A6"/>
    <w:rsid w:val="00943B27"/>
    <w:rsid w:val="00943DD0"/>
    <w:rsid w:val="00943EF2"/>
    <w:rsid w:val="0094419D"/>
    <w:rsid w:val="00944298"/>
    <w:rsid w:val="00944408"/>
    <w:rsid w:val="00944456"/>
    <w:rsid w:val="00944534"/>
    <w:rsid w:val="0094453F"/>
    <w:rsid w:val="0094516C"/>
    <w:rsid w:val="00945280"/>
    <w:rsid w:val="009452EB"/>
    <w:rsid w:val="009454C1"/>
    <w:rsid w:val="0094579D"/>
    <w:rsid w:val="00945847"/>
    <w:rsid w:val="00945E92"/>
    <w:rsid w:val="00946046"/>
    <w:rsid w:val="009460B0"/>
    <w:rsid w:val="009462BE"/>
    <w:rsid w:val="00946521"/>
    <w:rsid w:val="009465CC"/>
    <w:rsid w:val="009466CA"/>
    <w:rsid w:val="0094675D"/>
    <w:rsid w:val="00946AAD"/>
    <w:rsid w:val="00946BE8"/>
    <w:rsid w:val="00946CDE"/>
    <w:rsid w:val="00946D46"/>
    <w:rsid w:val="00946E09"/>
    <w:rsid w:val="00946E46"/>
    <w:rsid w:val="00947006"/>
    <w:rsid w:val="009474A3"/>
    <w:rsid w:val="0094750D"/>
    <w:rsid w:val="00947636"/>
    <w:rsid w:val="0094771E"/>
    <w:rsid w:val="009478AA"/>
    <w:rsid w:val="00947B28"/>
    <w:rsid w:val="00947E91"/>
    <w:rsid w:val="00950282"/>
    <w:rsid w:val="0095051C"/>
    <w:rsid w:val="009505DA"/>
    <w:rsid w:val="00950608"/>
    <w:rsid w:val="009506C7"/>
    <w:rsid w:val="0095074F"/>
    <w:rsid w:val="00950C24"/>
    <w:rsid w:val="00951238"/>
    <w:rsid w:val="00951290"/>
    <w:rsid w:val="0095146E"/>
    <w:rsid w:val="0095167C"/>
    <w:rsid w:val="009517F5"/>
    <w:rsid w:val="009518FE"/>
    <w:rsid w:val="00951942"/>
    <w:rsid w:val="00951C88"/>
    <w:rsid w:val="00951D4D"/>
    <w:rsid w:val="00951E0A"/>
    <w:rsid w:val="00951FD7"/>
    <w:rsid w:val="00952176"/>
    <w:rsid w:val="00952185"/>
    <w:rsid w:val="0095239F"/>
    <w:rsid w:val="009527B2"/>
    <w:rsid w:val="00952B68"/>
    <w:rsid w:val="00952FBE"/>
    <w:rsid w:val="00953294"/>
    <w:rsid w:val="009532EF"/>
    <w:rsid w:val="009535E5"/>
    <w:rsid w:val="0095369A"/>
    <w:rsid w:val="0095389F"/>
    <w:rsid w:val="009539AD"/>
    <w:rsid w:val="00953B37"/>
    <w:rsid w:val="00953BF2"/>
    <w:rsid w:val="00953C18"/>
    <w:rsid w:val="00953E27"/>
    <w:rsid w:val="00953E7A"/>
    <w:rsid w:val="00953F6B"/>
    <w:rsid w:val="009540FA"/>
    <w:rsid w:val="0095411E"/>
    <w:rsid w:val="00954985"/>
    <w:rsid w:val="00954B2F"/>
    <w:rsid w:val="00954E1C"/>
    <w:rsid w:val="0095503F"/>
    <w:rsid w:val="009558E5"/>
    <w:rsid w:val="00955AA5"/>
    <w:rsid w:val="00955C5F"/>
    <w:rsid w:val="00955CFC"/>
    <w:rsid w:val="00956149"/>
    <w:rsid w:val="009564CD"/>
    <w:rsid w:val="009564F9"/>
    <w:rsid w:val="00956558"/>
    <w:rsid w:val="009567A9"/>
    <w:rsid w:val="00956888"/>
    <w:rsid w:val="00956AE2"/>
    <w:rsid w:val="00956F2C"/>
    <w:rsid w:val="00957032"/>
    <w:rsid w:val="009571E5"/>
    <w:rsid w:val="00957A72"/>
    <w:rsid w:val="00957BC8"/>
    <w:rsid w:val="00957C7F"/>
    <w:rsid w:val="00957F78"/>
    <w:rsid w:val="0096002E"/>
    <w:rsid w:val="00960283"/>
    <w:rsid w:val="009606D4"/>
    <w:rsid w:val="009607AA"/>
    <w:rsid w:val="00960E1F"/>
    <w:rsid w:val="009611D8"/>
    <w:rsid w:val="00961593"/>
    <w:rsid w:val="0096189C"/>
    <w:rsid w:val="00961932"/>
    <w:rsid w:val="0096195D"/>
    <w:rsid w:val="00961991"/>
    <w:rsid w:val="009619BA"/>
    <w:rsid w:val="00961C38"/>
    <w:rsid w:val="00961D26"/>
    <w:rsid w:val="00961D9A"/>
    <w:rsid w:val="00961E76"/>
    <w:rsid w:val="00961FB1"/>
    <w:rsid w:val="00961FBB"/>
    <w:rsid w:val="009621A9"/>
    <w:rsid w:val="00962263"/>
    <w:rsid w:val="00962B77"/>
    <w:rsid w:val="00962CB7"/>
    <w:rsid w:val="00962F73"/>
    <w:rsid w:val="0096315A"/>
    <w:rsid w:val="009634AB"/>
    <w:rsid w:val="00963BA5"/>
    <w:rsid w:val="00963DCE"/>
    <w:rsid w:val="00963F55"/>
    <w:rsid w:val="00963F5C"/>
    <w:rsid w:val="00964174"/>
    <w:rsid w:val="009642EC"/>
    <w:rsid w:val="009644CB"/>
    <w:rsid w:val="009645E9"/>
    <w:rsid w:val="00964616"/>
    <w:rsid w:val="00964855"/>
    <w:rsid w:val="0096490C"/>
    <w:rsid w:val="009649DE"/>
    <w:rsid w:val="00964A10"/>
    <w:rsid w:val="00964C30"/>
    <w:rsid w:val="00964CC3"/>
    <w:rsid w:val="00964D1F"/>
    <w:rsid w:val="00964E61"/>
    <w:rsid w:val="00964EAF"/>
    <w:rsid w:val="009652B1"/>
    <w:rsid w:val="00965538"/>
    <w:rsid w:val="00965895"/>
    <w:rsid w:val="00965AFB"/>
    <w:rsid w:val="00965BE7"/>
    <w:rsid w:val="0096619A"/>
    <w:rsid w:val="009663EA"/>
    <w:rsid w:val="00966462"/>
    <w:rsid w:val="00966495"/>
    <w:rsid w:val="00966971"/>
    <w:rsid w:val="00966D41"/>
    <w:rsid w:val="00966DCC"/>
    <w:rsid w:val="00966FFA"/>
    <w:rsid w:val="009679B1"/>
    <w:rsid w:val="00967F3D"/>
    <w:rsid w:val="0097004E"/>
    <w:rsid w:val="0097006C"/>
    <w:rsid w:val="00970350"/>
    <w:rsid w:val="00970644"/>
    <w:rsid w:val="00970AB4"/>
    <w:rsid w:val="00970ABF"/>
    <w:rsid w:val="00970CAD"/>
    <w:rsid w:val="00970F1A"/>
    <w:rsid w:val="00971157"/>
    <w:rsid w:val="009711A3"/>
    <w:rsid w:val="0097130F"/>
    <w:rsid w:val="00971623"/>
    <w:rsid w:val="009717DA"/>
    <w:rsid w:val="009718A8"/>
    <w:rsid w:val="00971A22"/>
    <w:rsid w:val="00971AD3"/>
    <w:rsid w:val="00971F7C"/>
    <w:rsid w:val="00971FAF"/>
    <w:rsid w:val="00972578"/>
    <w:rsid w:val="00972609"/>
    <w:rsid w:val="00972B67"/>
    <w:rsid w:val="00972BB7"/>
    <w:rsid w:val="00972CC8"/>
    <w:rsid w:val="00972DA8"/>
    <w:rsid w:val="009731CD"/>
    <w:rsid w:val="00973561"/>
    <w:rsid w:val="009736CA"/>
    <w:rsid w:val="00973712"/>
    <w:rsid w:val="00973819"/>
    <w:rsid w:val="0097385F"/>
    <w:rsid w:val="009738B2"/>
    <w:rsid w:val="009739FB"/>
    <w:rsid w:val="00973A2B"/>
    <w:rsid w:val="00973BFB"/>
    <w:rsid w:val="00974129"/>
    <w:rsid w:val="009742C8"/>
    <w:rsid w:val="009744BA"/>
    <w:rsid w:val="0097474E"/>
    <w:rsid w:val="009748E2"/>
    <w:rsid w:val="0097498E"/>
    <w:rsid w:val="00974DE1"/>
    <w:rsid w:val="009751B6"/>
    <w:rsid w:val="0097527B"/>
    <w:rsid w:val="0097541C"/>
    <w:rsid w:val="009754D5"/>
    <w:rsid w:val="00975748"/>
    <w:rsid w:val="0097587A"/>
    <w:rsid w:val="00975C7B"/>
    <w:rsid w:val="00975D43"/>
    <w:rsid w:val="00975E59"/>
    <w:rsid w:val="009760C4"/>
    <w:rsid w:val="00976360"/>
    <w:rsid w:val="00976497"/>
    <w:rsid w:val="009768E8"/>
    <w:rsid w:val="00976A88"/>
    <w:rsid w:val="00976E9F"/>
    <w:rsid w:val="00977275"/>
    <w:rsid w:val="00977753"/>
    <w:rsid w:val="00977816"/>
    <w:rsid w:val="009779BD"/>
    <w:rsid w:val="009779C6"/>
    <w:rsid w:val="00977BBE"/>
    <w:rsid w:val="00977EBD"/>
    <w:rsid w:val="00977FE6"/>
    <w:rsid w:val="009800FC"/>
    <w:rsid w:val="0098023A"/>
    <w:rsid w:val="0098028E"/>
    <w:rsid w:val="009802CC"/>
    <w:rsid w:val="009802D6"/>
    <w:rsid w:val="009805BA"/>
    <w:rsid w:val="009805EE"/>
    <w:rsid w:val="00980EA1"/>
    <w:rsid w:val="00980F73"/>
    <w:rsid w:val="009810F6"/>
    <w:rsid w:val="00981369"/>
    <w:rsid w:val="00981660"/>
    <w:rsid w:val="00981674"/>
    <w:rsid w:val="009816FD"/>
    <w:rsid w:val="009817DE"/>
    <w:rsid w:val="009818A8"/>
    <w:rsid w:val="009818C5"/>
    <w:rsid w:val="00981ED0"/>
    <w:rsid w:val="0098202B"/>
    <w:rsid w:val="00982125"/>
    <w:rsid w:val="00982206"/>
    <w:rsid w:val="0098266A"/>
    <w:rsid w:val="00982683"/>
    <w:rsid w:val="00982BBA"/>
    <w:rsid w:val="00982F62"/>
    <w:rsid w:val="009831C6"/>
    <w:rsid w:val="00983457"/>
    <w:rsid w:val="00983630"/>
    <w:rsid w:val="00983636"/>
    <w:rsid w:val="0098377E"/>
    <w:rsid w:val="009837E3"/>
    <w:rsid w:val="009838D1"/>
    <w:rsid w:val="00983B23"/>
    <w:rsid w:val="00983C08"/>
    <w:rsid w:val="0098409A"/>
    <w:rsid w:val="00984204"/>
    <w:rsid w:val="00984263"/>
    <w:rsid w:val="009843E9"/>
    <w:rsid w:val="00984466"/>
    <w:rsid w:val="00984487"/>
    <w:rsid w:val="00984543"/>
    <w:rsid w:val="0098462E"/>
    <w:rsid w:val="009847AB"/>
    <w:rsid w:val="009848EF"/>
    <w:rsid w:val="00984CD2"/>
    <w:rsid w:val="00984DBC"/>
    <w:rsid w:val="00984E0C"/>
    <w:rsid w:val="0098503C"/>
    <w:rsid w:val="00985276"/>
    <w:rsid w:val="009852CB"/>
    <w:rsid w:val="00985379"/>
    <w:rsid w:val="009857CD"/>
    <w:rsid w:val="00985EDC"/>
    <w:rsid w:val="009862C4"/>
    <w:rsid w:val="009862F0"/>
    <w:rsid w:val="00986622"/>
    <w:rsid w:val="00986BBB"/>
    <w:rsid w:val="00986ED2"/>
    <w:rsid w:val="009870AB"/>
    <w:rsid w:val="0098754A"/>
    <w:rsid w:val="009876C5"/>
    <w:rsid w:val="009877DC"/>
    <w:rsid w:val="00987D06"/>
    <w:rsid w:val="00987E9D"/>
    <w:rsid w:val="00987FE7"/>
    <w:rsid w:val="009902B2"/>
    <w:rsid w:val="00990417"/>
    <w:rsid w:val="009904F7"/>
    <w:rsid w:val="0099087D"/>
    <w:rsid w:val="00990957"/>
    <w:rsid w:val="00990983"/>
    <w:rsid w:val="00990E22"/>
    <w:rsid w:val="00991059"/>
    <w:rsid w:val="00991552"/>
    <w:rsid w:val="009917BD"/>
    <w:rsid w:val="00991897"/>
    <w:rsid w:val="009918A3"/>
    <w:rsid w:val="009918FC"/>
    <w:rsid w:val="0099191C"/>
    <w:rsid w:val="00991A84"/>
    <w:rsid w:val="00991B2D"/>
    <w:rsid w:val="00991D4D"/>
    <w:rsid w:val="00991F6C"/>
    <w:rsid w:val="00992202"/>
    <w:rsid w:val="009922BB"/>
    <w:rsid w:val="00992567"/>
    <w:rsid w:val="00992C5B"/>
    <w:rsid w:val="00992CBA"/>
    <w:rsid w:val="00992EB6"/>
    <w:rsid w:val="009930E0"/>
    <w:rsid w:val="00993491"/>
    <w:rsid w:val="00993498"/>
    <w:rsid w:val="009936A7"/>
    <w:rsid w:val="00993A06"/>
    <w:rsid w:val="00993ADF"/>
    <w:rsid w:val="00993C41"/>
    <w:rsid w:val="009941CD"/>
    <w:rsid w:val="009942B6"/>
    <w:rsid w:val="0099437A"/>
    <w:rsid w:val="009943BE"/>
    <w:rsid w:val="00994513"/>
    <w:rsid w:val="00994B74"/>
    <w:rsid w:val="00994C19"/>
    <w:rsid w:val="00994DEB"/>
    <w:rsid w:val="00994E0A"/>
    <w:rsid w:val="00994F1D"/>
    <w:rsid w:val="00995462"/>
    <w:rsid w:val="00995502"/>
    <w:rsid w:val="00995855"/>
    <w:rsid w:val="00995A70"/>
    <w:rsid w:val="00995E64"/>
    <w:rsid w:val="00995F81"/>
    <w:rsid w:val="0099614C"/>
    <w:rsid w:val="00996286"/>
    <w:rsid w:val="009962EE"/>
    <w:rsid w:val="009963C1"/>
    <w:rsid w:val="00996642"/>
    <w:rsid w:val="00996710"/>
    <w:rsid w:val="009967E8"/>
    <w:rsid w:val="00996C40"/>
    <w:rsid w:val="00996D36"/>
    <w:rsid w:val="00996D4D"/>
    <w:rsid w:val="00996E25"/>
    <w:rsid w:val="0099719E"/>
    <w:rsid w:val="00997261"/>
    <w:rsid w:val="009972D9"/>
    <w:rsid w:val="00997CA5"/>
    <w:rsid w:val="00997D6A"/>
    <w:rsid w:val="009A003B"/>
    <w:rsid w:val="009A01C7"/>
    <w:rsid w:val="009A01E4"/>
    <w:rsid w:val="009A0456"/>
    <w:rsid w:val="009A049F"/>
    <w:rsid w:val="009A08D4"/>
    <w:rsid w:val="009A09D0"/>
    <w:rsid w:val="009A0A10"/>
    <w:rsid w:val="009A0A4B"/>
    <w:rsid w:val="009A0A5E"/>
    <w:rsid w:val="009A0AB5"/>
    <w:rsid w:val="009A0AC8"/>
    <w:rsid w:val="009A0BBA"/>
    <w:rsid w:val="009A0D35"/>
    <w:rsid w:val="009A0F6C"/>
    <w:rsid w:val="009A1389"/>
    <w:rsid w:val="009A14E3"/>
    <w:rsid w:val="009A1603"/>
    <w:rsid w:val="009A1BDD"/>
    <w:rsid w:val="009A1BFC"/>
    <w:rsid w:val="009A1DC5"/>
    <w:rsid w:val="009A1DDC"/>
    <w:rsid w:val="009A1E72"/>
    <w:rsid w:val="009A1F2A"/>
    <w:rsid w:val="009A29A9"/>
    <w:rsid w:val="009A2A17"/>
    <w:rsid w:val="009A2BCB"/>
    <w:rsid w:val="009A2F18"/>
    <w:rsid w:val="009A361E"/>
    <w:rsid w:val="009A3661"/>
    <w:rsid w:val="009A37DE"/>
    <w:rsid w:val="009A41AA"/>
    <w:rsid w:val="009A4979"/>
    <w:rsid w:val="009A4D7F"/>
    <w:rsid w:val="009A4E7A"/>
    <w:rsid w:val="009A5187"/>
    <w:rsid w:val="009A51EB"/>
    <w:rsid w:val="009A54B1"/>
    <w:rsid w:val="009A5B47"/>
    <w:rsid w:val="009A5EC4"/>
    <w:rsid w:val="009A60C7"/>
    <w:rsid w:val="009A6326"/>
    <w:rsid w:val="009A660F"/>
    <w:rsid w:val="009A662E"/>
    <w:rsid w:val="009A66E3"/>
    <w:rsid w:val="009A67C9"/>
    <w:rsid w:val="009A6879"/>
    <w:rsid w:val="009A6886"/>
    <w:rsid w:val="009A6A84"/>
    <w:rsid w:val="009A6C63"/>
    <w:rsid w:val="009A6DE5"/>
    <w:rsid w:val="009A6F42"/>
    <w:rsid w:val="009A6FD5"/>
    <w:rsid w:val="009A7098"/>
    <w:rsid w:val="009A7365"/>
    <w:rsid w:val="009A776F"/>
    <w:rsid w:val="009A777E"/>
    <w:rsid w:val="009A7940"/>
    <w:rsid w:val="009A7C88"/>
    <w:rsid w:val="009A7EDA"/>
    <w:rsid w:val="009A7F55"/>
    <w:rsid w:val="009B00CD"/>
    <w:rsid w:val="009B03DF"/>
    <w:rsid w:val="009B07EE"/>
    <w:rsid w:val="009B0890"/>
    <w:rsid w:val="009B0A10"/>
    <w:rsid w:val="009B0B80"/>
    <w:rsid w:val="009B0CEB"/>
    <w:rsid w:val="009B0F57"/>
    <w:rsid w:val="009B17C9"/>
    <w:rsid w:val="009B1EBD"/>
    <w:rsid w:val="009B1F66"/>
    <w:rsid w:val="009B2011"/>
    <w:rsid w:val="009B251D"/>
    <w:rsid w:val="009B253D"/>
    <w:rsid w:val="009B2875"/>
    <w:rsid w:val="009B288A"/>
    <w:rsid w:val="009B2A82"/>
    <w:rsid w:val="009B31A9"/>
    <w:rsid w:val="009B34A7"/>
    <w:rsid w:val="009B37D8"/>
    <w:rsid w:val="009B3C4D"/>
    <w:rsid w:val="009B3F64"/>
    <w:rsid w:val="009B404E"/>
    <w:rsid w:val="009B4476"/>
    <w:rsid w:val="009B44AB"/>
    <w:rsid w:val="009B4508"/>
    <w:rsid w:val="009B4E53"/>
    <w:rsid w:val="009B5095"/>
    <w:rsid w:val="009B5507"/>
    <w:rsid w:val="009B5656"/>
    <w:rsid w:val="009B5715"/>
    <w:rsid w:val="009B5769"/>
    <w:rsid w:val="009B580A"/>
    <w:rsid w:val="009B5F99"/>
    <w:rsid w:val="009B5FDC"/>
    <w:rsid w:val="009B6232"/>
    <w:rsid w:val="009B624C"/>
    <w:rsid w:val="009B6646"/>
    <w:rsid w:val="009B6A22"/>
    <w:rsid w:val="009B6BF5"/>
    <w:rsid w:val="009B6C30"/>
    <w:rsid w:val="009B6C6E"/>
    <w:rsid w:val="009B6FA6"/>
    <w:rsid w:val="009B72F7"/>
    <w:rsid w:val="009B742A"/>
    <w:rsid w:val="009B75B6"/>
    <w:rsid w:val="009B765B"/>
    <w:rsid w:val="009B7836"/>
    <w:rsid w:val="009B7898"/>
    <w:rsid w:val="009B7963"/>
    <w:rsid w:val="009B7B54"/>
    <w:rsid w:val="009B7BC3"/>
    <w:rsid w:val="009B7F44"/>
    <w:rsid w:val="009C003B"/>
    <w:rsid w:val="009C00C6"/>
    <w:rsid w:val="009C0132"/>
    <w:rsid w:val="009C0314"/>
    <w:rsid w:val="009C0599"/>
    <w:rsid w:val="009C08FD"/>
    <w:rsid w:val="009C09BB"/>
    <w:rsid w:val="009C1527"/>
    <w:rsid w:val="009C1BDE"/>
    <w:rsid w:val="009C1BF8"/>
    <w:rsid w:val="009C20B4"/>
    <w:rsid w:val="009C20C9"/>
    <w:rsid w:val="009C2252"/>
    <w:rsid w:val="009C22F3"/>
    <w:rsid w:val="009C2301"/>
    <w:rsid w:val="009C2707"/>
    <w:rsid w:val="009C2827"/>
    <w:rsid w:val="009C2A15"/>
    <w:rsid w:val="009C2AD1"/>
    <w:rsid w:val="009C3007"/>
    <w:rsid w:val="009C308D"/>
    <w:rsid w:val="009C31C7"/>
    <w:rsid w:val="009C35BB"/>
    <w:rsid w:val="009C3EFD"/>
    <w:rsid w:val="009C40A1"/>
    <w:rsid w:val="009C4185"/>
    <w:rsid w:val="009C4411"/>
    <w:rsid w:val="009C470A"/>
    <w:rsid w:val="009C4743"/>
    <w:rsid w:val="009C496E"/>
    <w:rsid w:val="009C49B3"/>
    <w:rsid w:val="009C4A34"/>
    <w:rsid w:val="009C4BDE"/>
    <w:rsid w:val="009C4DEF"/>
    <w:rsid w:val="009C4F62"/>
    <w:rsid w:val="009C51AC"/>
    <w:rsid w:val="009C52E2"/>
    <w:rsid w:val="009C5342"/>
    <w:rsid w:val="009C54AC"/>
    <w:rsid w:val="009C5BA9"/>
    <w:rsid w:val="009C6019"/>
    <w:rsid w:val="009C6956"/>
    <w:rsid w:val="009C75C7"/>
    <w:rsid w:val="009C762B"/>
    <w:rsid w:val="009C7946"/>
    <w:rsid w:val="009C7A88"/>
    <w:rsid w:val="009C7ADA"/>
    <w:rsid w:val="009C7C1E"/>
    <w:rsid w:val="009D0343"/>
    <w:rsid w:val="009D0362"/>
    <w:rsid w:val="009D0610"/>
    <w:rsid w:val="009D0697"/>
    <w:rsid w:val="009D0A1D"/>
    <w:rsid w:val="009D0A2F"/>
    <w:rsid w:val="009D0C25"/>
    <w:rsid w:val="009D0D20"/>
    <w:rsid w:val="009D1077"/>
    <w:rsid w:val="009D1170"/>
    <w:rsid w:val="009D14DC"/>
    <w:rsid w:val="009D15A5"/>
    <w:rsid w:val="009D1784"/>
    <w:rsid w:val="009D1A19"/>
    <w:rsid w:val="009D1A48"/>
    <w:rsid w:val="009D1AE5"/>
    <w:rsid w:val="009D1B31"/>
    <w:rsid w:val="009D1C55"/>
    <w:rsid w:val="009D1E21"/>
    <w:rsid w:val="009D1F82"/>
    <w:rsid w:val="009D200C"/>
    <w:rsid w:val="009D22CB"/>
    <w:rsid w:val="009D255F"/>
    <w:rsid w:val="009D25DF"/>
    <w:rsid w:val="009D29C5"/>
    <w:rsid w:val="009D2A81"/>
    <w:rsid w:val="009D2C66"/>
    <w:rsid w:val="009D2CDC"/>
    <w:rsid w:val="009D2D8E"/>
    <w:rsid w:val="009D30E0"/>
    <w:rsid w:val="009D3473"/>
    <w:rsid w:val="009D3696"/>
    <w:rsid w:val="009D385E"/>
    <w:rsid w:val="009D3B67"/>
    <w:rsid w:val="009D3D93"/>
    <w:rsid w:val="009D412C"/>
    <w:rsid w:val="009D4412"/>
    <w:rsid w:val="009D44CC"/>
    <w:rsid w:val="009D4636"/>
    <w:rsid w:val="009D46D7"/>
    <w:rsid w:val="009D4C4B"/>
    <w:rsid w:val="009D4CE4"/>
    <w:rsid w:val="009D4D46"/>
    <w:rsid w:val="009D4E1C"/>
    <w:rsid w:val="009D4E3E"/>
    <w:rsid w:val="009D5176"/>
    <w:rsid w:val="009D51A3"/>
    <w:rsid w:val="009D53CE"/>
    <w:rsid w:val="009D549C"/>
    <w:rsid w:val="009D5B72"/>
    <w:rsid w:val="009D5B86"/>
    <w:rsid w:val="009D5DE0"/>
    <w:rsid w:val="009D5F98"/>
    <w:rsid w:val="009D606D"/>
    <w:rsid w:val="009D6128"/>
    <w:rsid w:val="009D66CF"/>
    <w:rsid w:val="009D676B"/>
    <w:rsid w:val="009D6786"/>
    <w:rsid w:val="009D67DC"/>
    <w:rsid w:val="009D69C9"/>
    <w:rsid w:val="009D6C69"/>
    <w:rsid w:val="009D6DB5"/>
    <w:rsid w:val="009D7005"/>
    <w:rsid w:val="009D7281"/>
    <w:rsid w:val="009D740F"/>
    <w:rsid w:val="009D745A"/>
    <w:rsid w:val="009D7677"/>
    <w:rsid w:val="009D777F"/>
    <w:rsid w:val="009D7D6C"/>
    <w:rsid w:val="009D7EEF"/>
    <w:rsid w:val="009D7F65"/>
    <w:rsid w:val="009D7FF1"/>
    <w:rsid w:val="009E0282"/>
    <w:rsid w:val="009E03D4"/>
    <w:rsid w:val="009E05A1"/>
    <w:rsid w:val="009E05B4"/>
    <w:rsid w:val="009E0926"/>
    <w:rsid w:val="009E0927"/>
    <w:rsid w:val="009E0BE3"/>
    <w:rsid w:val="009E0CA1"/>
    <w:rsid w:val="009E0DF8"/>
    <w:rsid w:val="009E0E37"/>
    <w:rsid w:val="009E150C"/>
    <w:rsid w:val="009E1754"/>
    <w:rsid w:val="009E17F3"/>
    <w:rsid w:val="009E1DAC"/>
    <w:rsid w:val="009E1F3C"/>
    <w:rsid w:val="009E216E"/>
    <w:rsid w:val="009E22BC"/>
    <w:rsid w:val="009E24B3"/>
    <w:rsid w:val="009E2589"/>
    <w:rsid w:val="009E2720"/>
    <w:rsid w:val="009E2A5A"/>
    <w:rsid w:val="009E2BE5"/>
    <w:rsid w:val="009E306A"/>
    <w:rsid w:val="009E332C"/>
    <w:rsid w:val="009E33B8"/>
    <w:rsid w:val="009E3AB8"/>
    <w:rsid w:val="009E3E4F"/>
    <w:rsid w:val="009E3EBE"/>
    <w:rsid w:val="009E3FF5"/>
    <w:rsid w:val="009E411E"/>
    <w:rsid w:val="009E416D"/>
    <w:rsid w:val="009E43FA"/>
    <w:rsid w:val="009E44AA"/>
    <w:rsid w:val="009E458C"/>
    <w:rsid w:val="009E47C0"/>
    <w:rsid w:val="009E47C2"/>
    <w:rsid w:val="009E4986"/>
    <w:rsid w:val="009E4DC8"/>
    <w:rsid w:val="009E4F49"/>
    <w:rsid w:val="009E54F6"/>
    <w:rsid w:val="009E58EF"/>
    <w:rsid w:val="009E5BD0"/>
    <w:rsid w:val="009E5C2C"/>
    <w:rsid w:val="009E5CC4"/>
    <w:rsid w:val="009E62A5"/>
    <w:rsid w:val="009E63BF"/>
    <w:rsid w:val="009E6652"/>
    <w:rsid w:val="009E6987"/>
    <w:rsid w:val="009E6BA7"/>
    <w:rsid w:val="009E6C80"/>
    <w:rsid w:val="009E7C28"/>
    <w:rsid w:val="009E7CB4"/>
    <w:rsid w:val="009E7DCD"/>
    <w:rsid w:val="009F00C4"/>
    <w:rsid w:val="009F0442"/>
    <w:rsid w:val="009F074D"/>
    <w:rsid w:val="009F0751"/>
    <w:rsid w:val="009F08F0"/>
    <w:rsid w:val="009F0A63"/>
    <w:rsid w:val="009F0B37"/>
    <w:rsid w:val="009F0BD7"/>
    <w:rsid w:val="009F0C46"/>
    <w:rsid w:val="009F1260"/>
    <w:rsid w:val="009F13B8"/>
    <w:rsid w:val="009F189F"/>
    <w:rsid w:val="009F19B6"/>
    <w:rsid w:val="009F1AF7"/>
    <w:rsid w:val="009F1B97"/>
    <w:rsid w:val="009F1CE3"/>
    <w:rsid w:val="009F2A87"/>
    <w:rsid w:val="009F2FA0"/>
    <w:rsid w:val="009F30C5"/>
    <w:rsid w:val="009F3310"/>
    <w:rsid w:val="009F341B"/>
    <w:rsid w:val="009F372E"/>
    <w:rsid w:val="009F378C"/>
    <w:rsid w:val="009F3811"/>
    <w:rsid w:val="009F3858"/>
    <w:rsid w:val="009F3F0E"/>
    <w:rsid w:val="009F4029"/>
    <w:rsid w:val="009F40FC"/>
    <w:rsid w:val="009F4158"/>
    <w:rsid w:val="009F42A2"/>
    <w:rsid w:val="009F4625"/>
    <w:rsid w:val="009F4888"/>
    <w:rsid w:val="009F48FD"/>
    <w:rsid w:val="009F4CF5"/>
    <w:rsid w:val="009F4E3E"/>
    <w:rsid w:val="009F5156"/>
    <w:rsid w:val="009F515B"/>
    <w:rsid w:val="009F5188"/>
    <w:rsid w:val="009F51C9"/>
    <w:rsid w:val="009F57CD"/>
    <w:rsid w:val="009F58D4"/>
    <w:rsid w:val="009F5A48"/>
    <w:rsid w:val="009F5BEF"/>
    <w:rsid w:val="009F5CF2"/>
    <w:rsid w:val="009F5D54"/>
    <w:rsid w:val="009F6009"/>
    <w:rsid w:val="009F6011"/>
    <w:rsid w:val="009F670E"/>
    <w:rsid w:val="009F6E78"/>
    <w:rsid w:val="009F6EF7"/>
    <w:rsid w:val="009F6FF9"/>
    <w:rsid w:val="009F70AE"/>
    <w:rsid w:val="009F7A2A"/>
    <w:rsid w:val="009F7C5F"/>
    <w:rsid w:val="009F7D9F"/>
    <w:rsid w:val="00A001BA"/>
    <w:rsid w:val="00A0031C"/>
    <w:rsid w:val="00A0036C"/>
    <w:rsid w:val="00A00390"/>
    <w:rsid w:val="00A003AE"/>
    <w:rsid w:val="00A00E5E"/>
    <w:rsid w:val="00A010E2"/>
    <w:rsid w:val="00A012C8"/>
    <w:rsid w:val="00A014D5"/>
    <w:rsid w:val="00A01561"/>
    <w:rsid w:val="00A015A2"/>
    <w:rsid w:val="00A01706"/>
    <w:rsid w:val="00A01AC2"/>
    <w:rsid w:val="00A01C2C"/>
    <w:rsid w:val="00A01D57"/>
    <w:rsid w:val="00A023BE"/>
    <w:rsid w:val="00A023F6"/>
    <w:rsid w:val="00A02411"/>
    <w:rsid w:val="00A02497"/>
    <w:rsid w:val="00A029F3"/>
    <w:rsid w:val="00A02CC8"/>
    <w:rsid w:val="00A02DDD"/>
    <w:rsid w:val="00A02F3F"/>
    <w:rsid w:val="00A03088"/>
    <w:rsid w:val="00A0321A"/>
    <w:rsid w:val="00A037C1"/>
    <w:rsid w:val="00A037F9"/>
    <w:rsid w:val="00A038BC"/>
    <w:rsid w:val="00A03D4B"/>
    <w:rsid w:val="00A0438C"/>
    <w:rsid w:val="00A044F8"/>
    <w:rsid w:val="00A045E5"/>
    <w:rsid w:val="00A04792"/>
    <w:rsid w:val="00A04915"/>
    <w:rsid w:val="00A04A56"/>
    <w:rsid w:val="00A04AC7"/>
    <w:rsid w:val="00A04ACF"/>
    <w:rsid w:val="00A04BD3"/>
    <w:rsid w:val="00A04C71"/>
    <w:rsid w:val="00A04E62"/>
    <w:rsid w:val="00A04E76"/>
    <w:rsid w:val="00A05074"/>
    <w:rsid w:val="00A05226"/>
    <w:rsid w:val="00A052F3"/>
    <w:rsid w:val="00A0540F"/>
    <w:rsid w:val="00A058D8"/>
    <w:rsid w:val="00A05DAB"/>
    <w:rsid w:val="00A06535"/>
    <w:rsid w:val="00A065FC"/>
    <w:rsid w:val="00A06AA9"/>
    <w:rsid w:val="00A06D47"/>
    <w:rsid w:val="00A06ECF"/>
    <w:rsid w:val="00A06EE1"/>
    <w:rsid w:val="00A0717A"/>
    <w:rsid w:val="00A07242"/>
    <w:rsid w:val="00A074F0"/>
    <w:rsid w:val="00A07603"/>
    <w:rsid w:val="00A0781A"/>
    <w:rsid w:val="00A07863"/>
    <w:rsid w:val="00A0787E"/>
    <w:rsid w:val="00A07AEC"/>
    <w:rsid w:val="00A07B3D"/>
    <w:rsid w:val="00A07BE3"/>
    <w:rsid w:val="00A07F14"/>
    <w:rsid w:val="00A10058"/>
    <w:rsid w:val="00A10166"/>
    <w:rsid w:val="00A1016E"/>
    <w:rsid w:val="00A1017E"/>
    <w:rsid w:val="00A10338"/>
    <w:rsid w:val="00A10407"/>
    <w:rsid w:val="00A10745"/>
    <w:rsid w:val="00A108D1"/>
    <w:rsid w:val="00A109A8"/>
    <w:rsid w:val="00A10D04"/>
    <w:rsid w:val="00A111DD"/>
    <w:rsid w:val="00A1179E"/>
    <w:rsid w:val="00A1181E"/>
    <w:rsid w:val="00A119A9"/>
    <w:rsid w:val="00A119E3"/>
    <w:rsid w:val="00A11ADC"/>
    <w:rsid w:val="00A11E3D"/>
    <w:rsid w:val="00A120A3"/>
    <w:rsid w:val="00A120E5"/>
    <w:rsid w:val="00A12120"/>
    <w:rsid w:val="00A12288"/>
    <w:rsid w:val="00A123FC"/>
    <w:rsid w:val="00A1251E"/>
    <w:rsid w:val="00A12982"/>
    <w:rsid w:val="00A12CD6"/>
    <w:rsid w:val="00A12D46"/>
    <w:rsid w:val="00A12E48"/>
    <w:rsid w:val="00A12F78"/>
    <w:rsid w:val="00A13195"/>
    <w:rsid w:val="00A133C3"/>
    <w:rsid w:val="00A13500"/>
    <w:rsid w:val="00A13649"/>
    <w:rsid w:val="00A13664"/>
    <w:rsid w:val="00A138B5"/>
    <w:rsid w:val="00A139B6"/>
    <w:rsid w:val="00A13B5F"/>
    <w:rsid w:val="00A13E2E"/>
    <w:rsid w:val="00A13E90"/>
    <w:rsid w:val="00A1434D"/>
    <w:rsid w:val="00A1460B"/>
    <w:rsid w:val="00A147E0"/>
    <w:rsid w:val="00A14A1A"/>
    <w:rsid w:val="00A14D65"/>
    <w:rsid w:val="00A14EA6"/>
    <w:rsid w:val="00A14EBC"/>
    <w:rsid w:val="00A1535F"/>
    <w:rsid w:val="00A15438"/>
    <w:rsid w:val="00A15664"/>
    <w:rsid w:val="00A15687"/>
    <w:rsid w:val="00A15BDD"/>
    <w:rsid w:val="00A15C45"/>
    <w:rsid w:val="00A15E50"/>
    <w:rsid w:val="00A15EFF"/>
    <w:rsid w:val="00A15F38"/>
    <w:rsid w:val="00A15FD5"/>
    <w:rsid w:val="00A164C0"/>
    <w:rsid w:val="00A16B76"/>
    <w:rsid w:val="00A16B92"/>
    <w:rsid w:val="00A16CF0"/>
    <w:rsid w:val="00A16D70"/>
    <w:rsid w:val="00A16EEF"/>
    <w:rsid w:val="00A172F0"/>
    <w:rsid w:val="00A175A6"/>
    <w:rsid w:val="00A17B32"/>
    <w:rsid w:val="00A17C30"/>
    <w:rsid w:val="00A17F66"/>
    <w:rsid w:val="00A17FF6"/>
    <w:rsid w:val="00A203DB"/>
    <w:rsid w:val="00A205CC"/>
    <w:rsid w:val="00A2068D"/>
    <w:rsid w:val="00A208A7"/>
    <w:rsid w:val="00A20A9E"/>
    <w:rsid w:val="00A20A9F"/>
    <w:rsid w:val="00A20B4C"/>
    <w:rsid w:val="00A20B4D"/>
    <w:rsid w:val="00A20BA8"/>
    <w:rsid w:val="00A20C8E"/>
    <w:rsid w:val="00A20CEE"/>
    <w:rsid w:val="00A20D00"/>
    <w:rsid w:val="00A21260"/>
    <w:rsid w:val="00A212DB"/>
    <w:rsid w:val="00A21457"/>
    <w:rsid w:val="00A21DBB"/>
    <w:rsid w:val="00A21F28"/>
    <w:rsid w:val="00A21FE5"/>
    <w:rsid w:val="00A22156"/>
    <w:rsid w:val="00A22417"/>
    <w:rsid w:val="00A224BF"/>
    <w:rsid w:val="00A22620"/>
    <w:rsid w:val="00A22912"/>
    <w:rsid w:val="00A22AE4"/>
    <w:rsid w:val="00A22B0B"/>
    <w:rsid w:val="00A22FF8"/>
    <w:rsid w:val="00A22FFE"/>
    <w:rsid w:val="00A230E9"/>
    <w:rsid w:val="00A23E37"/>
    <w:rsid w:val="00A23ECB"/>
    <w:rsid w:val="00A24893"/>
    <w:rsid w:val="00A24CDC"/>
    <w:rsid w:val="00A25069"/>
    <w:rsid w:val="00A25737"/>
    <w:rsid w:val="00A25759"/>
    <w:rsid w:val="00A25F0F"/>
    <w:rsid w:val="00A261A7"/>
    <w:rsid w:val="00A26994"/>
    <w:rsid w:val="00A26C17"/>
    <w:rsid w:val="00A27406"/>
    <w:rsid w:val="00A2748B"/>
    <w:rsid w:val="00A27611"/>
    <w:rsid w:val="00A27B5C"/>
    <w:rsid w:val="00A27CE1"/>
    <w:rsid w:val="00A27D21"/>
    <w:rsid w:val="00A3023A"/>
    <w:rsid w:val="00A30728"/>
    <w:rsid w:val="00A308D0"/>
    <w:rsid w:val="00A30D4F"/>
    <w:rsid w:val="00A30DD6"/>
    <w:rsid w:val="00A30EE3"/>
    <w:rsid w:val="00A313BD"/>
    <w:rsid w:val="00A31864"/>
    <w:rsid w:val="00A318DB"/>
    <w:rsid w:val="00A31D90"/>
    <w:rsid w:val="00A31E2A"/>
    <w:rsid w:val="00A32027"/>
    <w:rsid w:val="00A32220"/>
    <w:rsid w:val="00A32305"/>
    <w:rsid w:val="00A3230F"/>
    <w:rsid w:val="00A32397"/>
    <w:rsid w:val="00A32441"/>
    <w:rsid w:val="00A32465"/>
    <w:rsid w:val="00A32718"/>
    <w:rsid w:val="00A327D7"/>
    <w:rsid w:val="00A3286D"/>
    <w:rsid w:val="00A32A67"/>
    <w:rsid w:val="00A32AF2"/>
    <w:rsid w:val="00A32C6B"/>
    <w:rsid w:val="00A32CF4"/>
    <w:rsid w:val="00A32E21"/>
    <w:rsid w:val="00A33020"/>
    <w:rsid w:val="00A331DE"/>
    <w:rsid w:val="00A332AD"/>
    <w:rsid w:val="00A3350F"/>
    <w:rsid w:val="00A3368D"/>
    <w:rsid w:val="00A3385C"/>
    <w:rsid w:val="00A342F0"/>
    <w:rsid w:val="00A3456C"/>
    <w:rsid w:val="00A345B9"/>
    <w:rsid w:val="00A345D4"/>
    <w:rsid w:val="00A34668"/>
    <w:rsid w:val="00A34730"/>
    <w:rsid w:val="00A34A30"/>
    <w:rsid w:val="00A34A44"/>
    <w:rsid w:val="00A34CA3"/>
    <w:rsid w:val="00A34EE0"/>
    <w:rsid w:val="00A34FF2"/>
    <w:rsid w:val="00A35446"/>
    <w:rsid w:val="00A355AE"/>
    <w:rsid w:val="00A355CC"/>
    <w:rsid w:val="00A356C8"/>
    <w:rsid w:val="00A357DE"/>
    <w:rsid w:val="00A357FF"/>
    <w:rsid w:val="00A35871"/>
    <w:rsid w:val="00A35B27"/>
    <w:rsid w:val="00A35C2E"/>
    <w:rsid w:val="00A35C4A"/>
    <w:rsid w:val="00A35E09"/>
    <w:rsid w:val="00A35F37"/>
    <w:rsid w:val="00A35F97"/>
    <w:rsid w:val="00A36011"/>
    <w:rsid w:val="00A36042"/>
    <w:rsid w:val="00A3610A"/>
    <w:rsid w:val="00A3620D"/>
    <w:rsid w:val="00A3652C"/>
    <w:rsid w:val="00A36D01"/>
    <w:rsid w:val="00A36E49"/>
    <w:rsid w:val="00A370B4"/>
    <w:rsid w:val="00A373B8"/>
    <w:rsid w:val="00A373DE"/>
    <w:rsid w:val="00A37842"/>
    <w:rsid w:val="00A37E84"/>
    <w:rsid w:val="00A40DE5"/>
    <w:rsid w:val="00A40E2E"/>
    <w:rsid w:val="00A40E3E"/>
    <w:rsid w:val="00A4118E"/>
    <w:rsid w:val="00A41216"/>
    <w:rsid w:val="00A4135F"/>
    <w:rsid w:val="00A41551"/>
    <w:rsid w:val="00A416D3"/>
    <w:rsid w:val="00A4182A"/>
    <w:rsid w:val="00A4183A"/>
    <w:rsid w:val="00A41867"/>
    <w:rsid w:val="00A41B75"/>
    <w:rsid w:val="00A41BC5"/>
    <w:rsid w:val="00A41E28"/>
    <w:rsid w:val="00A41FB5"/>
    <w:rsid w:val="00A42132"/>
    <w:rsid w:val="00A42365"/>
    <w:rsid w:val="00A4259C"/>
    <w:rsid w:val="00A42DBD"/>
    <w:rsid w:val="00A4304A"/>
    <w:rsid w:val="00A4304F"/>
    <w:rsid w:val="00A43455"/>
    <w:rsid w:val="00A4357A"/>
    <w:rsid w:val="00A436C9"/>
    <w:rsid w:val="00A43BB6"/>
    <w:rsid w:val="00A43C80"/>
    <w:rsid w:val="00A43E96"/>
    <w:rsid w:val="00A44292"/>
    <w:rsid w:val="00A4467B"/>
    <w:rsid w:val="00A44A57"/>
    <w:rsid w:val="00A44C1E"/>
    <w:rsid w:val="00A44EB4"/>
    <w:rsid w:val="00A44F36"/>
    <w:rsid w:val="00A44F9B"/>
    <w:rsid w:val="00A45024"/>
    <w:rsid w:val="00A45141"/>
    <w:rsid w:val="00A452A6"/>
    <w:rsid w:val="00A452F2"/>
    <w:rsid w:val="00A45375"/>
    <w:rsid w:val="00A4537A"/>
    <w:rsid w:val="00A453ED"/>
    <w:rsid w:val="00A45534"/>
    <w:rsid w:val="00A45603"/>
    <w:rsid w:val="00A45777"/>
    <w:rsid w:val="00A45841"/>
    <w:rsid w:val="00A45966"/>
    <w:rsid w:val="00A459F0"/>
    <w:rsid w:val="00A45AD6"/>
    <w:rsid w:val="00A45B72"/>
    <w:rsid w:val="00A45BD9"/>
    <w:rsid w:val="00A45D84"/>
    <w:rsid w:val="00A45EA4"/>
    <w:rsid w:val="00A45F61"/>
    <w:rsid w:val="00A460A5"/>
    <w:rsid w:val="00A46129"/>
    <w:rsid w:val="00A46199"/>
    <w:rsid w:val="00A46473"/>
    <w:rsid w:val="00A46715"/>
    <w:rsid w:val="00A4674F"/>
    <w:rsid w:val="00A4687C"/>
    <w:rsid w:val="00A4699B"/>
    <w:rsid w:val="00A46A27"/>
    <w:rsid w:val="00A46C3D"/>
    <w:rsid w:val="00A472DE"/>
    <w:rsid w:val="00A473BD"/>
    <w:rsid w:val="00A477FB"/>
    <w:rsid w:val="00A4782C"/>
    <w:rsid w:val="00A4790B"/>
    <w:rsid w:val="00A500F9"/>
    <w:rsid w:val="00A502A7"/>
    <w:rsid w:val="00A50378"/>
    <w:rsid w:val="00A50382"/>
    <w:rsid w:val="00A504B6"/>
    <w:rsid w:val="00A509A6"/>
    <w:rsid w:val="00A50A53"/>
    <w:rsid w:val="00A50C05"/>
    <w:rsid w:val="00A50DBD"/>
    <w:rsid w:val="00A50EF1"/>
    <w:rsid w:val="00A50F0E"/>
    <w:rsid w:val="00A50F92"/>
    <w:rsid w:val="00A51082"/>
    <w:rsid w:val="00A5118F"/>
    <w:rsid w:val="00A51475"/>
    <w:rsid w:val="00A5158D"/>
    <w:rsid w:val="00A516EF"/>
    <w:rsid w:val="00A518B8"/>
    <w:rsid w:val="00A51914"/>
    <w:rsid w:val="00A51A4D"/>
    <w:rsid w:val="00A51BFC"/>
    <w:rsid w:val="00A52002"/>
    <w:rsid w:val="00A522FF"/>
    <w:rsid w:val="00A52388"/>
    <w:rsid w:val="00A52454"/>
    <w:rsid w:val="00A524C5"/>
    <w:rsid w:val="00A5254E"/>
    <w:rsid w:val="00A527C3"/>
    <w:rsid w:val="00A52ACB"/>
    <w:rsid w:val="00A52FA4"/>
    <w:rsid w:val="00A5311C"/>
    <w:rsid w:val="00A5319F"/>
    <w:rsid w:val="00A53770"/>
    <w:rsid w:val="00A537F0"/>
    <w:rsid w:val="00A538DA"/>
    <w:rsid w:val="00A53929"/>
    <w:rsid w:val="00A53B7D"/>
    <w:rsid w:val="00A541D2"/>
    <w:rsid w:val="00A5434A"/>
    <w:rsid w:val="00A5438F"/>
    <w:rsid w:val="00A54881"/>
    <w:rsid w:val="00A54DB0"/>
    <w:rsid w:val="00A55030"/>
    <w:rsid w:val="00A55340"/>
    <w:rsid w:val="00A5543D"/>
    <w:rsid w:val="00A5558D"/>
    <w:rsid w:val="00A557D4"/>
    <w:rsid w:val="00A55E23"/>
    <w:rsid w:val="00A562A0"/>
    <w:rsid w:val="00A5665C"/>
    <w:rsid w:val="00A56ED0"/>
    <w:rsid w:val="00A5763D"/>
    <w:rsid w:val="00A579E9"/>
    <w:rsid w:val="00A57F33"/>
    <w:rsid w:val="00A6014B"/>
    <w:rsid w:val="00A60512"/>
    <w:rsid w:val="00A60702"/>
    <w:rsid w:val="00A60878"/>
    <w:rsid w:val="00A608D3"/>
    <w:rsid w:val="00A60AB8"/>
    <w:rsid w:val="00A60BAB"/>
    <w:rsid w:val="00A60DC9"/>
    <w:rsid w:val="00A60ED4"/>
    <w:rsid w:val="00A60F88"/>
    <w:rsid w:val="00A611BB"/>
    <w:rsid w:val="00A613D2"/>
    <w:rsid w:val="00A61554"/>
    <w:rsid w:val="00A61C68"/>
    <w:rsid w:val="00A61D71"/>
    <w:rsid w:val="00A61E18"/>
    <w:rsid w:val="00A61E1B"/>
    <w:rsid w:val="00A61E7F"/>
    <w:rsid w:val="00A61FDE"/>
    <w:rsid w:val="00A62217"/>
    <w:rsid w:val="00A623D2"/>
    <w:rsid w:val="00A625C1"/>
    <w:rsid w:val="00A626AE"/>
    <w:rsid w:val="00A62734"/>
    <w:rsid w:val="00A62B7D"/>
    <w:rsid w:val="00A62BFD"/>
    <w:rsid w:val="00A62FE1"/>
    <w:rsid w:val="00A63003"/>
    <w:rsid w:val="00A630A6"/>
    <w:rsid w:val="00A6377C"/>
    <w:rsid w:val="00A63EE8"/>
    <w:rsid w:val="00A6435F"/>
    <w:rsid w:val="00A647F4"/>
    <w:rsid w:val="00A64864"/>
    <w:rsid w:val="00A6499C"/>
    <w:rsid w:val="00A64A11"/>
    <w:rsid w:val="00A64EA6"/>
    <w:rsid w:val="00A653DB"/>
    <w:rsid w:val="00A65418"/>
    <w:rsid w:val="00A657FD"/>
    <w:rsid w:val="00A6580B"/>
    <w:rsid w:val="00A65A99"/>
    <w:rsid w:val="00A65C67"/>
    <w:rsid w:val="00A65F3B"/>
    <w:rsid w:val="00A662CF"/>
    <w:rsid w:val="00A66535"/>
    <w:rsid w:val="00A66748"/>
    <w:rsid w:val="00A6679E"/>
    <w:rsid w:val="00A6688C"/>
    <w:rsid w:val="00A66AA3"/>
    <w:rsid w:val="00A66B00"/>
    <w:rsid w:val="00A66B57"/>
    <w:rsid w:val="00A66EF3"/>
    <w:rsid w:val="00A67240"/>
    <w:rsid w:val="00A674CB"/>
    <w:rsid w:val="00A6751F"/>
    <w:rsid w:val="00A6755D"/>
    <w:rsid w:val="00A67607"/>
    <w:rsid w:val="00A67CDD"/>
    <w:rsid w:val="00A67D2A"/>
    <w:rsid w:val="00A67F40"/>
    <w:rsid w:val="00A70087"/>
    <w:rsid w:val="00A7034C"/>
    <w:rsid w:val="00A704D9"/>
    <w:rsid w:val="00A70563"/>
    <w:rsid w:val="00A707DC"/>
    <w:rsid w:val="00A70893"/>
    <w:rsid w:val="00A70A8F"/>
    <w:rsid w:val="00A70C20"/>
    <w:rsid w:val="00A70EF0"/>
    <w:rsid w:val="00A7100F"/>
    <w:rsid w:val="00A71378"/>
    <w:rsid w:val="00A71875"/>
    <w:rsid w:val="00A71B12"/>
    <w:rsid w:val="00A71C82"/>
    <w:rsid w:val="00A71CA7"/>
    <w:rsid w:val="00A71D69"/>
    <w:rsid w:val="00A722CC"/>
    <w:rsid w:val="00A72749"/>
    <w:rsid w:val="00A72862"/>
    <w:rsid w:val="00A72891"/>
    <w:rsid w:val="00A72BAC"/>
    <w:rsid w:val="00A732C9"/>
    <w:rsid w:val="00A7365C"/>
    <w:rsid w:val="00A73951"/>
    <w:rsid w:val="00A73994"/>
    <w:rsid w:val="00A73B89"/>
    <w:rsid w:val="00A73B96"/>
    <w:rsid w:val="00A73D3E"/>
    <w:rsid w:val="00A73E91"/>
    <w:rsid w:val="00A73F41"/>
    <w:rsid w:val="00A740E5"/>
    <w:rsid w:val="00A74134"/>
    <w:rsid w:val="00A74665"/>
    <w:rsid w:val="00A748ED"/>
    <w:rsid w:val="00A74B42"/>
    <w:rsid w:val="00A74C2E"/>
    <w:rsid w:val="00A74F75"/>
    <w:rsid w:val="00A75049"/>
    <w:rsid w:val="00A7517A"/>
    <w:rsid w:val="00A75226"/>
    <w:rsid w:val="00A754A5"/>
    <w:rsid w:val="00A7561A"/>
    <w:rsid w:val="00A7563D"/>
    <w:rsid w:val="00A75B2D"/>
    <w:rsid w:val="00A760C9"/>
    <w:rsid w:val="00A761F1"/>
    <w:rsid w:val="00A7620A"/>
    <w:rsid w:val="00A763CA"/>
    <w:rsid w:val="00A764BF"/>
    <w:rsid w:val="00A76574"/>
    <w:rsid w:val="00A7674E"/>
    <w:rsid w:val="00A76A7A"/>
    <w:rsid w:val="00A76B20"/>
    <w:rsid w:val="00A76C0C"/>
    <w:rsid w:val="00A76E9E"/>
    <w:rsid w:val="00A77147"/>
    <w:rsid w:val="00A77156"/>
    <w:rsid w:val="00A77189"/>
    <w:rsid w:val="00A771EB"/>
    <w:rsid w:val="00A77211"/>
    <w:rsid w:val="00A77868"/>
    <w:rsid w:val="00A77896"/>
    <w:rsid w:val="00A77C00"/>
    <w:rsid w:val="00A77CBA"/>
    <w:rsid w:val="00A77F72"/>
    <w:rsid w:val="00A800B9"/>
    <w:rsid w:val="00A8014C"/>
    <w:rsid w:val="00A80194"/>
    <w:rsid w:val="00A80293"/>
    <w:rsid w:val="00A80391"/>
    <w:rsid w:val="00A806D8"/>
    <w:rsid w:val="00A806FC"/>
    <w:rsid w:val="00A80CF2"/>
    <w:rsid w:val="00A81079"/>
    <w:rsid w:val="00A81137"/>
    <w:rsid w:val="00A816AB"/>
    <w:rsid w:val="00A8173B"/>
    <w:rsid w:val="00A81B48"/>
    <w:rsid w:val="00A81C22"/>
    <w:rsid w:val="00A81D9F"/>
    <w:rsid w:val="00A81E12"/>
    <w:rsid w:val="00A81EE8"/>
    <w:rsid w:val="00A81FCE"/>
    <w:rsid w:val="00A81FEA"/>
    <w:rsid w:val="00A82457"/>
    <w:rsid w:val="00A824C4"/>
    <w:rsid w:val="00A82583"/>
    <w:rsid w:val="00A82663"/>
    <w:rsid w:val="00A82A37"/>
    <w:rsid w:val="00A82B35"/>
    <w:rsid w:val="00A82DD1"/>
    <w:rsid w:val="00A82FA7"/>
    <w:rsid w:val="00A8305D"/>
    <w:rsid w:val="00A83650"/>
    <w:rsid w:val="00A836EA"/>
    <w:rsid w:val="00A837E8"/>
    <w:rsid w:val="00A83A50"/>
    <w:rsid w:val="00A83B68"/>
    <w:rsid w:val="00A83E40"/>
    <w:rsid w:val="00A84319"/>
    <w:rsid w:val="00A84602"/>
    <w:rsid w:val="00A847D1"/>
    <w:rsid w:val="00A848D7"/>
    <w:rsid w:val="00A84D99"/>
    <w:rsid w:val="00A84E64"/>
    <w:rsid w:val="00A84FD6"/>
    <w:rsid w:val="00A85168"/>
    <w:rsid w:val="00A856D1"/>
    <w:rsid w:val="00A856FF"/>
    <w:rsid w:val="00A857FC"/>
    <w:rsid w:val="00A858B8"/>
    <w:rsid w:val="00A85A26"/>
    <w:rsid w:val="00A85AB4"/>
    <w:rsid w:val="00A85CAE"/>
    <w:rsid w:val="00A85FC2"/>
    <w:rsid w:val="00A86085"/>
    <w:rsid w:val="00A86398"/>
    <w:rsid w:val="00A86442"/>
    <w:rsid w:val="00A865E4"/>
    <w:rsid w:val="00A86664"/>
    <w:rsid w:val="00A8666F"/>
    <w:rsid w:val="00A86972"/>
    <w:rsid w:val="00A86A96"/>
    <w:rsid w:val="00A86B8B"/>
    <w:rsid w:val="00A86BD4"/>
    <w:rsid w:val="00A86FB2"/>
    <w:rsid w:val="00A870AD"/>
    <w:rsid w:val="00A870D3"/>
    <w:rsid w:val="00A871C4"/>
    <w:rsid w:val="00A871E1"/>
    <w:rsid w:val="00A87416"/>
    <w:rsid w:val="00A8746D"/>
    <w:rsid w:val="00A874D2"/>
    <w:rsid w:val="00A87500"/>
    <w:rsid w:val="00A87692"/>
    <w:rsid w:val="00A876E4"/>
    <w:rsid w:val="00A8785E"/>
    <w:rsid w:val="00A878A4"/>
    <w:rsid w:val="00A87A15"/>
    <w:rsid w:val="00A87CFD"/>
    <w:rsid w:val="00A87D9A"/>
    <w:rsid w:val="00A87FA6"/>
    <w:rsid w:val="00A90046"/>
    <w:rsid w:val="00A90261"/>
    <w:rsid w:val="00A9055A"/>
    <w:rsid w:val="00A905D7"/>
    <w:rsid w:val="00A90842"/>
    <w:rsid w:val="00A909AF"/>
    <w:rsid w:val="00A9103B"/>
    <w:rsid w:val="00A9141B"/>
    <w:rsid w:val="00A91866"/>
    <w:rsid w:val="00A919DC"/>
    <w:rsid w:val="00A91EC7"/>
    <w:rsid w:val="00A9291B"/>
    <w:rsid w:val="00A929C0"/>
    <w:rsid w:val="00A92A79"/>
    <w:rsid w:val="00A93108"/>
    <w:rsid w:val="00A9328B"/>
    <w:rsid w:val="00A93451"/>
    <w:rsid w:val="00A93613"/>
    <w:rsid w:val="00A9389C"/>
    <w:rsid w:val="00A939F2"/>
    <w:rsid w:val="00A93E5D"/>
    <w:rsid w:val="00A941F0"/>
    <w:rsid w:val="00A942D3"/>
    <w:rsid w:val="00A94743"/>
    <w:rsid w:val="00A94769"/>
    <w:rsid w:val="00A947D0"/>
    <w:rsid w:val="00A94884"/>
    <w:rsid w:val="00A9499B"/>
    <w:rsid w:val="00A94B5B"/>
    <w:rsid w:val="00A94E6B"/>
    <w:rsid w:val="00A94E86"/>
    <w:rsid w:val="00A95059"/>
    <w:rsid w:val="00A95164"/>
    <w:rsid w:val="00A952A0"/>
    <w:rsid w:val="00A953E1"/>
    <w:rsid w:val="00A955F2"/>
    <w:rsid w:val="00A956FB"/>
    <w:rsid w:val="00A95A9F"/>
    <w:rsid w:val="00A95DB4"/>
    <w:rsid w:val="00A95F57"/>
    <w:rsid w:val="00A9604A"/>
    <w:rsid w:val="00A9630E"/>
    <w:rsid w:val="00A96964"/>
    <w:rsid w:val="00A96AE3"/>
    <w:rsid w:val="00A96D8C"/>
    <w:rsid w:val="00A96F1E"/>
    <w:rsid w:val="00A97400"/>
    <w:rsid w:val="00A974CA"/>
    <w:rsid w:val="00A975EC"/>
    <w:rsid w:val="00A97654"/>
    <w:rsid w:val="00A97871"/>
    <w:rsid w:val="00A97D3C"/>
    <w:rsid w:val="00A97DBC"/>
    <w:rsid w:val="00A97EF6"/>
    <w:rsid w:val="00AA04DB"/>
    <w:rsid w:val="00AA0785"/>
    <w:rsid w:val="00AA09A4"/>
    <w:rsid w:val="00AA0B8D"/>
    <w:rsid w:val="00AA0DAA"/>
    <w:rsid w:val="00AA0DB4"/>
    <w:rsid w:val="00AA11FA"/>
    <w:rsid w:val="00AA1222"/>
    <w:rsid w:val="00AA14AF"/>
    <w:rsid w:val="00AA150A"/>
    <w:rsid w:val="00AA1542"/>
    <w:rsid w:val="00AA1627"/>
    <w:rsid w:val="00AA1913"/>
    <w:rsid w:val="00AA1A96"/>
    <w:rsid w:val="00AA1AAB"/>
    <w:rsid w:val="00AA1B0C"/>
    <w:rsid w:val="00AA1C0E"/>
    <w:rsid w:val="00AA1E47"/>
    <w:rsid w:val="00AA20C5"/>
    <w:rsid w:val="00AA21CD"/>
    <w:rsid w:val="00AA26AF"/>
    <w:rsid w:val="00AA26B2"/>
    <w:rsid w:val="00AA2776"/>
    <w:rsid w:val="00AA2B25"/>
    <w:rsid w:val="00AA2B69"/>
    <w:rsid w:val="00AA2C47"/>
    <w:rsid w:val="00AA2F04"/>
    <w:rsid w:val="00AA2FD7"/>
    <w:rsid w:val="00AA3023"/>
    <w:rsid w:val="00AA32D0"/>
    <w:rsid w:val="00AA3391"/>
    <w:rsid w:val="00AA3535"/>
    <w:rsid w:val="00AA36DD"/>
    <w:rsid w:val="00AA3A11"/>
    <w:rsid w:val="00AA3AA3"/>
    <w:rsid w:val="00AA3ACA"/>
    <w:rsid w:val="00AA3C25"/>
    <w:rsid w:val="00AA3E35"/>
    <w:rsid w:val="00AA3F98"/>
    <w:rsid w:val="00AA3FE9"/>
    <w:rsid w:val="00AA43B8"/>
    <w:rsid w:val="00AA457D"/>
    <w:rsid w:val="00AA476B"/>
    <w:rsid w:val="00AA486A"/>
    <w:rsid w:val="00AA489E"/>
    <w:rsid w:val="00AA4B27"/>
    <w:rsid w:val="00AA4CA1"/>
    <w:rsid w:val="00AA4FB0"/>
    <w:rsid w:val="00AA5124"/>
    <w:rsid w:val="00AA5397"/>
    <w:rsid w:val="00AA56A2"/>
    <w:rsid w:val="00AA59E0"/>
    <w:rsid w:val="00AA5BA0"/>
    <w:rsid w:val="00AA5BCB"/>
    <w:rsid w:val="00AA5C6F"/>
    <w:rsid w:val="00AA5D58"/>
    <w:rsid w:val="00AA6257"/>
    <w:rsid w:val="00AA6717"/>
    <w:rsid w:val="00AA682E"/>
    <w:rsid w:val="00AA6A62"/>
    <w:rsid w:val="00AA6B07"/>
    <w:rsid w:val="00AA6D2D"/>
    <w:rsid w:val="00AA7351"/>
    <w:rsid w:val="00AA7962"/>
    <w:rsid w:val="00AA7A03"/>
    <w:rsid w:val="00AA7D2B"/>
    <w:rsid w:val="00AA7F05"/>
    <w:rsid w:val="00AB00B9"/>
    <w:rsid w:val="00AB01D3"/>
    <w:rsid w:val="00AB02A9"/>
    <w:rsid w:val="00AB0483"/>
    <w:rsid w:val="00AB0516"/>
    <w:rsid w:val="00AB0818"/>
    <w:rsid w:val="00AB0B3F"/>
    <w:rsid w:val="00AB0B47"/>
    <w:rsid w:val="00AB0B8B"/>
    <w:rsid w:val="00AB0BBF"/>
    <w:rsid w:val="00AB0D8A"/>
    <w:rsid w:val="00AB106E"/>
    <w:rsid w:val="00AB1113"/>
    <w:rsid w:val="00AB1165"/>
    <w:rsid w:val="00AB11B2"/>
    <w:rsid w:val="00AB132D"/>
    <w:rsid w:val="00AB1415"/>
    <w:rsid w:val="00AB1818"/>
    <w:rsid w:val="00AB1B76"/>
    <w:rsid w:val="00AB1E80"/>
    <w:rsid w:val="00AB1EA5"/>
    <w:rsid w:val="00AB205D"/>
    <w:rsid w:val="00AB243A"/>
    <w:rsid w:val="00AB25B2"/>
    <w:rsid w:val="00AB2A7A"/>
    <w:rsid w:val="00AB2D7F"/>
    <w:rsid w:val="00AB2F5A"/>
    <w:rsid w:val="00AB318D"/>
    <w:rsid w:val="00AB350C"/>
    <w:rsid w:val="00AB35BE"/>
    <w:rsid w:val="00AB35D2"/>
    <w:rsid w:val="00AB36B8"/>
    <w:rsid w:val="00AB3A78"/>
    <w:rsid w:val="00AB3C75"/>
    <w:rsid w:val="00AB3FF4"/>
    <w:rsid w:val="00AB4044"/>
    <w:rsid w:val="00AB413F"/>
    <w:rsid w:val="00AB4271"/>
    <w:rsid w:val="00AB4286"/>
    <w:rsid w:val="00AB44F1"/>
    <w:rsid w:val="00AB48CF"/>
    <w:rsid w:val="00AB4C0D"/>
    <w:rsid w:val="00AB4DF5"/>
    <w:rsid w:val="00AB4FDD"/>
    <w:rsid w:val="00AB531D"/>
    <w:rsid w:val="00AB5453"/>
    <w:rsid w:val="00AB545D"/>
    <w:rsid w:val="00AB5487"/>
    <w:rsid w:val="00AB5520"/>
    <w:rsid w:val="00AB55B9"/>
    <w:rsid w:val="00AB55C5"/>
    <w:rsid w:val="00AB5721"/>
    <w:rsid w:val="00AB598B"/>
    <w:rsid w:val="00AB5E33"/>
    <w:rsid w:val="00AB61CA"/>
    <w:rsid w:val="00AB620D"/>
    <w:rsid w:val="00AB6741"/>
    <w:rsid w:val="00AB67D9"/>
    <w:rsid w:val="00AB6A42"/>
    <w:rsid w:val="00AB6AF3"/>
    <w:rsid w:val="00AB6F9D"/>
    <w:rsid w:val="00AB7775"/>
    <w:rsid w:val="00AB7E34"/>
    <w:rsid w:val="00AB7E40"/>
    <w:rsid w:val="00AC0101"/>
    <w:rsid w:val="00AC016A"/>
    <w:rsid w:val="00AC07BB"/>
    <w:rsid w:val="00AC0F64"/>
    <w:rsid w:val="00AC1026"/>
    <w:rsid w:val="00AC1034"/>
    <w:rsid w:val="00AC1180"/>
    <w:rsid w:val="00AC11A4"/>
    <w:rsid w:val="00AC1345"/>
    <w:rsid w:val="00AC1EE1"/>
    <w:rsid w:val="00AC1F85"/>
    <w:rsid w:val="00AC200F"/>
    <w:rsid w:val="00AC2093"/>
    <w:rsid w:val="00AC215B"/>
    <w:rsid w:val="00AC219D"/>
    <w:rsid w:val="00AC23E4"/>
    <w:rsid w:val="00AC254E"/>
    <w:rsid w:val="00AC25EF"/>
    <w:rsid w:val="00AC2746"/>
    <w:rsid w:val="00AC2765"/>
    <w:rsid w:val="00AC278D"/>
    <w:rsid w:val="00AC2CA2"/>
    <w:rsid w:val="00AC2E67"/>
    <w:rsid w:val="00AC313F"/>
    <w:rsid w:val="00AC3152"/>
    <w:rsid w:val="00AC3178"/>
    <w:rsid w:val="00AC38CD"/>
    <w:rsid w:val="00AC38D9"/>
    <w:rsid w:val="00AC3934"/>
    <w:rsid w:val="00AC3CC2"/>
    <w:rsid w:val="00AC40CD"/>
    <w:rsid w:val="00AC4432"/>
    <w:rsid w:val="00AC49ED"/>
    <w:rsid w:val="00AC4BB9"/>
    <w:rsid w:val="00AC4C73"/>
    <w:rsid w:val="00AC51E1"/>
    <w:rsid w:val="00AC5423"/>
    <w:rsid w:val="00AC54B8"/>
    <w:rsid w:val="00AC54D9"/>
    <w:rsid w:val="00AC552F"/>
    <w:rsid w:val="00AC5641"/>
    <w:rsid w:val="00AC57D1"/>
    <w:rsid w:val="00AC5850"/>
    <w:rsid w:val="00AC5885"/>
    <w:rsid w:val="00AC59DB"/>
    <w:rsid w:val="00AC5B08"/>
    <w:rsid w:val="00AC5D60"/>
    <w:rsid w:val="00AC5DEF"/>
    <w:rsid w:val="00AC61B6"/>
    <w:rsid w:val="00AC633C"/>
    <w:rsid w:val="00AC6751"/>
    <w:rsid w:val="00AC7081"/>
    <w:rsid w:val="00AC70E2"/>
    <w:rsid w:val="00AC72C3"/>
    <w:rsid w:val="00AC77BB"/>
    <w:rsid w:val="00AC794F"/>
    <w:rsid w:val="00AC7B2D"/>
    <w:rsid w:val="00AC7C27"/>
    <w:rsid w:val="00AD0682"/>
    <w:rsid w:val="00AD0BBA"/>
    <w:rsid w:val="00AD0DA5"/>
    <w:rsid w:val="00AD1030"/>
    <w:rsid w:val="00AD10DA"/>
    <w:rsid w:val="00AD10ED"/>
    <w:rsid w:val="00AD1309"/>
    <w:rsid w:val="00AD1C7C"/>
    <w:rsid w:val="00AD1CD8"/>
    <w:rsid w:val="00AD1D59"/>
    <w:rsid w:val="00AD1EF5"/>
    <w:rsid w:val="00AD1F60"/>
    <w:rsid w:val="00AD21C8"/>
    <w:rsid w:val="00AD24E4"/>
    <w:rsid w:val="00AD2842"/>
    <w:rsid w:val="00AD2ADD"/>
    <w:rsid w:val="00AD2BB2"/>
    <w:rsid w:val="00AD3012"/>
    <w:rsid w:val="00AD31AC"/>
    <w:rsid w:val="00AD3409"/>
    <w:rsid w:val="00AD3530"/>
    <w:rsid w:val="00AD3D66"/>
    <w:rsid w:val="00AD3DAA"/>
    <w:rsid w:val="00AD4095"/>
    <w:rsid w:val="00AD41B7"/>
    <w:rsid w:val="00AD41C7"/>
    <w:rsid w:val="00AD44EF"/>
    <w:rsid w:val="00AD4AAF"/>
    <w:rsid w:val="00AD4B51"/>
    <w:rsid w:val="00AD4DDA"/>
    <w:rsid w:val="00AD52F8"/>
    <w:rsid w:val="00AD564C"/>
    <w:rsid w:val="00AD5BC9"/>
    <w:rsid w:val="00AD614E"/>
    <w:rsid w:val="00AD630A"/>
    <w:rsid w:val="00AD64B3"/>
    <w:rsid w:val="00AD66CD"/>
    <w:rsid w:val="00AD675F"/>
    <w:rsid w:val="00AD690B"/>
    <w:rsid w:val="00AD6C8D"/>
    <w:rsid w:val="00AD6D71"/>
    <w:rsid w:val="00AD6DB0"/>
    <w:rsid w:val="00AD6DCC"/>
    <w:rsid w:val="00AD6F4E"/>
    <w:rsid w:val="00AD7000"/>
    <w:rsid w:val="00AD73A7"/>
    <w:rsid w:val="00AD79AB"/>
    <w:rsid w:val="00AD7C0A"/>
    <w:rsid w:val="00AD7FC6"/>
    <w:rsid w:val="00AE008A"/>
    <w:rsid w:val="00AE0266"/>
    <w:rsid w:val="00AE0413"/>
    <w:rsid w:val="00AE043B"/>
    <w:rsid w:val="00AE0862"/>
    <w:rsid w:val="00AE088F"/>
    <w:rsid w:val="00AE08D9"/>
    <w:rsid w:val="00AE0A13"/>
    <w:rsid w:val="00AE0ADC"/>
    <w:rsid w:val="00AE0CA5"/>
    <w:rsid w:val="00AE0E83"/>
    <w:rsid w:val="00AE0FFE"/>
    <w:rsid w:val="00AE14BF"/>
    <w:rsid w:val="00AE15BE"/>
    <w:rsid w:val="00AE15F6"/>
    <w:rsid w:val="00AE162B"/>
    <w:rsid w:val="00AE19EA"/>
    <w:rsid w:val="00AE1D5B"/>
    <w:rsid w:val="00AE1EFB"/>
    <w:rsid w:val="00AE2257"/>
    <w:rsid w:val="00AE2A45"/>
    <w:rsid w:val="00AE2E23"/>
    <w:rsid w:val="00AE2E6C"/>
    <w:rsid w:val="00AE3063"/>
    <w:rsid w:val="00AE30E3"/>
    <w:rsid w:val="00AE3371"/>
    <w:rsid w:val="00AE3407"/>
    <w:rsid w:val="00AE3507"/>
    <w:rsid w:val="00AE3600"/>
    <w:rsid w:val="00AE3733"/>
    <w:rsid w:val="00AE3A50"/>
    <w:rsid w:val="00AE3BB6"/>
    <w:rsid w:val="00AE3CAD"/>
    <w:rsid w:val="00AE41AA"/>
    <w:rsid w:val="00AE42B3"/>
    <w:rsid w:val="00AE46C8"/>
    <w:rsid w:val="00AE47DC"/>
    <w:rsid w:val="00AE495F"/>
    <w:rsid w:val="00AE4CFC"/>
    <w:rsid w:val="00AE4D75"/>
    <w:rsid w:val="00AE4F66"/>
    <w:rsid w:val="00AE4FF4"/>
    <w:rsid w:val="00AE541A"/>
    <w:rsid w:val="00AE545F"/>
    <w:rsid w:val="00AE5A26"/>
    <w:rsid w:val="00AE5A3F"/>
    <w:rsid w:val="00AE5C4C"/>
    <w:rsid w:val="00AE5DAB"/>
    <w:rsid w:val="00AE5ED5"/>
    <w:rsid w:val="00AE6295"/>
    <w:rsid w:val="00AE6ECD"/>
    <w:rsid w:val="00AE7018"/>
    <w:rsid w:val="00AE7098"/>
    <w:rsid w:val="00AE70AF"/>
    <w:rsid w:val="00AE7560"/>
    <w:rsid w:val="00AE7628"/>
    <w:rsid w:val="00AE7673"/>
    <w:rsid w:val="00AE78D0"/>
    <w:rsid w:val="00AF02D9"/>
    <w:rsid w:val="00AF045B"/>
    <w:rsid w:val="00AF0945"/>
    <w:rsid w:val="00AF0BA1"/>
    <w:rsid w:val="00AF1010"/>
    <w:rsid w:val="00AF10E9"/>
    <w:rsid w:val="00AF13F4"/>
    <w:rsid w:val="00AF14B1"/>
    <w:rsid w:val="00AF15D7"/>
    <w:rsid w:val="00AF1608"/>
    <w:rsid w:val="00AF1992"/>
    <w:rsid w:val="00AF1B24"/>
    <w:rsid w:val="00AF1C06"/>
    <w:rsid w:val="00AF1C5D"/>
    <w:rsid w:val="00AF1D42"/>
    <w:rsid w:val="00AF21D6"/>
    <w:rsid w:val="00AF24AD"/>
    <w:rsid w:val="00AF2526"/>
    <w:rsid w:val="00AF25EC"/>
    <w:rsid w:val="00AF26AA"/>
    <w:rsid w:val="00AF283A"/>
    <w:rsid w:val="00AF2A6D"/>
    <w:rsid w:val="00AF2E17"/>
    <w:rsid w:val="00AF3189"/>
    <w:rsid w:val="00AF3436"/>
    <w:rsid w:val="00AF354D"/>
    <w:rsid w:val="00AF3556"/>
    <w:rsid w:val="00AF37B0"/>
    <w:rsid w:val="00AF393D"/>
    <w:rsid w:val="00AF39C4"/>
    <w:rsid w:val="00AF4093"/>
    <w:rsid w:val="00AF456E"/>
    <w:rsid w:val="00AF4A48"/>
    <w:rsid w:val="00AF4B9B"/>
    <w:rsid w:val="00AF4C35"/>
    <w:rsid w:val="00AF4C70"/>
    <w:rsid w:val="00AF4D56"/>
    <w:rsid w:val="00AF4DD3"/>
    <w:rsid w:val="00AF4FA4"/>
    <w:rsid w:val="00AF5171"/>
    <w:rsid w:val="00AF56A3"/>
    <w:rsid w:val="00AF5B8F"/>
    <w:rsid w:val="00AF5BEF"/>
    <w:rsid w:val="00AF5E05"/>
    <w:rsid w:val="00AF674C"/>
    <w:rsid w:val="00AF676D"/>
    <w:rsid w:val="00AF6A1C"/>
    <w:rsid w:val="00AF6CC0"/>
    <w:rsid w:val="00AF71E1"/>
    <w:rsid w:val="00AF79C8"/>
    <w:rsid w:val="00AF7BFA"/>
    <w:rsid w:val="00AF7DEF"/>
    <w:rsid w:val="00AF7EA9"/>
    <w:rsid w:val="00B00691"/>
    <w:rsid w:val="00B0086F"/>
    <w:rsid w:val="00B00A62"/>
    <w:rsid w:val="00B00D96"/>
    <w:rsid w:val="00B013F3"/>
    <w:rsid w:val="00B014A6"/>
    <w:rsid w:val="00B01B03"/>
    <w:rsid w:val="00B01B33"/>
    <w:rsid w:val="00B01E3C"/>
    <w:rsid w:val="00B01E8E"/>
    <w:rsid w:val="00B01F74"/>
    <w:rsid w:val="00B02128"/>
    <w:rsid w:val="00B0242F"/>
    <w:rsid w:val="00B02613"/>
    <w:rsid w:val="00B02793"/>
    <w:rsid w:val="00B02825"/>
    <w:rsid w:val="00B02937"/>
    <w:rsid w:val="00B02B41"/>
    <w:rsid w:val="00B02BBB"/>
    <w:rsid w:val="00B02D59"/>
    <w:rsid w:val="00B02EB0"/>
    <w:rsid w:val="00B0309A"/>
    <w:rsid w:val="00B030AE"/>
    <w:rsid w:val="00B030B9"/>
    <w:rsid w:val="00B0319E"/>
    <w:rsid w:val="00B0320F"/>
    <w:rsid w:val="00B03291"/>
    <w:rsid w:val="00B03616"/>
    <w:rsid w:val="00B03656"/>
    <w:rsid w:val="00B0368B"/>
    <w:rsid w:val="00B03861"/>
    <w:rsid w:val="00B03876"/>
    <w:rsid w:val="00B038A0"/>
    <w:rsid w:val="00B03A99"/>
    <w:rsid w:val="00B03C49"/>
    <w:rsid w:val="00B03C79"/>
    <w:rsid w:val="00B03CED"/>
    <w:rsid w:val="00B04025"/>
    <w:rsid w:val="00B041E9"/>
    <w:rsid w:val="00B0431E"/>
    <w:rsid w:val="00B0437D"/>
    <w:rsid w:val="00B0454A"/>
    <w:rsid w:val="00B04684"/>
    <w:rsid w:val="00B04AF7"/>
    <w:rsid w:val="00B04CEC"/>
    <w:rsid w:val="00B04FDA"/>
    <w:rsid w:val="00B054AF"/>
    <w:rsid w:val="00B055D1"/>
    <w:rsid w:val="00B05716"/>
    <w:rsid w:val="00B05754"/>
    <w:rsid w:val="00B05981"/>
    <w:rsid w:val="00B05A9B"/>
    <w:rsid w:val="00B05E38"/>
    <w:rsid w:val="00B05FD7"/>
    <w:rsid w:val="00B061D3"/>
    <w:rsid w:val="00B065A8"/>
    <w:rsid w:val="00B06986"/>
    <w:rsid w:val="00B069C6"/>
    <w:rsid w:val="00B06AC7"/>
    <w:rsid w:val="00B071AC"/>
    <w:rsid w:val="00B07699"/>
    <w:rsid w:val="00B07F16"/>
    <w:rsid w:val="00B1001A"/>
    <w:rsid w:val="00B10243"/>
    <w:rsid w:val="00B104D6"/>
    <w:rsid w:val="00B1051F"/>
    <w:rsid w:val="00B10665"/>
    <w:rsid w:val="00B106B1"/>
    <w:rsid w:val="00B108C6"/>
    <w:rsid w:val="00B10B19"/>
    <w:rsid w:val="00B10D5B"/>
    <w:rsid w:val="00B10D85"/>
    <w:rsid w:val="00B10F70"/>
    <w:rsid w:val="00B110DF"/>
    <w:rsid w:val="00B11151"/>
    <w:rsid w:val="00B111F4"/>
    <w:rsid w:val="00B114E6"/>
    <w:rsid w:val="00B11917"/>
    <w:rsid w:val="00B119CC"/>
    <w:rsid w:val="00B11B2A"/>
    <w:rsid w:val="00B11BBB"/>
    <w:rsid w:val="00B11CD2"/>
    <w:rsid w:val="00B11D0E"/>
    <w:rsid w:val="00B1201F"/>
    <w:rsid w:val="00B1203A"/>
    <w:rsid w:val="00B1208F"/>
    <w:rsid w:val="00B124DF"/>
    <w:rsid w:val="00B124E2"/>
    <w:rsid w:val="00B124ED"/>
    <w:rsid w:val="00B1283E"/>
    <w:rsid w:val="00B12891"/>
    <w:rsid w:val="00B12CAC"/>
    <w:rsid w:val="00B13065"/>
    <w:rsid w:val="00B1328E"/>
    <w:rsid w:val="00B1336D"/>
    <w:rsid w:val="00B13398"/>
    <w:rsid w:val="00B134FB"/>
    <w:rsid w:val="00B136A3"/>
    <w:rsid w:val="00B13888"/>
    <w:rsid w:val="00B13B87"/>
    <w:rsid w:val="00B13EE0"/>
    <w:rsid w:val="00B13F24"/>
    <w:rsid w:val="00B14004"/>
    <w:rsid w:val="00B14437"/>
    <w:rsid w:val="00B14609"/>
    <w:rsid w:val="00B14E57"/>
    <w:rsid w:val="00B1510B"/>
    <w:rsid w:val="00B1528B"/>
    <w:rsid w:val="00B15357"/>
    <w:rsid w:val="00B15418"/>
    <w:rsid w:val="00B155D2"/>
    <w:rsid w:val="00B15720"/>
    <w:rsid w:val="00B1574B"/>
    <w:rsid w:val="00B15B31"/>
    <w:rsid w:val="00B16010"/>
    <w:rsid w:val="00B163C3"/>
    <w:rsid w:val="00B16509"/>
    <w:rsid w:val="00B169BD"/>
    <w:rsid w:val="00B16CD2"/>
    <w:rsid w:val="00B16F49"/>
    <w:rsid w:val="00B16F54"/>
    <w:rsid w:val="00B16FA9"/>
    <w:rsid w:val="00B1759E"/>
    <w:rsid w:val="00B175DD"/>
    <w:rsid w:val="00B1779E"/>
    <w:rsid w:val="00B17BE4"/>
    <w:rsid w:val="00B2052E"/>
    <w:rsid w:val="00B20566"/>
    <w:rsid w:val="00B20603"/>
    <w:rsid w:val="00B20622"/>
    <w:rsid w:val="00B20839"/>
    <w:rsid w:val="00B20FE8"/>
    <w:rsid w:val="00B212E9"/>
    <w:rsid w:val="00B216F1"/>
    <w:rsid w:val="00B217E1"/>
    <w:rsid w:val="00B21840"/>
    <w:rsid w:val="00B21B6E"/>
    <w:rsid w:val="00B21BC7"/>
    <w:rsid w:val="00B21EA7"/>
    <w:rsid w:val="00B21EDA"/>
    <w:rsid w:val="00B21FB1"/>
    <w:rsid w:val="00B22564"/>
    <w:rsid w:val="00B225BB"/>
    <w:rsid w:val="00B228D9"/>
    <w:rsid w:val="00B22972"/>
    <w:rsid w:val="00B22A28"/>
    <w:rsid w:val="00B22A31"/>
    <w:rsid w:val="00B22A46"/>
    <w:rsid w:val="00B22ACB"/>
    <w:rsid w:val="00B22D36"/>
    <w:rsid w:val="00B22E50"/>
    <w:rsid w:val="00B22FAB"/>
    <w:rsid w:val="00B234BB"/>
    <w:rsid w:val="00B23629"/>
    <w:rsid w:val="00B2372A"/>
    <w:rsid w:val="00B23819"/>
    <w:rsid w:val="00B23B7D"/>
    <w:rsid w:val="00B23BFB"/>
    <w:rsid w:val="00B23E00"/>
    <w:rsid w:val="00B23EE7"/>
    <w:rsid w:val="00B243B1"/>
    <w:rsid w:val="00B245AC"/>
    <w:rsid w:val="00B24966"/>
    <w:rsid w:val="00B24A3F"/>
    <w:rsid w:val="00B24AB1"/>
    <w:rsid w:val="00B24DD2"/>
    <w:rsid w:val="00B25006"/>
    <w:rsid w:val="00B251B5"/>
    <w:rsid w:val="00B252B4"/>
    <w:rsid w:val="00B25503"/>
    <w:rsid w:val="00B2553F"/>
    <w:rsid w:val="00B256CF"/>
    <w:rsid w:val="00B256F2"/>
    <w:rsid w:val="00B25E02"/>
    <w:rsid w:val="00B25E32"/>
    <w:rsid w:val="00B261FA"/>
    <w:rsid w:val="00B26220"/>
    <w:rsid w:val="00B267A9"/>
    <w:rsid w:val="00B268FA"/>
    <w:rsid w:val="00B26A26"/>
    <w:rsid w:val="00B26DD6"/>
    <w:rsid w:val="00B26E55"/>
    <w:rsid w:val="00B26E6D"/>
    <w:rsid w:val="00B26EC4"/>
    <w:rsid w:val="00B2721E"/>
    <w:rsid w:val="00B27534"/>
    <w:rsid w:val="00B276D6"/>
    <w:rsid w:val="00B277FE"/>
    <w:rsid w:val="00B2788B"/>
    <w:rsid w:val="00B27B59"/>
    <w:rsid w:val="00B27BE5"/>
    <w:rsid w:val="00B27C3E"/>
    <w:rsid w:val="00B30088"/>
    <w:rsid w:val="00B305E0"/>
    <w:rsid w:val="00B30627"/>
    <w:rsid w:val="00B308CA"/>
    <w:rsid w:val="00B30AE8"/>
    <w:rsid w:val="00B30E91"/>
    <w:rsid w:val="00B30F27"/>
    <w:rsid w:val="00B310CE"/>
    <w:rsid w:val="00B3123F"/>
    <w:rsid w:val="00B3148A"/>
    <w:rsid w:val="00B315C1"/>
    <w:rsid w:val="00B31796"/>
    <w:rsid w:val="00B31821"/>
    <w:rsid w:val="00B31D09"/>
    <w:rsid w:val="00B31E17"/>
    <w:rsid w:val="00B31EC9"/>
    <w:rsid w:val="00B32381"/>
    <w:rsid w:val="00B327FC"/>
    <w:rsid w:val="00B3292E"/>
    <w:rsid w:val="00B32974"/>
    <w:rsid w:val="00B329EC"/>
    <w:rsid w:val="00B32AEE"/>
    <w:rsid w:val="00B32C03"/>
    <w:rsid w:val="00B32C22"/>
    <w:rsid w:val="00B32E52"/>
    <w:rsid w:val="00B32FD2"/>
    <w:rsid w:val="00B332E5"/>
    <w:rsid w:val="00B3388B"/>
    <w:rsid w:val="00B3390F"/>
    <w:rsid w:val="00B3395F"/>
    <w:rsid w:val="00B33A5F"/>
    <w:rsid w:val="00B33BA5"/>
    <w:rsid w:val="00B33C42"/>
    <w:rsid w:val="00B33CFE"/>
    <w:rsid w:val="00B33E8A"/>
    <w:rsid w:val="00B33FBA"/>
    <w:rsid w:val="00B340CD"/>
    <w:rsid w:val="00B3477D"/>
    <w:rsid w:val="00B34EA3"/>
    <w:rsid w:val="00B34EFC"/>
    <w:rsid w:val="00B3530F"/>
    <w:rsid w:val="00B3552F"/>
    <w:rsid w:val="00B35729"/>
    <w:rsid w:val="00B359BE"/>
    <w:rsid w:val="00B35A8E"/>
    <w:rsid w:val="00B35BF2"/>
    <w:rsid w:val="00B35EB7"/>
    <w:rsid w:val="00B362E0"/>
    <w:rsid w:val="00B363C3"/>
    <w:rsid w:val="00B36564"/>
    <w:rsid w:val="00B36601"/>
    <w:rsid w:val="00B3664D"/>
    <w:rsid w:val="00B36C28"/>
    <w:rsid w:val="00B36C5D"/>
    <w:rsid w:val="00B36DDB"/>
    <w:rsid w:val="00B36E43"/>
    <w:rsid w:val="00B3768E"/>
    <w:rsid w:val="00B377F7"/>
    <w:rsid w:val="00B3780F"/>
    <w:rsid w:val="00B37838"/>
    <w:rsid w:val="00B37BA8"/>
    <w:rsid w:val="00B37F2F"/>
    <w:rsid w:val="00B400AE"/>
    <w:rsid w:val="00B40D5F"/>
    <w:rsid w:val="00B40F70"/>
    <w:rsid w:val="00B40FC5"/>
    <w:rsid w:val="00B41050"/>
    <w:rsid w:val="00B41058"/>
    <w:rsid w:val="00B410F5"/>
    <w:rsid w:val="00B4159C"/>
    <w:rsid w:val="00B415A2"/>
    <w:rsid w:val="00B4178F"/>
    <w:rsid w:val="00B418BA"/>
    <w:rsid w:val="00B41A67"/>
    <w:rsid w:val="00B41CB9"/>
    <w:rsid w:val="00B41E30"/>
    <w:rsid w:val="00B4214A"/>
    <w:rsid w:val="00B4215E"/>
    <w:rsid w:val="00B42536"/>
    <w:rsid w:val="00B42DD1"/>
    <w:rsid w:val="00B435E1"/>
    <w:rsid w:val="00B438CF"/>
    <w:rsid w:val="00B43B18"/>
    <w:rsid w:val="00B43B94"/>
    <w:rsid w:val="00B43E42"/>
    <w:rsid w:val="00B43E79"/>
    <w:rsid w:val="00B43F15"/>
    <w:rsid w:val="00B43F30"/>
    <w:rsid w:val="00B4420E"/>
    <w:rsid w:val="00B44302"/>
    <w:rsid w:val="00B444F2"/>
    <w:rsid w:val="00B445DE"/>
    <w:rsid w:val="00B44A76"/>
    <w:rsid w:val="00B44C2E"/>
    <w:rsid w:val="00B44FB4"/>
    <w:rsid w:val="00B4504B"/>
    <w:rsid w:val="00B452FE"/>
    <w:rsid w:val="00B45757"/>
    <w:rsid w:val="00B457F8"/>
    <w:rsid w:val="00B45A63"/>
    <w:rsid w:val="00B45BEA"/>
    <w:rsid w:val="00B45FED"/>
    <w:rsid w:val="00B462DA"/>
    <w:rsid w:val="00B4647D"/>
    <w:rsid w:val="00B466F9"/>
    <w:rsid w:val="00B46A3D"/>
    <w:rsid w:val="00B46B3E"/>
    <w:rsid w:val="00B46F41"/>
    <w:rsid w:val="00B47344"/>
    <w:rsid w:val="00B473DC"/>
    <w:rsid w:val="00B475B6"/>
    <w:rsid w:val="00B475CB"/>
    <w:rsid w:val="00B47847"/>
    <w:rsid w:val="00B4788F"/>
    <w:rsid w:val="00B47A66"/>
    <w:rsid w:val="00B47CA6"/>
    <w:rsid w:val="00B47E02"/>
    <w:rsid w:val="00B47E57"/>
    <w:rsid w:val="00B47FA9"/>
    <w:rsid w:val="00B500A9"/>
    <w:rsid w:val="00B502C6"/>
    <w:rsid w:val="00B5046F"/>
    <w:rsid w:val="00B50659"/>
    <w:rsid w:val="00B50673"/>
    <w:rsid w:val="00B507A2"/>
    <w:rsid w:val="00B50AA0"/>
    <w:rsid w:val="00B50BD5"/>
    <w:rsid w:val="00B50D82"/>
    <w:rsid w:val="00B50ED2"/>
    <w:rsid w:val="00B51006"/>
    <w:rsid w:val="00B51260"/>
    <w:rsid w:val="00B51C00"/>
    <w:rsid w:val="00B51D0C"/>
    <w:rsid w:val="00B5206F"/>
    <w:rsid w:val="00B521C7"/>
    <w:rsid w:val="00B525D1"/>
    <w:rsid w:val="00B52638"/>
    <w:rsid w:val="00B52760"/>
    <w:rsid w:val="00B52A7E"/>
    <w:rsid w:val="00B52B61"/>
    <w:rsid w:val="00B52C0B"/>
    <w:rsid w:val="00B52FDB"/>
    <w:rsid w:val="00B53257"/>
    <w:rsid w:val="00B533D7"/>
    <w:rsid w:val="00B5345E"/>
    <w:rsid w:val="00B53C8D"/>
    <w:rsid w:val="00B5425F"/>
    <w:rsid w:val="00B5430C"/>
    <w:rsid w:val="00B5443A"/>
    <w:rsid w:val="00B544B5"/>
    <w:rsid w:val="00B544D2"/>
    <w:rsid w:val="00B545E8"/>
    <w:rsid w:val="00B54681"/>
    <w:rsid w:val="00B54B02"/>
    <w:rsid w:val="00B54BEE"/>
    <w:rsid w:val="00B54BF7"/>
    <w:rsid w:val="00B54F53"/>
    <w:rsid w:val="00B553DC"/>
    <w:rsid w:val="00B5562B"/>
    <w:rsid w:val="00B55B49"/>
    <w:rsid w:val="00B560A6"/>
    <w:rsid w:val="00B560E2"/>
    <w:rsid w:val="00B56133"/>
    <w:rsid w:val="00B565A7"/>
    <w:rsid w:val="00B566CC"/>
    <w:rsid w:val="00B56779"/>
    <w:rsid w:val="00B569CE"/>
    <w:rsid w:val="00B569D5"/>
    <w:rsid w:val="00B569FA"/>
    <w:rsid w:val="00B56CCA"/>
    <w:rsid w:val="00B56D93"/>
    <w:rsid w:val="00B56EE1"/>
    <w:rsid w:val="00B56FB7"/>
    <w:rsid w:val="00B57051"/>
    <w:rsid w:val="00B571AD"/>
    <w:rsid w:val="00B574A2"/>
    <w:rsid w:val="00B575DC"/>
    <w:rsid w:val="00B577B2"/>
    <w:rsid w:val="00B578A2"/>
    <w:rsid w:val="00B57986"/>
    <w:rsid w:val="00B57BCF"/>
    <w:rsid w:val="00B57D08"/>
    <w:rsid w:val="00B57D55"/>
    <w:rsid w:val="00B57E8F"/>
    <w:rsid w:val="00B57EB2"/>
    <w:rsid w:val="00B57FC6"/>
    <w:rsid w:val="00B60062"/>
    <w:rsid w:val="00B60201"/>
    <w:rsid w:val="00B602A9"/>
    <w:rsid w:val="00B60793"/>
    <w:rsid w:val="00B60846"/>
    <w:rsid w:val="00B60D86"/>
    <w:rsid w:val="00B60EB2"/>
    <w:rsid w:val="00B61096"/>
    <w:rsid w:val="00B6115A"/>
    <w:rsid w:val="00B61275"/>
    <w:rsid w:val="00B617A7"/>
    <w:rsid w:val="00B61ED4"/>
    <w:rsid w:val="00B61FDC"/>
    <w:rsid w:val="00B61FE2"/>
    <w:rsid w:val="00B620BB"/>
    <w:rsid w:val="00B62192"/>
    <w:rsid w:val="00B622BD"/>
    <w:rsid w:val="00B62408"/>
    <w:rsid w:val="00B62913"/>
    <w:rsid w:val="00B62B4A"/>
    <w:rsid w:val="00B62D0E"/>
    <w:rsid w:val="00B63039"/>
    <w:rsid w:val="00B631B0"/>
    <w:rsid w:val="00B631FF"/>
    <w:rsid w:val="00B6341A"/>
    <w:rsid w:val="00B63551"/>
    <w:rsid w:val="00B636DA"/>
    <w:rsid w:val="00B636EE"/>
    <w:rsid w:val="00B63948"/>
    <w:rsid w:val="00B63952"/>
    <w:rsid w:val="00B63A80"/>
    <w:rsid w:val="00B63B97"/>
    <w:rsid w:val="00B63C57"/>
    <w:rsid w:val="00B63F6C"/>
    <w:rsid w:val="00B640BF"/>
    <w:rsid w:val="00B641E1"/>
    <w:rsid w:val="00B642DB"/>
    <w:rsid w:val="00B64360"/>
    <w:rsid w:val="00B644B8"/>
    <w:rsid w:val="00B64554"/>
    <w:rsid w:val="00B647B1"/>
    <w:rsid w:val="00B648E1"/>
    <w:rsid w:val="00B64C33"/>
    <w:rsid w:val="00B650C1"/>
    <w:rsid w:val="00B6517C"/>
    <w:rsid w:val="00B65460"/>
    <w:rsid w:val="00B65AF3"/>
    <w:rsid w:val="00B65B59"/>
    <w:rsid w:val="00B65ECA"/>
    <w:rsid w:val="00B65EE4"/>
    <w:rsid w:val="00B66369"/>
    <w:rsid w:val="00B6657B"/>
    <w:rsid w:val="00B66777"/>
    <w:rsid w:val="00B66A14"/>
    <w:rsid w:val="00B66BCB"/>
    <w:rsid w:val="00B671E6"/>
    <w:rsid w:val="00B672DD"/>
    <w:rsid w:val="00B6730E"/>
    <w:rsid w:val="00B67B14"/>
    <w:rsid w:val="00B67C20"/>
    <w:rsid w:val="00B704BC"/>
    <w:rsid w:val="00B70640"/>
    <w:rsid w:val="00B70A91"/>
    <w:rsid w:val="00B70E5E"/>
    <w:rsid w:val="00B7106D"/>
    <w:rsid w:val="00B7137B"/>
    <w:rsid w:val="00B7197F"/>
    <w:rsid w:val="00B71B5A"/>
    <w:rsid w:val="00B71B5D"/>
    <w:rsid w:val="00B71C72"/>
    <w:rsid w:val="00B7203B"/>
    <w:rsid w:val="00B72073"/>
    <w:rsid w:val="00B720FA"/>
    <w:rsid w:val="00B7211C"/>
    <w:rsid w:val="00B727FF"/>
    <w:rsid w:val="00B72971"/>
    <w:rsid w:val="00B72D54"/>
    <w:rsid w:val="00B72EF3"/>
    <w:rsid w:val="00B72F20"/>
    <w:rsid w:val="00B73205"/>
    <w:rsid w:val="00B73293"/>
    <w:rsid w:val="00B73310"/>
    <w:rsid w:val="00B735B4"/>
    <w:rsid w:val="00B735C4"/>
    <w:rsid w:val="00B73771"/>
    <w:rsid w:val="00B73919"/>
    <w:rsid w:val="00B739AD"/>
    <w:rsid w:val="00B73B40"/>
    <w:rsid w:val="00B73B5C"/>
    <w:rsid w:val="00B73B7F"/>
    <w:rsid w:val="00B73E30"/>
    <w:rsid w:val="00B74460"/>
    <w:rsid w:val="00B745BF"/>
    <w:rsid w:val="00B74B32"/>
    <w:rsid w:val="00B7537E"/>
    <w:rsid w:val="00B754E0"/>
    <w:rsid w:val="00B75837"/>
    <w:rsid w:val="00B758F9"/>
    <w:rsid w:val="00B759F2"/>
    <w:rsid w:val="00B75AA3"/>
    <w:rsid w:val="00B75B44"/>
    <w:rsid w:val="00B75C1E"/>
    <w:rsid w:val="00B75CCD"/>
    <w:rsid w:val="00B75EBB"/>
    <w:rsid w:val="00B75FBB"/>
    <w:rsid w:val="00B76750"/>
    <w:rsid w:val="00B76C00"/>
    <w:rsid w:val="00B76C3B"/>
    <w:rsid w:val="00B76CF9"/>
    <w:rsid w:val="00B77162"/>
    <w:rsid w:val="00B772EB"/>
    <w:rsid w:val="00B773A0"/>
    <w:rsid w:val="00B778D9"/>
    <w:rsid w:val="00B77953"/>
    <w:rsid w:val="00B7797A"/>
    <w:rsid w:val="00B7798B"/>
    <w:rsid w:val="00B779B7"/>
    <w:rsid w:val="00B77A15"/>
    <w:rsid w:val="00B77A1F"/>
    <w:rsid w:val="00B77AB8"/>
    <w:rsid w:val="00B800F7"/>
    <w:rsid w:val="00B80145"/>
    <w:rsid w:val="00B802F1"/>
    <w:rsid w:val="00B802F2"/>
    <w:rsid w:val="00B8041D"/>
    <w:rsid w:val="00B80480"/>
    <w:rsid w:val="00B804C3"/>
    <w:rsid w:val="00B804F7"/>
    <w:rsid w:val="00B80608"/>
    <w:rsid w:val="00B80693"/>
    <w:rsid w:val="00B808D7"/>
    <w:rsid w:val="00B8092B"/>
    <w:rsid w:val="00B80C9B"/>
    <w:rsid w:val="00B8135F"/>
    <w:rsid w:val="00B8152C"/>
    <w:rsid w:val="00B81941"/>
    <w:rsid w:val="00B819EE"/>
    <w:rsid w:val="00B819FD"/>
    <w:rsid w:val="00B81CA0"/>
    <w:rsid w:val="00B81DEC"/>
    <w:rsid w:val="00B81F3C"/>
    <w:rsid w:val="00B8247E"/>
    <w:rsid w:val="00B828F0"/>
    <w:rsid w:val="00B82DDB"/>
    <w:rsid w:val="00B83225"/>
    <w:rsid w:val="00B83415"/>
    <w:rsid w:val="00B8362A"/>
    <w:rsid w:val="00B837B3"/>
    <w:rsid w:val="00B837DE"/>
    <w:rsid w:val="00B838DB"/>
    <w:rsid w:val="00B83918"/>
    <w:rsid w:val="00B83ACC"/>
    <w:rsid w:val="00B83E16"/>
    <w:rsid w:val="00B83E71"/>
    <w:rsid w:val="00B83E96"/>
    <w:rsid w:val="00B83F3B"/>
    <w:rsid w:val="00B83F40"/>
    <w:rsid w:val="00B84833"/>
    <w:rsid w:val="00B84ABB"/>
    <w:rsid w:val="00B84B87"/>
    <w:rsid w:val="00B84D62"/>
    <w:rsid w:val="00B84F2D"/>
    <w:rsid w:val="00B851BD"/>
    <w:rsid w:val="00B85871"/>
    <w:rsid w:val="00B85988"/>
    <w:rsid w:val="00B85A55"/>
    <w:rsid w:val="00B85C7E"/>
    <w:rsid w:val="00B85DB9"/>
    <w:rsid w:val="00B860CB"/>
    <w:rsid w:val="00B862C4"/>
    <w:rsid w:val="00B8630F"/>
    <w:rsid w:val="00B8634D"/>
    <w:rsid w:val="00B863B2"/>
    <w:rsid w:val="00B86504"/>
    <w:rsid w:val="00B86725"/>
    <w:rsid w:val="00B867AB"/>
    <w:rsid w:val="00B868C6"/>
    <w:rsid w:val="00B8697A"/>
    <w:rsid w:val="00B86E6E"/>
    <w:rsid w:val="00B87118"/>
    <w:rsid w:val="00B87A42"/>
    <w:rsid w:val="00B87BAC"/>
    <w:rsid w:val="00B87DEA"/>
    <w:rsid w:val="00B87E8F"/>
    <w:rsid w:val="00B90005"/>
    <w:rsid w:val="00B90046"/>
    <w:rsid w:val="00B90220"/>
    <w:rsid w:val="00B90569"/>
    <w:rsid w:val="00B9077D"/>
    <w:rsid w:val="00B9086A"/>
    <w:rsid w:val="00B90953"/>
    <w:rsid w:val="00B90967"/>
    <w:rsid w:val="00B90E7C"/>
    <w:rsid w:val="00B90FC5"/>
    <w:rsid w:val="00B91029"/>
    <w:rsid w:val="00B91521"/>
    <w:rsid w:val="00B91547"/>
    <w:rsid w:val="00B916B2"/>
    <w:rsid w:val="00B916C5"/>
    <w:rsid w:val="00B918D5"/>
    <w:rsid w:val="00B91D26"/>
    <w:rsid w:val="00B9239A"/>
    <w:rsid w:val="00B924A3"/>
    <w:rsid w:val="00B924B4"/>
    <w:rsid w:val="00B92733"/>
    <w:rsid w:val="00B928E2"/>
    <w:rsid w:val="00B92905"/>
    <w:rsid w:val="00B92F1D"/>
    <w:rsid w:val="00B93057"/>
    <w:rsid w:val="00B931F8"/>
    <w:rsid w:val="00B9346B"/>
    <w:rsid w:val="00B935D9"/>
    <w:rsid w:val="00B93675"/>
    <w:rsid w:val="00B93CBD"/>
    <w:rsid w:val="00B93EA7"/>
    <w:rsid w:val="00B93F95"/>
    <w:rsid w:val="00B94008"/>
    <w:rsid w:val="00B94327"/>
    <w:rsid w:val="00B94407"/>
    <w:rsid w:val="00B9440D"/>
    <w:rsid w:val="00B9444A"/>
    <w:rsid w:val="00B9462B"/>
    <w:rsid w:val="00B948B0"/>
    <w:rsid w:val="00B94993"/>
    <w:rsid w:val="00B94D04"/>
    <w:rsid w:val="00B94F82"/>
    <w:rsid w:val="00B95340"/>
    <w:rsid w:val="00B9549F"/>
    <w:rsid w:val="00B95506"/>
    <w:rsid w:val="00B955F9"/>
    <w:rsid w:val="00B959EC"/>
    <w:rsid w:val="00B95A03"/>
    <w:rsid w:val="00B95B95"/>
    <w:rsid w:val="00B95BAD"/>
    <w:rsid w:val="00B95CD2"/>
    <w:rsid w:val="00B95D26"/>
    <w:rsid w:val="00B95D8D"/>
    <w:rsid w:val="00B95E7E"/>
    <w:rsid w:val="00B960C2"/>
    <w:rsid w:val="00B962CD"/>
    <w:rsid w:val="00B9633E"/>
    <w:rsid w:val="00B96567"/>
    <w:rsid w:val="00B965A2"/>
    <w:rsid w:val="00B966DB"/>
    <w:rsid w:val="00B9677B"/>
    <w:rsid w:val="00B967B0"/>
    <w:rsid w:val="00B96B4D"/>
    <w:rsid w:val="00B96C96"/>
    <w:rsid w:val="00B96D94"/>
    <w:rsid w:val="00B9718A"/>
    <w:rsid w:val="00B9725C"/>
    <w:rsid w:val="00B9768A"/>
    <w:rsid w:val="00B97732"/>
    <w:rsid w:val="00B9773D"/>
    <w:rsid w:val="00B9794A"/>
    <w:rsid w:val="00B97AFD"/>
    <w:rsid w:val="00B97B87"/>
    <w:rsid w:val="00B97BD3"/>
    <w:rsid w:val="00B97CD1"/>
    <w:rsid w:val="00B97D20"/>
    <w:rsid w:val="00BA0088"/>
    <w:rsid w:val="00BA0118"/>
    <w:rsid w:val="00BA01EB"/>
    <w:rsid w:val="00BA02C6"/>
    <w:rsid w:val="00BA068C"/>
    <w:rsid w:val="00BA075C"/>
    <w:rsid w:val="00BA0B11"/>
    <w:rsid w:val="00BA0B49"/>
    <w:rsid w:val="00BA0F1E"/>
    <w:rsid w:val="00BA10A6"/>
    <w:rsid w:val="00BA15E4"/>
    <w:rsid w:val="00BA1777"/>
    <w:rsid w:val="00BA1CE0"/>
    <w:rsid w:val="00BA1DE5"/>
    <w:rsid w:val="00BA1EC7"/>
    <w:rsid w:val="00BA2375"/>
    <w:rsid w:val="00BA252B"/>
    <w:rsid w:val="00BA26B5"/>
    <w:rsid w:val="00BA2782"/>
    <w:rsid w:val="00BA299B"/>
    <w:rsid w:val="00BA2A47"/>
    <w:rsid w:val="00BA2C44"/>
    <w:rsid w:val="00BA2CA5"/>
    <w:rsid w:val="00BA2CEA"/>
    <w:rsid w:val="00BA2EFF"/>
    <w:rsid w:val="00BA314D"/>
    <w:rsid w:val="00BA3231"/>
    <w:rsid w:val="00BA3B07"/>
    <w:rsid w:val="00BA3D6F"/>
    <w:rsid w:val="00BA3D78"/>
    <w:rsid w:val="00BA3D85"/>
    <w:rsid w:val="00BA3FF2"/>
    <w:rsid w:val="00BA432E"/>
    <w:rsid w:val="00BA448E"/>
    <w:rsid w:val="00BA4736"/>
    <w:rsid w:val="00BA497D"/>
    <w:rsid w:val="00BA4D2B"/>
    <w:rsid w:val="00BA4DC8"/>
    <w:rsid w:val="00BA4E1F"/>
    <w:rsid w:val="00BA4F2D"/>
    <w:rsid w:val="00BA4F48"/>
    <w:rsid w:val="00BA508E"/>
    <w:rsid w:val="00BA5240"/>
    <w:rsid w:val="00BA5655"/>
    <w:rsid w:val="00BA578C"/>
    <w:rsid w:val="00BA6034"/>
    <w:rsid w:val="00BA61AE"/>
    <w:rsid w:val="00BA6504"/>
    <w:rsid w:val="00BA65D3"/>
    <w:rsid w:val="00BA65DC"/>
    <w:rsid w:val="00BA6A01"/>
    <w:rsid w:val="00BA6CCD"/>
    <w:rsid w:val="00BA6CD3"/>
    <w:rsid w:val="00BA6D29"/>
    <w:rsid w:val="00BA72FE"/>
    <w:rsid w:val="00BA7302"/>
    <w:rsid w:val="00BA748C"/>
    <w:rsid w:val="00BA78BB"/>
    <w:rsid w:val="00BA7A3E"/>
    <w:rsid w:val="00BA7C82"/>
    <w:rsid w:val="00BB0248"/>
    <w:rsid w:val="00BB0308"/>
    <w:rsid w:val="00BB05C0"/>
    <w:rsid w:val="00BB06B6"/>
    <w:rsid w:val="00BB08A5"/>
    <w:rsid w:val="00BB0BAC"/>
    <w:rsid w:val="00BB106A"/>
    <w:rsid w:val="00BB1131"/>
    <w:rsid w:val="00BB1381"/>
    <w:rsid w:val="00BB1704"/>
    <w:rsid w:val="00BB180A"/>
    <w:rsid w:val="00BB19F4"/>
    <w:rsid w:val="00BB1A15"/>
    <w:rsid w:val="00BB1A4E"/>
    <w:rsid w:val="00BB1AC2"/>
    <w:rsid w:val="00BB1B1E"/>
    <w:rsid w:val="00BB1C11"/>
    <w:rsid w:val="00BB1F78"/>
    <w:rsid w:val="00BB209D"/>
    <w:rsid w:val="00BB236C"/>
    <w:rsid w:val="00BB24DD"/>
    <w:rsid w:val="00BB29EA"/>
    <w:rsid w:val="00BB2A02"/>
    <w:rsid w:val="00BB2A2B"/>
    <w:rsid w:val="00BB2CBB"/>
    <w:rsid w:val="00BB2E34"/>
    <w:rsid w:val="00BB2EB0"/>
    <w:rsid w:val="00BB2EB3"/>
    <w:rsid w:val="00BB31C7"/>
    <w:rsid w:val="00BB332D"/>
    <w:rsid w:val="00BB33FA"/>
    <w:rsid w:val="00BB375F"/>
    <w:rsid w:val="00BB3869"/>
    <w:rsid w:val="00BB3F36"/>
    <w:rsid w:val="00BB3F80"/>
    <w:rsid w:val="00BB474A"/>
    <w:rsid w:val="00BB4A75"/>
    <w:rsid w:val="00BB4F82"/>
    <w:rsid w:val="00BB5025"/>
    <w:rsid w:val="00BB50A1"/>
    <w:rsid w:val="00BB53B8"/>
    <w:rsid w:val="00BB541E"/>
    <w:rsid w:val="00BB5495"/>
    <w:rsid w:val="00BB56BC"/>
    <w:rsid w:val="00BB5AF6"/>
    <w:rsid w:val="00BB5AFE"/>
    <w:rsid w:val="00BB6439"/>
    <w:rsid w:val="00BB65E5"/>
    <w:rsid w:val="00BB6777"/>
    <w:rsid w:val="00BB67A4"/>
    <w:rsid w:val="00BB6995"/>
    <w:rsid w:val="00BB6A23"/>
    <w:rsid w:val="00BB6C08"/>
    <w:rsid w:val="00BB6D9D"/>
    <w:rsid w:val="00BB6E48"/>
    <w:rsid w:val="00BB7131"/>
    <w:rsid w:val="00BB732C"/>
    <w:rsid w:val="00BB73C5"/>
    <w:rsid w:val="00BB76F0"/>
    <w:rsid w:val="00BB785D"/>
    <w:rsid w:val="00BB7AAB"/>
    <w:rsid w:val="00BB7CF9"/>
    <w:rsid w:val="00BB7F55"/>
    <w:rsid w:val="00BB7FCE"/>
    <w:rsid w:val="00BC00EF"/>
    <w:rsid w:val="00BC03F7"/>
    <w:rsid w:val="00BC07BF"/>
    <w:rsid w:val="00BC09C0"/>
    <w:rsid w:val="00BC0B82"/>
    <w:rsid w:val="00BC0FDD"/>
    <w:rsid w:val="00BC1593"/>
    <w:rsid w:val="00BC1655"/>
    <w:rsid w:val="00BC1670"/>
    <w:rsid w:val="00BC188F"/>
    <w:rsid w:val="00BC1A54"/>
    <w:rsid w:val="00BC1A56"/>
    <w:rsid w:val="00BC1BB4"/>
    <w:rsid w:val="00BC1C07"/>
    <w:rsid w:val="00BC1DE1"/>
    <w:rsid w:val="00BC2127"/>
    <w:rsid w:val="00BC2143"/>
    <w:rsid w:val="00BC214A"/>
    <w:rsid w:val="00BC217E"/>
    <w:rsid w:val="00BC2194"/>
    <w:rsid w:val="00BC21D9"/>
    <w:rsid w:val="00BC234E"/>
    <w:rsid w:val="00BC247D"/>
    <w:rsid w:val="00BC2512"/>
    <w:rsid w:val="00BC2996"/>
    <w:rsid w:val="00BC2BFA"/>
    <w:rsid w:val="00BC2C89"/>
    <w:rsid w:val="00BC2F2D"/>
    <w:rsid w:val="00BC37FE"/>
    <w:rsid w:val="00BC386C"/>
    <w:rsid w:val="00BC39C1"/>
    <w:rsid w:val="00BC3C41"/>
    <w:rsid w:val="00BC3CA8"/>
    <w:rsid w:val="00BC3F4F"/>
    <w:rsid w:val="00BC41E8"/>
    <w:rsid w:val="00BC43D1"/>
    <w:rsid w:val="00BC4910"/>
    <w:rsid w:val="00BC4AFE"/>
    <w:rsid w:val="00BC4C7F"/>
    <w:rsid w:val="00BC4D49"/>
    <w:rsid w:val="00BC4D97"/>
    <w:rsid w:val="00BC501D"/>
    <w:rsid w:val="00BC5043"/>
    <w:rsid w:val="00BC504A"/>
    <w:rsid w:val="00BC5185"/>
    <w:rsid w:val="00BC538A"/>
    <w:rsid w:val="00BC5464"/>
    <w:rsid w:val="00BC54B5"/>
    <w:rsid w:val="00BC55A1"/>
    <w:rsid w:val="00BC57B4"/>
    <w:rsid w:val="00BC57C3"/>
    <w:rsid w:val="00BC5F8E"/>
    <w:rsid w:val="00BC6105"/>
    <w:rsid w:val="00BC63A4"/>
    <w:rsid w:val="00BC641D"/>
    <w:rsid w:val="00BC652F"/>
    <w:rsid w:val="00BC65FF"/>
    <w:rsid w:val="00BC6AFE"/>
    <w:rsid w:val="00BC7003"/>
    <w:rsid w:val="00BC713A"/>
    <w:rsid w:val="00BC71CD"/>
    <w:rsid w:val="00BC772E"/>
    <w:rsid w:val="00BC7896"/>
    <w:rsid w:val="00BC7D01"/>
    <w:rsid w:val="00BC7DFE"/>
    <w:rsid w:val="00BC7FCE"/>
    <w:rsid w:val="00BD003E"/>
    <w:rsid w:val="00BD0192"/>
    <w:rsid w:val="00BD0198"/>
    <w:rsid w:val="00BD08D7"/>
    <w:rsid w:val="00BD0D7B"/>
    <w:rsid w:val="00BD0F31"/>
    <w:rsid w:val="00BD0F5C"/>
    <w:rsid w:val="00BD119F"/>
    <w:rsid w:val="00BD1337"/>
    <w:rsid w:val="00BD17CA"/>
    <w:rsid w:val="00BD17DB"/>
    <w:rsid w:val="00BD1887"/>
    <w:rsid w:val="00BD199A"/>
    <w:rsid w:val="00BD19A0"/>
    <w:rsid w:val="00BD1B81"/>
    <w:rsid w:val="00BD2095"/>
    <w:rsid w:val="00BD2192"/>
    <w:rsid w:val="00BD229B"/>
    <w:rsid w:val="00BD258D"/>
    <w:rsid w:val="00BD265A"/>
    <w:rsid w:val="00BD2B20"/>
    <w:rsid w:val="00BD2B3A"/>
    <w:rsid w:val="00BD2C04"/>
    <w:rsid w:val="00BD2D85"/>
    <w:rsid w:val="00BD2E14"/>
    <w:rsid w:val="00BD2E26"/>
    <w:rsid w:val="00BD31A0"/>
    <w:rsid w:val="00BD33EC"/>
    <w:rsid w:val="00BD3586"/>
    <w:rsid w:val="00BD3818"/>
    <w:rsid w:val="00BD397B"/>
    <w:rsid w:val="00BD3B0A"/>
    <w:rsid w:val="00BD3B3E"/>
    <w:rsid w:val="00BD3C14"/>
    <w:rsid w:val="00BD3C9D"/>
    <w:rsid w:val="00BD3E0C"/>
    <w:rsid w:val="00BD3F39"/>
    <w:rsid w:val="00BD4066"/>
    <w:rsid w:val="00BD41FE"/>
    <w:rsid w:val="00BD4379"/>
    <w:rsid w:val="00BD4561"/>
    <w:rsid w:val="00BD45D3"/>
    <w:rsid w:val="00BD4639"/>
    <w:rsid w:val="00BD47A1"/>
    <w:rsid w:val="00BD4873"/>
    <w:rsid w:val="00BD48F8"/>
    <w:rsid w:val="00BD4A7D"/>
    <w:rsid w:val="00BD4A7F"/>
    <w:rsid w:val="00BD4BA8"/>
    <w:rsid w:val="00BD54C6"/>
    <w:rsid w:val="00BD5784"/>
    <w:rsid w:val="00BD581C"/>
    <w:rsid w:val="00BD5C45"/>
    <w:rsid w:val="00BD6111"/>
    <w:rsid w:val="00BD61AE"/>
    <w:rsid w:val="00BD64F4"/>
    <w:rsid w:val="00BD6718"/>
    <w:rsid w:val="00BD68DE"/>
    <w:rsid w:val="00BD6BBD"/>
    <w:rsid w:val="00BD6C0E"/>
    <w:rsid w:val="00BD6F4F"/>
    <w:rsid w:val="00BD6FE7"/>
    <w:rsid w:val="00BD73B0"/>
    <w:rsid w:val="00BD73D8"/>
    <w:rsid w:val="00BD73E8"/>
    <w:rsid w:val="00BD762D"/>
    <w:rsid w:val="00BD7B99"/>
    <w:rsid w:val="00BD7FC1"/>
    <w:rsid w:val="00BE0018"/>
    <w:rsid w:val="00BE07E2"/>
    <w:rsid w:val="00BE0A29"/>
    <w:rsid w:val="00BE0B23"/>
    <w:rsid w:val="00BE0BBA"/>
    <w:rsid w:val="00BE0D3D"/>
    <w:rsid w:val="00BE10BE"/>
    <w:rsid w:val="00BE1714"/>
    <w:rsid w:val="00BE19B5"/>
    <w:rsid w:val="00BE19C4"/>
    <w:rsid w:val="00BE1F0A"/>
    <w:rsid w:val="00BE2075"/>
    <w:rsid w:val="00BE211C"/>
    <w:rsid w:val="00BE21DF"/>
    <w:rsid w:val="00BE21E8"/>
    <w:rsid w:val="00BE2294"/>
    <w:rsid w:val="00BE23DD"/>
    <w:rsid w:val="00BE245B"/>
    <w:rsid w:val="00BE25D9"/>
    <w:rsid w:val="00BE25E9"/>
    <w:rsid w:val="00BE297D"/>
    <w:rsid w:val="00BE2D6B"/>
    <w:rsid w:val="00BE2E10"/>
    <w:rsid w:val="00BE2EC3"/>
    <w:rsid w:val="00BE3022"/>
    <w:rsid w:val="00BE3301"/>
    <w:rsid w:val="00BE3307"/>
    <w:rsid w:val="00BE335B"/>
    <w:rsid w:val="00BE33E7"/>
    <w:rsid w:val="00BE34CD"/>
    <w:rsid w:val="00BE35EA"/>
    <w:rsid w:val="00BE378E"/>
    <w:rsid w:val="00BE3882"/>
    <w:rsid w:val="00BE38A0"/>
    <w:rsid w:val="00BE3C28"/>
    <w:rsid w:val="00BE3D40"/>
    <w:rsid w:val="00BE3E77"/>
    <w:rsid w:val="00BE3FDC"/>
    <w:rsid w:val="00BE4843"/>
    <w:rsid w:val="00BE49C0"/>
    <w:rsid w:val="00BE4A71"/>
    <w:rsid w:val="00BE4B51"/>
    <w:rsid w:val="00BE4BE5"/>
    <w:rsid w:val="00BE4E85"/>
    <w:rsid w:val="00BE4FF9"/>
    <w:rsid w:val="00BE505E"/>
    <w:rsid w:val="00BE58BB"/>
    <w:rsid w:val="00BE5B47"/>
    <w:rsid w:val="00BE5FAD"/>
    <w:rsid w:val="00BE5FFC"/>
    <w:rsid w:val="00BE600D"/>
    <w:rsid w:val="00BE62CE"/>
    <w:rsid w:val="00BE63FE"/>
    <w:rsid w:val="00BE67C9"/>
    <w:rsid w:val="00BE6AE4"/>
    <w:rsid w:val="00BE6C96"/>
    <w:rsid w:val="00BE6EE5"/>
    <w:rsid w:val="00BE730F"/>
    <w:rsid w:val="00BE7492"/>
    <w:rsid w:val="00BE77A7"/>
    <w:rsid w:val="00BE77F0"/>
    <w:rsid w:val="00BE7AF3"/>
    <w:rsid w:val="00BE7BA8"/>
    <w:rsid w:val="00BE7C6C"/>
    <w:rsid w:val="00BE7F18"/>
    <w:rsid w:val="00BF0497"/>
    <w:rsid w:val="00BF054E"/>
    <w:rsid w:val="00BF0A37"/>
    <w:rsid w:val="00BF0AF3"/>
    <w:rsid w:val="00BF0B4D"/>
    <w:rsid w:val="00BF0BAF"/>
    <w:rsid w:val="00BF0C64"/>
    <w:rsid w:val="00BF0CD3"/>
    <w:rsid w:val="00BF1076"/>
    <w:rsid w:val="00BF13F2"/>
    <w:rsid w:val="00BF16F4"/>
    <w:rsid w:val="00BF17C1"/>
    <w:rsid w:val="00BF1800"/>
    <w:rsid w:val="00BF1A00"/>
    <w:rsid w:val="00BF1C94"/>
    <w:rsid w:val="00BF1C99"/>
    <w:rsid w:val="00BF1E70"/>
    <w:rsid w:val="00BF1FEB"/>
    <w:rsid w:val="00BF2274"/>
    <w:rsid w:val="00BF22AE"/>
    <w:rsid w:val="00BF25F4"/>
    <w:rsid w:val="00BF2612"/>
    <w:rsid w:val="00BF2714"/>
    <w:rsid w:val="00BF2964"/>
    <w:rsid w:val="00BF2F48"/>
    <w:rsid w:val="00BF30F6"/>
    <w:rsid w:val="00BF3519"/>
    <w:rsid w:val="00BF3544"/>
    <w:rsid w:val="00BF3586"/>
    <w:rsid w:val="00BF372F"/>
    <w:rsid w:val="00BF38F5"/>
    <w:rsid w:val="00BF39FC"/>
    <w:rsid w:val="00BF3A56"/>
    <w:rsid w:val="00BF3D2B"/>
    <w:rsid w:val="00BF3E15"/>
    <w:rsid w:val="00BF3F72"/>
    <w:rsid w:val="00BF4088"/>
    <w:rsid w:val="00BF4104"/>
    <w:rsid w:val="00BF4183"/>
    <w:rsid w:val="00BF41E6"/>
    <w:rsid w:val="00BF432A"/>
    <w:rsid w:val="00BF43A0"/>
    <w:rsid w:val="00BF46EC"/>
    <w:rsid w:val="00BF4780"/>
    <w:rsid w:val="00BF481D"/>
    <w:rsid w:val="00BF4849"/>
    <w:rsid w:val="00BF4A76"/>
    <w:rsid w:val="00BF4C0D"/>
    <w:rsid w:val="00BF4D81"/>
    <w:rsid w:val="00BF4D9B"/>
    <w:rsid w:val="00BF5158"/>
    <w:rsid w:val="00BF53A6"/>
    <w:rsid w:val="00BF54AC"/>
    <w:rsid w:val="00BF54D3"/>
    <w:rsid w:val="00BF54E2"/>
    <w:rsid w:val="00BF5637"/>
    <w:rsid w:val="00BF5BE3"/>
    <w:rsid w:val="00BF5DB0"/>
    <w:rsid w:val="00BF5EC9"/>
    <w:rsid w:val="00BF5F4D"/>
    <w:rsid w:val="00BF62B5"/>
    <w:rsid w:val="00BF6789"/>
    <w:rsid w:val="00BF6BA0"/>
    <w:rsid w:val="00BF6D4D"/>
    <w:rsid w:val="00BF6DDA"/>
    <w:rsid w:val="00BF732F"/>
    <w:rsid w:val="00BF75EA"/>
    <w:rsid w:val="00BF76A3"/>
    <w:rsid w:val="00BF76CA"/>
    <w:rsid w:val="00BF7794"/>
    <w:rsid w:val="00BF7DEF"/>
    <w:rsid w:val="00BF7E62"/>
    <w:rsid w:val="00C0014A"/>
    <w:rsid w:val="00C00341"/>
    <w:rsid w:val="00C00598"/>
    <w:rsid w:val="00C006B1"/>
    <w:rsid w:val="00C006C1"/>
    <w:rsid w:val="00C0098B"/>
    <w:rsid w:val="00C00BA0"/>
    <w:rsid w:val="00C00BB4"/>
    <w:rsid w:val="00C00E3A"/>
    <w:rsid w:val="00C00FCD"/>
    <w:rsid w:val="00C00FDA"/>
    <w:rsid w:val="00C015F4"/>
    <w:rsid w:val="00C0181C"/>
    <w:rsid w:val="00C01EEB"/>
    <w:rsid w:val="00C0241D"/>
    <w:rsid w:val="00C0255A"/>
    <w:rsid w:val="00C029F6"/>
    <w:rsid w:val="00C02AF6"/>
    <w:rsid w:val="00C02B3B"/>
    <w:rsid w:val="00C02DAD"/>
    <w:rsid w:val="00C0320F"/>
    <w:rsid w:val="00C03298"/>
    <w:rsid w:val="00C037CC"/>
    <w:rsid w:val="00C039CB"/>
    <w:rsid w:val="00C039FF"/>
    <w:rsid w:val="00C03A05"/>
    <w:rsid w:val="00C03A09"/>
    <w:rsid w:val="00C03C16"/>
    <w:rsid w:val="00C03EB1"/>
    <w:rsid w:val="00C03F99"/>
    <w:rsid w:val="00C042CA"/>
    <w:rsid w:val="00C044DD"/>
    <w:rsid w:val="00C04816"/>
    <w:rsid w:val="00C04C00"/>
    <w:rsid w:val="00C04E8C"/>
    <w:rsid w:val="00C04F46"/>
    <w:rsid w:val="00C04FCC"/>
    <w:rsid w:val="00C051A2"/>
    <w:rsid w:val="00C051A8"/>
    <w:rsid w:val="00C05667"/>
    <w:rsid w:val="00C056E2"/>
    <w:rsid w:val="00C05834"/>
    <w:rsid w:val="00C0592B"/>
    <w:rsid w:val="00C05BB0"/>
    <w:rsid w:val="00C05EDD"/>
    <w:rsid w:val="00C06096"/>
    <w:rsid w:val="00C060F4"/>
    <w:rsid w:val="00C061A6"/>
    <w:rsid w:val="00C06285"/>
    <w:rsid w:val="00C069A6"/>
    <w:rsid w:val="00C06DA4"/>
    <w:rsid w:val="00C06E3D"/>
    <w:rsid w:val="00C07018"/>
    <w:rsid w:val="00C0731E"/>
    <w:rsid w:val="00C07455"/>
    <w:rsid w:val="00C07458"/>
    <w:rsid w:val="00C07606"/>
    <w:rsid w:val="00C07648"/>
    <w:rsid w:val="00C07667"/>
    <w:rsid w:val="00C07675"/>
    <w:rsid w:val="00C0780E"/>
    <w:rsid w:val="00C07C9A"/>
    <w:rsid w:val="00C07F03"/>
    <w:rsid w:val="00C102CD"/>
    <w:rsid w:val="00C1037C"/>
    <w:rsid w:val="00C10958"/>
    <w:rsid w:val="00C10BCC"/>
    <w:rsid w:val="00C10E16"/>
    <w:rsid w:val="00C10FD8"/>
    <w:rsid w:val="00C11109"/>
    <w:rsid w:val="00C1114C"/>
    <w:rsid w:val="00C1174E"/>
    <w:rsid w:val="00C11A63"/>
    <w:rsid w:val="00C11ADC"/>
    <w:rsid w:val="00C11F19"/>
    <w:rsid w:val="00C12465"/>
    <w:rsid w:val="00C12837"/>
    <w:rsid w:val="00C12970"/>
    <w:rsid w:val="00C12EC6"/>
    <w:rsid w:val="00C1306C"/>
    <w:rsid w:val="00C13140"/>
    <w:rsid w:val="00C131AF"/>
    <w:rsid w:val="00C13343"/>
    <w:rsid w:val="00C13396"/>
    <w:rsid w:val="00C133DC"/>
    <w:rsid w:val="00C135FF"/>
    <w:rsid w:val="00C13790"/>
    <w:rsid w:val="00C13FCD"/>
    <w:rsid w:val="00C141A7"/>
    <w:rsid w:val="00C142C4"/>
    <w:rsid w:val="00C144CE"/>
    <w:rsid w:val="00C14CD9"/>
    <w:rsid w:val="00C14F4B"/>
    <w:rsid w:val="00C1576B"/>
    <w:rsid w:val="00C15A1A"/>
    <w:rsid w:val="00C16108"/>
    <w:rsid w:val="00C16792"/>
    <w:rsid w:val="00C16BF5"/>
    <w:rsid w:val="00C16D03"/>
    <w:rsid w:val="00C16DE7"/>
    <w:rsid w:val="00C16F5A"/>
    <w:rsid w:val="00C16FCB"/>
    <w:rsid w:val="00C17048"/>
    <w:rsid w:val="00C17306"/>
    <w:rsid w:val="00C1768C"/>
    <w:rsid w:val="00C17952"/>
    <w:rsid w:val="00C17A20"/>
    <w:rsid w:val="00C17A31"/>
    <w:rsid w:val="00C17FA6"/>
    <w:rsid w:val="00C201AE"/>
    <w:rsid w:val="00C2060B"/>
    <w:rsid w:val="00C206CE"/>
    <w:rsid w:val="00C208F5"/>
    <w:rsid w:val="00C20976"/>
    <w:rsid w:val="00C20A5F"/>
    <w:rsid w:val="00C20B2F"/>
    <w:rsid w:val="00C20B87"/>
    <w:rsid w:val="00C20B8F"/>
    <w:rsid w:val="00C20B92"/>
    <w:rsid w:val="00C20CA7"/>
    <w:rsid w:val="00C20FE9"/>
    <w:rsid w:val="00C21298"/>
    <w:rsid w:val="00C21758"/>
    <w:rsid w:val="00C2187D"/>
    <w:rsid w:val="00C21900"/>
    <w:rsid w:val="00C21CC1"/>
    <w:rsid w:val="00C21CC3"/>
    <w:rsid w:val="00C220CA"/>
    <w:rsid w:val="00C2219A"/>
    <w:rsid w:val="00C2240C"/>
    <w:rsid w:val="00C225AA"/>
    <w:rsid w:val="00C2267C"/>
    <w:rsid w:val="00C22863"/>
    <w:rsid w:val="00C2293C"/>
    <w:rsid w:val="00C22BF1"/>
    <w:rsid w:val="00C22D24"/>
    <w:rsid w:val="00C22EE5"/>
    <w:rsid w:val="00C22F35"/>
    <w:rsid w:val="00C23138"/>
    <w:rsid w:val="00C23286"/>
    <w:rsid w:val="00C23375"/>
    <w:rsid w:val="00C23C34"/>
    <w:rsid w:val="00C23D85"/>
    <w:rsid w:val="00C23E1C"/>
    <w:rsid w:val="00C23E3A"/>
    <w:rsid w:val="00C2429A"/>
    <w:rsid w:val="00C24492"/>
    <w:rsid w:val="00C24BBB"/>
    <w:rsid w:val="00C2559C"/>
    <w:rsid w:val="00C2563C"/>
    <w:rsid w:val="00C256A1"/>
    <w:rsid w:val="00C256DD"/>
    <w:rsid w:val="00C25BEF"/>
    <w:rsid w:val="00C25D5A"/>
    <w:rsid w:val="00C26021"/>
    <w:rsid w:val="00C263A4"/>
    <w:rsid w:val="00C2681E"/>
    <w:rsid w:val="00C26958"/>
    <w:rsid w:val="00C26BF5"/>
    <w:rsid w:val="00C26C07"/>
    <w:rsid w:val="00C26CA4"/>
    <w:rsid w:val="00C26CAC"/>
    <w:rsid w:val="00C26D6A"/>
    <w:rsid w:val="00C27140"/>
    <w:rsid w:val="00C2725C"/>
    <w:rsid w:val="00C27298"/>
    <w:rsid w:val="00C272D7"/>
    <w:rsid w:val="00C2739C"/>
    <w:rsid w:val="00C2754C"/>
    <w:rsid w:val="00C27C4E"/>
    <w:rsid w:val="00C27D65"/>
    <w:rsid w:val="00C3000C"/>
    <w:rsid w:val="00C30079"/>
    <w:rsid w:val="00C30380"/>
    <w:rsid w:val="00C30388"/>
    <w:rsid w:val="00C3051A"/>
    <w:rsid w:val="00C3055F"/>
    <w:rsid w:val="00C305FD"/>
    <w:rsid w:val="00C307C9"/>
    <w:rsid w:val="00C318BF"/>
    <w:rsid w:val="00C31D03"/>
    <w:rsid w:val="00C322E2"/>
    <w:rsid w:val="00C325F8"/>
    <w:rsid w:val="00C32736"/>
    <w:rsid w:val="00C3280D"/>
    <w:rsid w:val="00C328AA"/>
    <w:rsid w:val="00C32D7E"/>
    <w:rsid w:val="00C33285"/>
    <w:rsid w:val="00C3336F"/>
    <w:rsid w:val="00C335D3"/>
    <w:rsid w:val="00C33C15"/>
    <w:rsid w:val="00C33D43"/>
    <w:rsid w:val="00C33DC5"/>
    <w:rsid w:val="00C34058"/>
    <w:rsid w:val="00C34164"/>
    <w:rsid w:val="00C348C0"/>
    <w:rsid w:val="00C34BA1"/>
    <w:rsid w:val="00C34ED7"/>
    <w:rsid w:val="00C3505A"/>
    <w:rsid w:val="00C35137"/>
    <w:rsid w:val="00C35A5E"/>
    <w:rsid w:val="00C35B91"/>
    <w:rsid w:val="00C35C83"/>
    <w:rsid w:val="00C35C86"/>
    <w:rsid w:val="00C35CD7"/>
    <w:rsid w:val="00C35D77"/>
    <w:rsid w:val="00C35DC9"/>
    <w:rsid w:val="00C35E04"/>
    <w:rsid w:val="00C36007"/>
    <w:rsid w:val="00C36174"/>
    <w:rsid w:val="00C36184"/>
    <w:rsid w:val="00C364ED"/>
    <w:rsid w:val="00C36C39"/>
    <w:rsid w:val="00C36C82"/>
    <w:rsid w:val="00C36D1F"/>
    <w:rsid w:val="00C36E89"/>
    <w:rsid w:val="00C36F4A"/>
    <w:rsid w:val="00C36F8D"/>
    <w:rsid w:val="00C37390"/>
    <w:rsid w:val="00C3786A"/>
    <w:rsid w:val="00C37937"/>
    <w:rsid w:val="00C37C0B"/>
    <w:rsid w:val="00C37CB9"/>
    <w:rsid w:val="00C37E19"/>
    <w:rsid w:val="00C37E86"/>
    <w:rsid w:val="00C400A2"/>
    <w:rsid w:val="00C409C6"/>
    <w:rsid w:val="00C40F99"/>
    <w:rsid w:val="00C40FDD"/>
    <w:rsid w:val="00C4121A"/>
    <w:rsid w:val="00C41370"/>
    <w:rsid w:val="00C4171A"/>
    <w:rsid w:val="00C417EE"/>
    <w:rsid w:val="00C41A87"/>
    <w:rsid w:val="00C41B8B"/>
    <w:rsid w:val="00C41C53"/>
    <w:rsid w:val="00C41C54"/>
    <w:rsid w:val="00C41DA1"/>
    <w:rsid w:val="00C41DB3"/>
    <w:rsid w:val="00C41FFC"/>
    <w:rsid w:val="00C42029"/>
    <w:rsid w:val="00C420EC"/>
    <w:rsid w:val="00C421DF"/>
    <w:rsid w:val="00C421E5"/>
    <w:rsid w:val="00C42900"/>
    <w:rsid w:val="00C429DC"/>
    <w:rsid w:val="00C42C9B"/>
    <w:rsid w:val="00C42CF2"/>
    <w:rsid w:val="00C42E15"/>
    <w:rsid w:val="00C42E8D"/>
    <w:rsid w:val="00C42FAF"/>
    <w:rsid w:val="00C42FC2"/>
    <w:rsid w:val="00C42FE9"/>
    <w:rsid w:val="00C431B0"/>
    <w:rsid w:val="00C435B6"/>
    <w:rsid w:val="00C435EB"/>
    <w:rsid w:val="00C4392D"/>
    <w:rsid w:val="00C43A65"/>
    <w:rsid w:val="00C43AD0"/>
    <w:rsid w:val="00C441C9"/>
    <w:rsid w:val="00C44208"/>
    <w:rsid w:val="00C44768"/>
    <w:rsid w:val="00C44BD9"/>
    <w:rsid w:val="00C45221"/>
    <w:rsid w:val="00C45348"/>
    <w:rsid w:val="00C45808"/>
    <w:rsid w:val="00C458CF"/>
    <w:rsid w:val="00C45954"/>
    <w:rsid w:val="00C459E2"/>
    <w:rsid w:val="00C46142"/>
    <w:rsid w:val="00C464D3"/>
    <w:rsid w:val="00C467AE"/>
    <w:rsid w:val="00C46E2E"/>
    <w:rsid w:val="00C46FBD"/>
    <w:rsid w:val="00C46FFF"/>
    <w:rsid w:val="00C47828"/>
    <w:rsid w:val="00C47911"/>
    <w:rsid w:val="00C479D5"/>
    <w:rsid w:val="00C47D92"/>
    <w:rsid w:val="00C47ED3"/>
    <w:rsid w:val="00C47F90"/>
    <w:rsid w:val="00C50111"/>
    <w:rsid w:val="00C5017C"/>
    <w:rsid w:val="00C5021F"/>
    <w:rsid w:val="00C50270"/>
    <w:rsid w:val="00C502B5"/>
    <w:rsid w:val="00C5058E"/>
    <w:rsid w:val="00C50643"/>
    <w:rsid w:val="00C5095D"/>
    <w:rsid w:val="00C509A4"/>
    <w:rsid w:val="00C509C9"/>
    <w:rsid w:val="00C50AE1"/>
    <w:rsid w:val="00C5114C"/>
    <w:rsid w:val="00C512B1"/>
    <w:rsid w:val="00C51622"/>
    <w:rsid w:val="00C51712"/>
    <w:rsid w:val="00C5190F"/>
    <w:rsid w:val="00C51D34"/>
    <w:rsid w:val="00C5252C"/>
    <w:rsid w:val="00C52681"/>
    <w:rsid w:val="00C5282A"/>
    <w:rsid w:val="00C52A6A"/>
    <w:rsid w:val="00C52A9C"/>
    <w:rsid w:val="00C52BDB"/>
    <w:rsid w:val="00C52CCB"/>
    <w:rsid w:val="00C52D33"/>
    <w:rsid w:val="00C53155"/>
    <w:rsid w:val="00C531F1"/>
    <w:rsid w:val="00C532AC"/>
    <w:rsid w:val="00C53469"/>
    <w:rsid w:val="00C538BB"/>
    <w:rsid w:val="00C53969"/>
    <w:rsid w:val="00C53ACF"/>
    <w:rsid w:val="00C53C09"/>
    <w:rsid w:val="00C53EAF"/>
    <w:rsid w:val="00C53F06"/>
    <w:rsid w:val="00C53FA4"/>
    <w:rsid w:val="00C542E9"/>
    <w:rsid w:val="00C543F0"/>
    <w:rsid w:val="00C54763"/>
    <w:rsid w:val="00C549EF"/>
    <w:rsid w:val="00C54C7A"/>
    <w:rsid w:val="00C54D05"/>
    <w:rsid w:val="00C54D80"/>
    <w:rsid w:val="00C551ED"/>
    <w:rsid w:val="00C55570"/>
    <w:rsid w:val="00C556F3"/>
    <w:rsid w:val="00C55878"/>
    <w:rsid w:val="00C55888"/>
    <w:rsid w:val="00C55C07"/>
    <w:rsid w:val="00C56417"/>
    <w:rsid w:val="00C5645B"/>
    <w:rsid w:val="00C56668"/>
    <w:rsid w:val="00C56949"/>
    <w:rsid w:val="00C56A63"/>
    <w:rsid w:val="00C56D37"/>
    <w:rsid w:val="00C56E3C"/>
    <w:rsid w:val="00C56F8B"/>
    <w:rsid w:val="00C5704D"/>
    <w:rsid w:val="00C5717C"/>
    <w:rsid w:val="00C57290"/>
    <w:rsid w:val="00C572DE"/>
    <w:rsid w:val="00C57353"/>
    <w:rsid w:val="00C57542"/>
    <w:rsid w:val="00C5763F"/>
    <w:rsid w:val="00C57ABC"/>
    <w:rsid w:val="00C57C92"/>
    <w:rsid w:val="00C57DB9"/>
    <w:rsid w:val="00C57F0E"/>
    <w:rsid w:val="00C57F12"/>
    <w:rsid w:val="00C57F90"/>
    <w:rsid w:val="00C600D1"/>
    <w:rsid w:val="00C6032B"/>
    <w:rsid w:val="00C6037F"/>
    <w:rsid w:val="00C605EF"/>
    <w:rsid w:val="00C607C7"/>
    <w:rsid w:val="00C607D7"/>
    <w:rsid w:val="00C609A1"/>
    <w:rsid w:val="00C60D1B"/>
    <w:rsid w:val="00C61402"/>
    <w:rsid w:val="00C61752"/>
    <w:rsid w:val="00C61AA8"/>
    <w:rsid w:val="00C61B97"/>
    <w:rsid w:val="00C61F00"/>
    <w:rsid w:val="00C6219B"/>
    <w:rsid w:val="00C62297"/>
    <w:rsid w:val="00C624CE"/>
    <w:rsid w:val="00C62515"/>
    <w:rsid w:val="00C629D3"/>
    <w:rsid w:val="00C62C0B"/>
    <w:rsid w:val="00C6329C"/>
    <w:rsid w:val="00C6333E"/>
    <w:rsid w:val="00C63362"/>
    <w:rsid w:val="00C63788"/>
    <w:rsid w:val="00C6387C"/>
    <w:rsid w:val="00C63AE4"/>
    <w:rsid w:val="00C63E11"/>
    <w:rsid w:val="00C63F28"/>
    <w:rsid w:val="00C644E3"/>
    <w:rsid w:val="00C645AE"/>
    <w:rsid w:val="00C64642"/>
    <w:rsid w:val="00C6474D"/>
    <w:rsid w:val="00C64982"/>
    <w:rsid w:val="00C64AE2"/>
    <w:rsid w:val="00C64B5D"/>
    <w:rsid w:val="00C64F86"/>
    <w:rsid w:val="00C65055"/>
    <w:rsid w:val="00C65343"/>
    <w:rsid w:val="00C65360"/>
    <w:rsid w:val="00C65523"/>
    <w:rsid w:val="00C6587B"/>
    <w:rsid w:val="00C65A73"/>
    <w:rsid w:val="00C65C17"/>
    <w:rsid w:val="00C65CBF"/>
    <w:rsid w:val="00C65EAC"/>
    <w:rsid w:val="00C65EBF"/>
    <w:rsid w:val="00C65F61"/>
    <w:rsid w:val="00C65FC1"/>
    <w:rsid w:val="00C6638A"/>
    <w:rsid w:val="00C66419"/>
    <w:rsid w:val="00C664BD"/>
    <w:rsid w:val="00C66507"/>
    <w:rsid w:val="00C6671C"/>
    <w:rsid w:val="00C66798"/>
    <w:rsid w:val="00C668A7"/>
    <w:rsid w:val="00C668ED"/>
    <w:rsid w:val="00C66950"/>
    <w:rsid w:val="00C669F0"/>
    <w:rsid w:val="00C66C1C"/>
    <w:rsid w:val="00C66CA8"/>
    <w:rsid w:val="00C66F8D"/>
    <w:rsid w:val="00C67781"/>
    <w:rsid w:val="00C67A4E"/>
    <w:rsid w:val="00C67AD5"/>
    <w:rsid w:val="00C67B3B"/>
    <w:rsid w:val="00C67B88"/>
    <w:rsid w:val="00C67C29"/>
    <w:rsid w:val="00C67EAD"/>
    <w:rsid w:val="00C67FC9"/>
    <w:rsid w:val="00C67FF1"/>
    <w:rsid w:val="00C7010E"/>
    <w:rsid w:val="00C70148"/>
    <w:rsid w:val="00C7021D"/>
    <w:rsid w:val="00C708B5"/>
    <w:rsid w:val="00C70900"/>
    <w:rsid w:val="00C70A73"/>
    <w:rsid w:val="00C70C53"/>
    <w:rsid w:val="00C70E0F"/>
    <w:rsid w:val="00C70ECB"/>
    <w:rsid w:val="00C710A4"/>
    <w:rsid w:val="00C713E3"/>
    <w:rsid w:val="00C71772"/>
    <w:rsid w:val="00C71CBC"/>
    <w:rsid w:val="00C71D74"/>
    <w:rsid w:val="00C71F61"/>
    <w:rsid w:val="00C725FC"/>
    <w:rsid w:val="00C72752"/>
    <w:rsid w:val="00C72B8B"/>
    <w:rsid w:val="00C72BBD"/>
    <w:rsid w:val="00C72D5B"/>
    <w:rsid w:val="00C73239"/>
    <w:rsid w:val="00C7337A"/>
    <w:rsid w:val="00C73391"/>
    <w:rsid w:val="00C734B5"/>
    <w:rsid w:val="00C735D6"/>
    <w:rsid w:val="00C73A03"/>
    <w:rsid w:val="00C7421A"/>
    <w:rsid w:val="00C74275"/>
    <w:rsid w:val="00C7444B"/>
    <w:rsid w:val="00C749C6"/>
    <w:rsid w:val="00C74BCF"/>
    <w:rsid w:val="00C74BFD"/>
    <w:rsid w:val="00C74D70"/>
    <w:rsid w:val="00C7504E"/>
    <w:rsid w:val="00C7515F"/>
    <w:rsid w:val="00C7538E"/>
    <w:rsid w:val="00C75461"/>
    <w:rsid w:val="00C757F0"/>
    <w:rsid w:val="00C75BC8"/>
    <w:rsid w:val="00C761FD"/>
    <w:rsid w:val="00C7646C"/>
    <w:rsid w:val="00C767FC"/>
    <w:rsid w:val="00C769D4"/>
    <w:rsid w:val="00C76AC5"/>
    <w:rsid w:val="00C76E6A"/>
    <w:rsid w:val="00C76EA7"/>
    <w:rsid w:val="00C76F7E"/>
    <w:rsid w:val="00C77046"/>
    <w:rsid w:val="00C772A7"/>
    <w:rsid w:val="00C77452"/>
    <w:rsid w:val="00C7778B"/>
    <w:rsid w:val="00C7795A"/>
    <w:rsid w:val="00C77B85"/>
    <w:rsid w:val="00C77E86"/>
    <w:rsid w:val="00C77F2B"/>
    <w:rsid w:val="00C802BA"/>
    <w:rsid w:val="00C80368"/>
    <w:rsid w:val="00C803A3"/>
    <w:rsid w:val="00C8052F"/>
    <w:rsid w:val="00C80C28"/>
    <w:rsid w:val="00C80F05"/>
    <w:rsid w:val="00C81560"/>
    <w:rsid w:val="00C81D6F"/>
    <w:rsid w:val="00C82685"/>
    <w:rsid w:val="00C826CD"/>
    <w:rsid w:val="00C8281B"/>
    <w:rsid w:val="00C8286F"/>
    <w:rsid w:val="00C82A21"/>
    <w:rsid w:val="00C82CDA"/>
    <w:rsid w:val="00C82D19"/>
    <w:rsid w:val="00C82F51"/>
    <w:rsid w:val="00C82F5D"/>
    <w:rsid w:val="00C8333D"/>
    <w:rsid w:val="00C83364"/>
    <w:rsid w:val="00C834D1"/>
    <w:rsid w:val="00C838C1"/>
    <w:rsid w:val="00C83AE0"/>
    <w:rsid w:val="00C83EB2"/>
    <w:rsid w:val="00C83FC5"/>
    <w:rsid w:val="00C84043"/>
    <w:rsid w:val="00C8465B"/>
    <w:rsid w:val="00C848D2"/>
    <w:rsid w:val="00C848F5"/>
    <w:rsid w:val="00C84C0A"/>
    <w:rsid w:val="00C84D21"/>
    <w:rsid w:val="00C84DC8"/>
    <w:rsid w:val="00C84E38"/>
    <w:rsid w:val="00C85028"/>
    <w:rsid w:val="00C85114"/>
    <w:rsid w:val="00C852E4"/>
    <w:rsid w:val="00C852E6"/>
    <w:rsid w:val="00C85304"/>
    <w:rsid w:val="00C854EB"/>
    <w:rsid w:val="00C856CA"/>
    <w:rsid w:val="00C85732"/>
    <w:rsid w:val="00C8582D"/>
    <w:rsid w:val="00C85C2D"/>
    <w:rsid w:val="00C85C42"/>
    <w:rsid w:val="00C85CF7"/>
    <w:rsid w:val="00C85DDB"/>
    <w:rsid w:val="00C85F29"/>
    <w:rsid w:val="00C860EA"/>
    <w:rsid w:val="00C86122"/>
    <w:rsid w:val="00C861A9"/>
    <w:rsid w:val="00C86416"/>
    <w:rsid w:val="00C865D4"/>
    <w:rsid w:val="00C86638"/>
    <w:rsid w:val="00C86673"/>
    <w:rsid w:val="00C8670C"/>
    <w:rsid w:val="00C8672A"/>
    <w:rsid w:val="00C86BD3"/>
    <w:rsid w:val="00C86D67"/>
    <w:rsid w:val="00C87228"/>
    <w:rsid w:val="00C876B8"/>
    <w:rsid w:val="00C87A0F"/>
    <w:rsid w:val="00C87A63"/>
    <w:rsid w:val="00C87B23"/>
    <w:rsid w:val="00C87DF1"/>
    <w:rsid w:val="00C87EEB"/>
    <w:rsid w:val="00C90109"/>
    <w:rsid w:val="00C90145"/>
    <w:rsid w:val="00C90214"/>
    <w:rsid w:val="00C9076D"/>
    <w:rsid w:val="00C907C8"/>
    <w:rsid w:val="00C90E27"/>
    <w:rsid w:val="00C916C8"/>
    <w:rsid w:val="00C91705"/>
    <w:rsid w:val="00C91840"/>
    <w:rsid w:val="00C918E1"/>
    <w:rsid w:val="00C9191E"/>
    <w:rsid w:val="00C9198F"/>
    <w:rsid w:val="00C91B9B"/>
    <w:rsid w:val="00C91CDC"/>
    <w:rsid w:val="00C92108"/>
    <w:rsid w:val="00C923F5"/>
    <w:rsid w:val="00C925AA"/>
    <w:rsid w:val="00C92AAE"/>
    <w:rsid w:val="00C92BD8"/>
    <w:rsid w:val="00C92C57"/>
    <w:rsid w:val="00C92D49"/>
    <w:rsid w:val="00C92DAA"/>
    <w:rsid w:val="00C92E66"/>
    <w:rsid w:val="00C930A8"/>
    <w:rsid w:val="00C93154"/>
    <w:rsid w:val="00C931D1"/>
    <w:rsid w:val="00C93346"/>
    <w:rsid w:val="00C9347E"/>
    <w:rsid w:val="00C93929"/>
    <w:rsid w:val="00C93943"/>
    <w:rsid w:val="00C93C8D"/>
    <w:rsid w:val="00C9425F"/>
    <w:rsid w:val="00C94347"/>
    <w:rsid w:val="00C94481"/>
    <w:rsid w:val="00C9493D"/>
    <w:rsid w:val="00C9494E"/>
    <w:rsid w:val="00C94A42"/>
    <w:rsid w:val="00C94ACD"/>
    <w:rsid w:val="00C94F08"/>
    <w:rsid w:val="00C94F8F"/>
    <w:rsid w:val="00C94FEF"/>
    <w:rsid w:val="00C95153"/>
    <w:rsid w:val="00C955B7"/>
    <w:rsid w:val="00C956FC"/>
    <w:rsid w:val="00C9578F"/>
    <w:rsid w:val="00C95AD2"/>
    <w:rsid w:val="00C95B0F"/>
    <w:rsid w:val="00C95CEE"/>
    <w:rsid w:val="00C963B3"/>
    <w:rsid w:val="00C9671E"/>
    <w:rsid w:val="00C96C93"/>
    <w:rsid w:val="00C96D18"/>
    <w:rsid w:val="00C97219"/>
    <w:rsid w:val="00C97A76"/>
    <w:rsid w:val="00C97B64"/>
    <w:rsid w:val="00C97F39"/>
    <w:rsid w:val="00C97F63"/>
    <w:rsid w:val="00CA0067"/>
    <w:rsid w:val="00CA05E5"/>
    <w:rsid w:val="00CA06F1"/>
    <w:rsid w:val="00CA0CE9"/>
    <w:rsid w:val="00CA0D00"/>
    <w:rsid w:val="00CA1124"/>
    <w:rsid w:val="00CA113C"/>
    <w:rsid w:val="00CA1A89"/>
    <w:rsid w:val="00CA1B01"/>
    <w:rsid w:val="00CA212B"/>
    <w:rsid w:val="00CA25B0"/>
    <w:rsid w:val="00CA2640"/>
    <w:rsid w:val="00CA2645"/>
    <w:rsid w:val="00CA2845"/>
    <w:rsid w:val="00CA29FF"/>
    <w:rsid w:val="00CA2AE9"/>
    <w:rsid w:val="00CA2B17"/>
    <w:rsid w:val="00CA2B5B"/>
    <w:rsid w:val="00CA2EBF"/>
    <w:rsid w:val="00CA31BA"/>
    <w:rsid w:val="00CA3398"/>
    <w:rsid w:val="00CA349D"/>
    <w:rsid w:val="00CA34B2"/>
    <w:rsid w:val="00CA3782"/>
    <w:rsid w:val="00CA37EA"/>
    <w:rsid w:val="00CA3DD9"/>
    <w:rsid w:val="00CA4383"/>
    <w:rsid w:val="00CA43CD"/>
    <w:rsid w:val="00CA4527"/>
    <w:rsid w:val="00CA45DA"/>
    <w:rsid w:val="00CA45E3"/>
    <w:rsid w:val="00CA4677"/>
    <w:rsid w:val="00CA4B5A"/>
    <w:rsid w:val="00CA4E12"/>
    <w:rsid w:val="00CA4EE7"/>
    <w:rsid w:val="00CA555B"/>
    <w:rsid w:val="00CA55F6"/>
    <w:rsid w:val="00CA58C9"/>
    <w:rsid w:val="00CA5C8E"/>
    <w:rsid w:val="00CA5DBB"/>
    <w:rsid w:val="00CA5F63"/>
    <w:rsid w:val="00CA602A"/>
    <w:rsid w:val="00CA605B"/>
    <w:rsid w:val="00CA6215"/>
    <w:rsid w:val="00CA6635"/>
    <w:rsid w:val="00CA6780"/>
    <w:rsid w:val="00CA6B8B"/>
    <w:rsid w:val="00CA6BA0"/>
    <w:rsid w:val="00CA7126"/>
    <w:rsid w:val="00CA7633"/>
    <w:rsid w:val="00CA7838"/>
    <w:rsid w:val="00CA78BD"/>
    <w:rsid w:val="00CA78C2"/>
    <w:rsid w:val="00CA7B67"/>
    <w:rsid w:val="00CA7FB9"/>
    <w:rsid w:val="00CB01EC"/>
    <w:rsid w:val="00CB027E"/>
    <w:rsid w:val="00CB072F"/>
    <w:rsid w:val="00CB0AAF"/>
    <w:rsid w:val="00CB0B8E"/>
    <w:rsid w:val="00CB0BE2"/>
    <w:rsid w:val="00CB0D5E"/>
    <w:rsid w:val="00CB0E7C"/>
    <w:rsid w:val="00CB0F55"/>
    <w:rsid w:val="00CB0F74"/>
    <w:rsid w:val="00CB166D"/>
    <w:rsid w:val="00CB16D9"/>
    <w:rsid w:val="00CB1731"/>
    <w:rsid w:val="00CB1CDB"/>
    <w:rsid w:val="00CB1ECF"/>
    <w:rsid w:val="00CB2263"/>
    <w:rsid w:val="00CB23C4"/>
    <w:rsid w:val="00CB24CC"/>
    <w:rsid w:val="00CB2A5E"/>
    <w:rsid w:val="00CB2FC2"/>
    <w:rsid w:val="00CB33FB"/>
    <w:rsid w:val="00CB352C"/>
    <w:rsid w:val="00CB3580"/>
    <w:rsid w:val="00CB36B5"/>
    <w:rsid w:val="00CB3A7F"/>
    <w:rsid w:val="00CB3BFB"/>
    <w:rsid w:val="00CB4368"/>
    <w:rsid w:val="00CB46C6"/>
    <w:rsid w:val="00CB470D"/>
    <w:rsid w:val="00CB4751"/>
    <w:rsid w:val="00CB48EA"/>
    <w:rsid w:val="00CB4C35"/>
    <w:rsid w:val="00CB4FC9"/>
    <w:rsid w:val="00CB513E"/>
    <w:rsid w:val="00CB51AC"/>
    <w:rsid w:val="00CB5620"/>
    <w:rsid w:val="00CB579D"/>
    <w:rsid w:val="00CB5A32"/>
    <w:rsid w:val="00CB5A4D"/>
    <w:rsid w:val="00CB5A7A"/>
    <w:rsid w:val="00CB5D05"/>
    <w:rsid w:val="00CB6043"/>
    <w:rsid w:val="00CB6113"/>
    <w:rsid w:val="00CB61D5"/>
    <w:rsid w:val="00CB634B"/>
    <w:rsid w:val="00CB68DD"/>
    <w:rsid w:val="00CB6999"/>
    <w:rsid w:val="00CB69DA"/>
    <w:rsid w:val="00CB6CA0"/>
    <w:rsid w:val="00CB6D0C"/>
    <w:rsid w:val="00CB6F9B"/>
    <w:rsid w:val="00CB7111"/>
    <w:rsid w:val="00CB712C"/>
    <w:rsid w:val="00CB7709"/>
    <w:rsid w:val="00CB7786"/>
    <w:rsid w:val="00CB79F2"/>
    <w:rsid w:val="00CB7D4F"/>
    <w:rsid w:val="00CB7D86"/>
    <w:rsid w:val="00CB7DCB"/>
    <w:rsid w:val="00CC0016"/>
    <w:rsid w:val="00CC0324"/>
    <w:rsid w:val="00CC05EE"/>
    <w:rsid w:val="00CC06CB"/>
    <w:rsid w:val="00CC0894"/>
    <w:rsid w:val="00CC0A2E"/>
    <w:rsid w:val="00CC12A3"/>
    <w:rsid w:val="00CC1A30"/>
    <w:rsid w:val="00CC1F7F"/>
    <w:rsid w:val="00CC20F9"/>
    <w:rsid w:val="00CC2594"/>
    <w:rsid w:val="00CC25AD"/>
    <w:rsid w:val="00CC277B"/>
    <w:rsid w:val="00CC27DD"/>
    <w:rsid w:val="00CC29B0"/>
    <w:rsid w:val="00CC340E"/>
    <w:rsid w:val="00CC3449"/>
    <w:rsid w:val="00CC3948"/>
    <w:rsid w:val="00CC3B77"/>
    <w:rsid w:val="00CC3BD9"/>
    <w:rsid w:val="00CC3D12"/>
    <w:rsid w:val="00CC4121"/>
    <w:rsid w:val="00CC41A5"/>
    <w:rsid w:val="00CC4246"/>
    <w:rsid w:val="00CC46C0"/>
    <w:rsid w:val="00CC4716"/>
    <w:rsid w:val="00CC495A"/>
    <w:rsid w:val="00CC4E6F"/>
    <w:rsid w:val="00CC4E8D"/>
    <w:rsid w:val="00CC4F8C"/>
    <w:rsid w:val="00CC549C"/>
    <w:rsid w:val="00CC549E"/>
    <w:rsid w:val="00CC5504"/>
    <w:rsid w:val="00CC5804"/>
    <w:rsid w:val="00CC5A9A"/>
    <w:rsid w:val="00CC5D82"/>
    <w:rsid w:val="00CC5E61"/>
    <w:rsid w:val="00CC5E87"/>
    <w:rsid w:val="00CC5F37"/>
    <w:rsid w:val="00CC625C"/>
    <w:rsid w:val="00CC62C2"/>
    <w:rsid w:val="00CC64B5"/>
    <w:rsid w:val="00CC6795"/>
    <w:rsid w:val="00CC67E4"/>
    <w:rsid w:val="00CC6A64"/>
    <w:rsid w:val="00CC7035"/>
    <w:rsid w:val="00CC7101"/>
    <w:rsid w:val="00CC72D5"/>
    <w:rsid w:val="00CC7400"/>
    <w:rsid w:val="00CC74B7"/>
    <w:rsid w:val="00CC7623"/>
    <w:rsid w:val="00CC766D"/>
    <w:rsid w:val="00CC777B"/>
    <w:rsid w:val="00CC797E"/>
    <w:rsid w:val="00CC7CC6"/>
    <w:rsid w:val="00CC7D11"/>
    <w:rsid w:val="00CC7E5E"/>
    <w:rsid w:val="00CD03AD"/>
    <w:rsid w:val="00CD03DD"/>
    <w:rsid w:val="00CD04A6"/>
    <w:rsid w:val="00CD0720"/>
    <w:rsid w:val="00CD0860"/>
    <w:rsid w:val="00CD0D70"/>
    <w:rsid w:val="00CD1079"/>
    <w:rsid w:val="00CD10A1"/>
    <w:rsid w:val="00CD115B"/>
    <w:rsid w:val="00CD1268"/>
    <w:rsid w:val="00CD1348"/>
    <w:rsid w:val="00CD16B3"/>
    <w:rsid w:val="00CD1824"/>
    <w:rsid w:val="00CD187C"/>
    <w:rsid w:val="00CD1971"/>
    <w:rsid w:val="00CD19E2"/>
    <w:rsid w:val="00CD1ADB"/>
    <w:rsid w:val="00CD1C44"/>
    <w:rsid w:val="00CD1C73"/>
    <w:rsid w:val="00CD1F78"/>
    <w:rsid w:val="00CD234E"/>
    <w:rsid w:val="00CD267A"/>
    <w:rsid w:val="00CD27A4"/>
    <w:rsid w:val="00CD2B11"/>
    <w:rsid w:val="00CD2B12"/>
    <w:rsid w:val="00CD2B84"/>
    <w:rsid w:val="00CD2D12"/>
    <w:rsid w:val="00CD3128"/>
    <w:rsid w:val="00CD388A"/>
    <w:rsid w:val="00CD38D9"/>
    <w:rsid w:val="00CD3CC3"/>
    <w:rsid w:val="00CD4161"/>
    <w:rsid w:val="00CD4469"/>
    <w:rsid w:val="00CD44AA"/>
    <w:rsid w:val="00CD4890"/>
    <w:rsid w:val="00CD4BDC"/>
    <w:rsid w:val="00CD4CD4"/>
    <w:rsid w:val="00CD4CD5"/>
    <w:rsid w:val="00CD4D69"/>
    <w:rsid w:val="00CD4E55"/>
    <w:rsid w:val="00CD4EC1"/>
    <w:rsid w:val="00CD512E"/>
    <w:rsid w:val="00CD514C"/>
    <w:rsid w:val="00CD55B5"/>
    <w:rsid w:val="00CD5AA7"/>
    <w:rsid w:val="00CD5B6E"/>
    <w:rsid w:val="00CD5DFB"/>
    <w:rsid w:val="00CD607F"/>
    <w:rsid w:val="00CD60B3"/>
    <w:rsid w:val="00CD614F"/>
    <w:rsid w:val="00CD635E"/>
    <w:rsid w:val="00CD63B9"/>
    <w:rsid w:val="00CD6629"/>
    <w:rsid w:val="00CD6689"/>
    <w:rsid w:val="00CD66DD"/>
    <w:rsid w:val="00CD6730"/>
    <w:rsid w:val="00CD6769"/>
    <w:rsid w:val="00CD67A4"/>
    <w:rsid w:val="00CD6DD8"/>
    <w:rsid w:val="00CD71AD"/>
    <w:rsid w:val="00CD74B4"/>
    <w:rsid w:val="00CD74EA"/>
    <w:rsid w:val="00CD76A8"/>
    <w:rsid w:val="00CD7D0B"/>
    <w:rsid w:val="00CD7F66"/>
    <w:rsid w:val="00CD7F77"/>
    <w:rsid w:val="00CE002B"/>
    <w:rsid w:val="00CE091F"/>
    <w:rsid w:val="00CE09FF"/>
    <w:rsid w:val="00CE0A0F"/>
    <w:rsid w:val="00CE0ABF"/>
    <w:rsid w:val="00CE138B"/>
    <w:rsid w:val="00CE18CF"/>
    <w:rsid w:val="00CE1B68"/>
    <w:rsid w:val="00CE1CE9"/>
    <w:rsid w:val="00CE1F13"/>
    <w:rsid w:val="00CE20E8"/>
    <w:rsid w:val="00CE2201"/>
    <w:rsid w:val="00CE275E"/>
    <w:rsid w:val="00CE2DFC"/>
    <w:rsid w:val="00CE2E77"/>
    <w:rsid w:val="00CE30BC"/>
    <w:rsid w:val="00CE32A1"/>
    <w:rsid w:val="00CE32A2"/>
    <w:rsid w:val="00CE3532"/>
    <w:rsid w:val="00CE35A2"/>
    <w:rsid w:val="00CE37F5"/>
    <w:rsid w:val="00CE38D9"/>
    <w:rsid w:val="00CE39C4"/>
    <w:rsid w:val="00CE39F0"/>
    <w:rsid w:val="00CE3BDA"/>
    <w:rsid w:val="00CE3C89"/>
    <w:rsid w:val="00CE3CBD"/>
    <w:rsid w:val="00CE3EF4"/>
    <w:rsid w:val="00CE44E4"/>
    <w:rsid w:val="00CE463C"/>
    <w:rsid w:val="00CE46C7"/>
    <w:rsid w:val="00CE4795"/>
    <w:rsid w:val="00CE4E5F"/>
    <w:rsid w:val="00CE4EE6"/>
    <w:rsid w:val="00CE4F12"/>
    <w:rsid w:val="00CE5304"/>
    <w:rsid w:val="00CE54D1"/>
    <w:rsid w:val="00CE56D9"/>
    <w:rsid w:val="00CE5807"/>
    <w:rsid w:val="00CE58DE"/>
    <w:rsid w:val="00CE5E78"/>
    <w:rsid w:val="00CE63D7"/>
    <w:rsid w:val="00CE640B"/>
    <w:rsid w:val="00CE66DF"/>
    <w:rsid w:val="00CE66F7"/>
    <w:rsid w:val="00CE68A9"/>
    <w:rsid w:val="00CE69F4"/>
    <w:rsid w:val="00CE6EE4"/>
    <w:rsid w:val="00CE6FE8"/>
    <w:rsid w:val="00CE71CD"/>
    <w:rsid w:val="00CE7433"/>
    <w:rsid w:val="00CE74AE"/>
    <w:rsid w:val="00CE76F2"/>
    <w:rsid w:val="00CE784C"/>
    <w:rsid w:val="00CE78BA"/>
    <w:rsid w:val="00CE7BDE"/>
    <w:rsid w:val="00CE7E28"/>
    <w:rsid w:val="00CE7E59"/>
    <w:rsid w:val="00CE7E92"/>
    <w:rsid w:val="00CE7F9C"/>
    <w:rsid w:val="00CF03B8"/>
    <w:rsid w:val="00CF0416"/>
    <w:rsid w:val="00CF0607"/>
    <w:rsid w:val="00CF0716"/>
    <w:rsid w:val="00CF0801"/>
    <w:rsid w:val="00CF0964"/>
    <w:rsid w:val="00CF0B36"/>
    <w:rsid w:val="00CF0D55"/>
    <w:rsid w:val="00CF0E8E"/>
    <w:rsid w:val="00CF0FB5"/>
    <w:rsid w:val="00CF115A"/>
    <w:rsid w:val="00CF115B"/>
    <w:rsid w:val="00CF121B"/>
    <w:rsid w:val="00CF1289"/>
    <w:rsid w:val="00CF1501"/>
    <w:rsid w:val="00CF190B"/>
    <w:rsid w:val="00CF1AD4"/>
    <w:rsid w:val="00CF1B20"/>
    <w:rsid w:val="00CF1BA1"/>
    <w:rsid w:val="00CF1BD9"/>
    <w:rsid w:val="00CF1DB9"/>
    <w:rsid w:val="00CF2221"/>
    <w:rsid w:val="00CF23BA"/>
    <w:rsid w:val="00CF2537"/>
    <w:rsid w:val="00CF27BB"/>
    <w:rsid w:val="00CF2856"/>
    <w:rsid w:val="00CF2C4E"/>
    <w:rsid w:val="00CF2C7B"/>
    <w:rsid w:val="00CF2E8B"/>
    <w:rsid w:val="00CF30C2"/>
    <w:rsid w:val="00CF3226"/>
    <w:rsid w:val="00CF36DA"/>
    <w:rsid w:val="00CF38DA"/>
    <w:rsid w:val="00CF39C3"/>
    <w:rsid w:val="00CF3C00"/>
    <w:rsid w:val="00CF3D62"/>
    <w:rsid w:val="00CF4118"/>
    <w:rsid w:val="00CF43E9"/>
    <w:rsid w:val="00CF4A72"/>
    <w:rsid w:val="00CF4C8B"/>
    <w:rsid w:val="00CF4E90"/>
    <w:rsid w:val="00CF4F31"/>
    <w:rsid w:val="00CF4FD2"/>
    <w:rsid w:val="00CF5292"/>
    <w:rsid w:val="00CF5500"/>
    <w:rsid w:val="00CF5564"/>
    <w:rsid w:val="00CF581B"/>
    <w:rsid w:val="00CF58B9"/>
    <w:rsid w:val="00CF5941"/>
    <w:rsid w:val="00CF59CB"/>
    <w:rsid w:val="00CF5C92"/>
    <w:rsid w:val="00CF5E26"/>
    <w:rsid w:val="00CF5EE3"/>
    <w:rsid w:val="00CF62F3"/>
    <w:rsid w:val="00CF6511"/>
    <w:rsid w:val="00CF67CE"/>
    <w:rsid w:val="00CF67EA"/>
    <w:rsid w:val="00CF691F"/>
    <w:rsid w:val="00CF69F2"/>
    <w:rsid w:val="00CF6BAC"/>
    <w:rsid w:val="00CF7065"/>
    <w:rsid w:val="00CF71FA"/>
    <w:rsid w:val="00CF73E3"/>
    <w:rsid w:val="00CF75B1"/>
    <w:rsid w:val="00CF79B7"/>
    <w:rsid w:val="00D001A9"/>
    <w:rsid w:val="00D00489"/>
    <w:rsid w:val="00D00570"/>
    <w:rsid w:val="00D00865"/>
    <w:rsid w:val="00D00A18"/>
    <w:rsid w:val="00D00C2D"/>
    <w:rsid w:val="00D00E25"/>
    <w:rsid w:val="00D0100B"/>
    <w:rsid w:val="00D01081"/>
    <w:rsid w:val="00D0152D"/>
    <w:rsid w:val="00D015A6"/>
    <w:rsid w:val="00D015D6"/>
    <w:rsid w:val="00D01987"/>
    <w:rsid w:val="00D01AC4"/>
    <w:rsid w:val="00D01B5C"/>
    <w:rsid w:val="00D01B72"/>
    <w:rsid w:val="00D01DC5"/>
    <w:rsid w:val="00D01F05"/>
    <w:rsid w:val="00D01FA1"/>
    <w:rsid w:val="00D02000"/>
    <w:rsid w:val="00D0235A"/>
    <w:rsid w:val="00D02551"/>
    <w:rsid w:val="00D02634"/>
    <w:rsid w:val="00D027B9"/>
    <w:rsid w:val="00D028AE"/>
    <w:rsid w:val="00D0295E"/>
    <w:rsid w:val="00D0296A"/>
    <w:rsid w:val="00D02974"/>
    <w:rsid w:val="00D02DC8"/>
    <w:rsid w:val="00D02DCE"/>
    <w:rsid w:val="00D02E07"/>
    <w:rsid w:val="00D03675"/>
    <w:rsid w:val="00D03869"/>
    <w:rsid w:val="00D038DD"/>
    <w:rsid w:val="00D03B99"/>
    <w:rsid w:val="00D03C00"/>
    <w:rsid w:val="00D03DAD"/>
    <w:rsid w:val="00D041A1"/>
    <w:rsid w:val="00D041E7"/>
    <w:rsid w:val="00D04203"/>
    <w:rsid w:val="00D04375"/>
    <w:rsid w:val="00D0444B"/>
    <w:rsid w:val="00D04563"/>
    <w:rsid w:val="00D04E4D"/>
    <w:rsid w:val="00D0530B"/>
    <w:rsid w:val="00D056CB"/>
    <w:rsid w:val="00D05E9A"/>
    <w:rsid w:val="00D0616A"/>
    <w:rsid w:val="00D0624F"/>
    <w:rsid w:val="00D062FB"/>
    <w:rsid w:val="00D06423"/>
    <w:rsid w:val="00D064C2"/>
    <w:rsid w:val="00D0668F"/>
    <w:rsid w:val="00D0687A"/>
    <w:rsid w:val="00D06A46"/>
    <w:rsid w:val="00D06AD5"/>
    <w:rsid w:val="00D06C6B"/>
    <w:rsid w:val="00D06ECC"/>
    <w:rsid w:val="00D0741D"/>
    <w:rsid w:val="00D0749D"/>
    <w:rsid w:val="00D074A2"/>
    <w:rsid w:val="00D075CC"/>
    <w:rsid w:val="00D075E7"/>
    <w:rsid w:val="00D077E5"/>
    <w:rsid w:val="00D07AB7"/>
    <w:rsid w:val="00D07AB8"/>
    <w:rsid w:val="00D07B75"/>
    <w:rsid w:val="00D07C07"/>
    <w:rsid w:val="00D07F87"/>
    <w:rsid w:val="00D10115"/>
    <w:rsid w:val="00D10270"/>
    <w:rsid w:val="00D1027E"/>
    <w:rsid w:val="00D1035E"/>
    <w:rsid w:val="00D104EA"/>
    <w:rsid w:val="00D105A1"/>
    <w:rsid w:val="00D10858"/>
    <w:rsid w:val="00D10A58"/>
    <w:rsid w:val="00D10B67"/>
    <w:rsid w:val="00D10CE9"/>
    <w:rsid w:val="00D10DC4"/>
    <w:rsid w:val="00D1107C"/>
    <w:rsid w:val="00D111C3"/>
    <w:rsid w:val="00D11227"/>
    <w:rsid w:val="00D11390"/>
    <w:rsid w:val="00D11626"/>
    <w:rsid w:val="00D116BE"/>
    <w:rsid w:val="00D11827"/>
    <w:rsid w:val="00D118AE"/>
    <w:rsid w:val="00D11982"/>
    <w:rsid w:val="00D11AF0"/>
    <w:rsid w:val="00D11B3E"/>
    <w:rsid w:val="00D11DDD"/>
    <w:rsid w:val="00D12499"/>
    <w:rsid w:val="00D12AD3"/>
    <w:rsid w:val="00D12DDE"/>
    <w:rsid w:val="00D12DEE"/>
    <w:rsid w:val="00D130F7"/>
    <w:rsid w:val="00D13520"/>
    <w:rsid w:val="00D13588"/>
    <w:rsid w:val="00D13596"/>
    <w:rsid w:val="00D137DD"/>
    <w:rsid w:val="00D1391C"/>
    <w:rsid w:val="00D1398A"/>
    <w:rsid w:val="00D139CC"/>
    <w:rsid w:val="00D13AB3"/>
    <w:rsid w:val="00D13CA0"/>
    <w:rsid w:val="00D13E9A"/>
    <w:rsid w:val="00D13F5A"/>
    <w:rsid w:val="00D1415C"/>
    <w:rsid w:val="00D14205"/>
    <w:rsid w:val="00D143F8"/>
    <w:rsid w:val="00D145EE"/>
    <w:rsid w:val="00D14659"/>
    <w:rsid w:val="00D147DE"/>
    <w:rsid w:val="00D14D0F"/>
    <w:rsid w:val="00D14FFD"/>
    <w:rsid w:val="00D151EE"/>
    <w:rsid w:val="00D15616"/>
    <w:rsid w:val="00D1595D"/>
    <w:rsid w:val="00D15ABD"/>
    <w:rsid w:val="00D15BB4"/>
    <w:rsid w:val="00D15BFA"/>
    <w:rsid w:val="00D15C44"/>
    <w:rsid w:val="00D15F26"/>
    <w:rsid w:val="00D15FD7"/>
    <w:rsid w:val="00D16169"/>
    <w:rsid w:val="00D16788"/>
    <w:rsid w:val="00D1683B"/>
    <w:rsid w:val="00D168FA"/>
    <w:rsid w:val="00D16931"/>
    <w:rsid w:val="00D16A30"/>
    <w:rsid w:val="00D16BBC"/>
    <w:rsid w:val="00D16EAB"/>
    <w:rsid w:val="00D1708E"/>
    <w:rsid w:val="00D172AF"/>
    <w:rsid w:val="00D1730E"/>
    <w:rsid w:val="00D17849"/>
    <w:rsid w:val="00D178BA"/>
    <w:rsid w:val="00D17C54"/>
    <w:rsid w:val="00D17DD0"/>
    <w:rsid w:val="00D17E95"/>
    <w:rsid w:val="00D17FFA"/>
    <w:rsid w:val="00D202A5"/>
    <w:rsid w:val="00D205A8"/>
    <w:rsid w:val="00D20724"/>
    <w:rsid w:val="00D207AE"/>
    <w:rsid w:val="00D20A68"/>
    <w:rsid w:val="00D20A6C"/>
    <w:rsid w:val="00D20C04"/>
    <w:rsid w:val="00D20E0C"/>
    <w:rsid w:val="00D20FA0"/>
    <w:rsid w:val="00D2114B"/>
    <w:rsid w:val="00D21490"/>
    <w:rsid w:val="00D21499"/>
    <w:rsid w:val="00D214BE"/>
    <w:rsid w:val="00D214F5"/>
    <w:rsid w:val="00D21675"/>
    <w:rsid w:val="00D21754"/>
    <w:rsid w:val="00D21909"/>
    <w:rsid w:val="00D21D28"/>
    <w:rsid w:val="00D21E07"/>
    <w:rsid w:val="00D22044"/>
    <w:rsid w:val="00D2267E"/>
    <w:rsid w:val="00D22827"/>
    <w:rsid w:val="00D228B6"/>
    <w:rsid w:val="00D229FB"/>
    <w:rsid w:val="00D22B89"/>
    <w:rsid w:val="00D22D8F"/>
    <w:rsid w:val="00D22DED"/>
    <w:rsid w:val="00D23117"/>
    <w:rsid w:val="00D2324D"/>
    <w:rsid w:val="00D236DE"/>
    <w:rsid w:val="00D237DA"/>
    <w:rsid w:val="00D237F7"/>
    <w:rsid w:val="00D2380F"/>
    <w:rsid w:val="00D23A85"/>
    <w:rsid w:val="00D23AFB"/>
    <w:rsid w:val="00D23D16"/>
    <w:rsid w:val="00D23F02"/>
    <w:rsid w:val="00D24029"/>
    <w:rsid w:val="00D24044"/>
    <w:rsid w:val="00D242EA"/>
    <w:rsid w:val="00D244DC"/>
    <w:rsid w:val="00D2466E"/>
    <w:rsid w:val="00D247CB"/>
    <w:rsid w:val="00D24855"/>
    <w:rsid w:val="00D248D8"/>
    <w:rsid w:val="00D249B6"/>
    <w:rsid w:val="00D24DF2"/>
    <w:rsid w:val="00D24E92"/>
    <w:rsid w:val="00D2501D"/>
    <w:rsid w:val="00D250E7"/>
    <w:rsid w:val="00D253E6"/>
    <w:rsid w:val="00D253F4"/>
    <w:rsid w:val="00D25585"/>
    <w:rsid w:val="00D256DC"/>
    <w:rsid w:val="00D25846"/>
    <w:rsid w:val="00D258E2"/>
    <w:rsid w:val="00D2597C"/>
    <w:rsid w:val="00D2599F"/>
    <w:rsid w:val="00D25BA4"/>
    <w:rsid w:val="00D25CC6"/>
    <w:rsid w:val="00D25FEB"/>
    <w:rsid w:val="00D265BE"/>
    <w:rsid w:val="00D268D8"/>
    <w:rsid w:val="00D26A89"/>
    <w:rsid w:val="00D26BB5"/>
    <w:rsid w:val="00D26E0D"/>
    <w:rsid w:val="00D26F20"/>
    <w:rsid w:val="00D26FD0"/>
    <w:rsid w:val="00D27163"/>
    <w:rsid w:val="00D27179"/>
    <w:rsid w:val="00D2729E"/>
    <w:rsid w:val="00D27440"/>
    <w:rsid w:val="00D27481"/>
    <w:rsid w:val="00D276DF"/>
    <w:rsid w:val="00D27A83"/>
    <w:rsid w:val="00D27B0F"/>
    <w:rsid w:val="00D27B6E"/>
    <w:rsid w:val="00D27D81"/>
    <w:rsid w:val="00D27DD2"/>
    <w:rsid w:val="00D30517"/>
    <w:rsid w:val="00D30A03"/>
    <w:rsid w:val="00D30AE8"/>
    <w:rsid w:val="00D30B12"/>
    <w:rsid w:val="00D30EE1"/>
    <w:rsid w:val="00D30F4D"/>
    <w:rsid w:val="00D30F9F"/>
    <w:rsid w:val="00D31220"/>
    <w:rsid w:val="00D314AE"/>
    <w:rsid w:val="00D314B3"/>
    <w:rsid w:val="00D31565"/>
    <w:rsid w:val="00D317D3"/>
    <w:rsid w:val="00D317E2"/>
    <w:rsid w:val="00D31B89"/>
    <w:rsid w:val="00D31D75"/>
    <w:rsid w:val="00D3207E"/>
    <w:rsid w:val="00D32247"/>
    <w:rsid w:val="00D3224C"/>
    <w:rsid w:val="00D325C8"/>
    <w:rsid w:val="00D32938"/>
    <w:rsid w:val="00D32A1D"/>
    <w:rsid w:val="00D32A92"/>
    <w:rsid w:val="00D32D66"/>
    <w:rsid w:val="00D3325B"/>
    <w:rsid w:val="00D332C8"/>
    <w:rsid w:val="00D332DC"/>
    <w:rsid w:val="00D3335D"/>
    <w:rsid w:val="00D33458"/>
    <w:rsid w:val="00D337E7"/>
    <w:rsid w:val="00D339E9"/>
    <w:rsid w:val="00D33C4C"/>
    <w:rsid w:val="00D33CEC"/>
    <w:rsid w:val="00D33D34"/>
    <w:rsid w:val="00D33F13"/>
    <w:rsid w:val="00D3409B"/>
    <w:rsid w:val="00D341B0"/>
    <w:rsid w:val="00D34494"/>
    <w:rsid w:val="00D34689"/>
    <w:rsid w:val="00D346BB"/>
    <w:rsid w:val="00D346EA"/>
    <w:rsid w:val="00D348ED"/>
    <w:rsid w:val="00D349A1"/>
    <w:rsid w:val="00D34B55"/>
    <w:rsid w:val="00D34B8D"/>
    <w:rsid w:val="00D34F0C"/>
    <w:rsid w:val="00D34F94"/>
    <w:rsid w:val="00D351E4"/>
    <w:rsid w:val="00D3525E"/>
    <w:rsid w:val="00D3550A"/>
    <w:rsid w:val="00D357C8"/>
    <w:rsid w:val="00D359B5"/>
    <w:rsid w:val="00D35D4C"/>
    <w:rsid w:val="00D35D97"/>
    <w:rsid w:val="00D35DB3"/>
    <w:rsid w:val="00D35DEC"/>
    <w:rsid w:val="00D35E14"/>
    <w:rsid w:val="00D361AF"/>
    <w:rsid w:val="00D363F1"/>
    <w:rsid w:val="00D364DF"/>
    <w:rsid w:val="00D36ABF"/>
    <w:rsid w:val="00D36C1D"/>
    <w:rsid w:val="00D3713F"/>
    <w:rsid w:val="00D3736F"/>
    <w:rsid w:val="00D37517"/>
    <w:rsid w:val="00D3775F"/>
    <w:rsid w:val="00D377EB"/>
    <w:rsid w:val="00D37822"/>
    <w:rsid w:val="00D37B43"/>
    <w:rsid w:val="00D37CC6"/>
    <w:rsid w:val="00D37CD6"/>
    <w:rsid w:val="00D37CFF"/>
    <w:rsid w:val="00D400C8"/>
    <w:rsid w:val="00D40364"/>
    <w:rsid w:val="00D405E8"/>
    <w:rsid w:val="00D4074C"/>
    <w:rsid w:val="00D40B6C"/>
    <w:rsid w:val="00D40C3B"/>
    <w:rsid w:val="00D40D63"/>
    <w:rsid w:val="00D40D81"/>
    <w:rsid w:val="00D40E83"/>
    <w:rsid w:val="00D40F52"/>
    <w:rsid w:val="00D4103A"/>
    <w:rsid w:val="00D413E0"/>
    <w:rsid w:val="00D416AB"/>
    <w:rsid w:val="00D41A2A"/>
    <w:rsid w:val="00D41B59"/>
    <w:rsid w:val="00D41E74"/>
    <w:rsid w:val="00D41F8B"/>
    <w:rsid w:val="00D4266F"/>
    <w:rsid w:val="00D429D5"/>
    <w:rsid w:val="00D429EF"/>
    <w:rsid w:val="00D42A6F"/>
    <w:rsid w:val="00D42ABC"/>
    <w:rsid w:val="00D42B21"/>
    <w:rsid w:val="00D42B3B"/>
    <w:rsid w:val="00D42C1C"/>
    <w:rsid w:val="00D42C8D"/>
    <w:rsid w:val="00D43C40"/>
    <w:rsid w:val="00D43CE2"/>
    <w:rsid w:val="00D43EB9"/>
    <w:rsid w:val="00D440AC"/>
    <w:rsid w:val="00D442E1"/>
    <w:rsid w:val="00D44422"/>
    <w:rsid w:val="00D4463C"/>
    <w:rsid w:val="00D4470A"/>
    <w:rsid w:val="00D44A9B"/>
    <w:rsid w:val="00D44FCF"/>
    <w:rsid w:val="00D450B4"/>
    <w:rsid w:val="00D450CA"/>
    <w:rsid w:val="00D4533B"/>
    <w:rsid w:val="00D45417"/>
    <w:rsid w:val="00D455DC"/>
    <w:rsid w:val="00D4577A"/>
    <w:rsid w:val="00D457FF"/>
    <w:rsid w:val="00D45AD1"/>
    <w:rsid w:val="00D45DDD"/>
    <w:rsid w:val="00D46214"/>
    <w:rsid w:val="00D46684"/>
    <w:rsid w:val="00D46724"/>
    <w:rsid w:val="00D46939"/>
    <w:rsid w:val="00D46B68"/>
    <w:rsid w:val="00D46C79"/>
    <w:rsid w:val="00D46E61"/>
    <w:rsid w:val="00D47490"/>
    <w:rsid w:val="00D475CE"/>
    <w:rsid w:val="00D47705"/>
    <w:rsid w:val="00D47768"/>
    <w:rsid w:val="00D4776C"/>
    <w:rsid w:val="00D47786"/>
    <w:rsid w:val="00D4779A"/>
    <w:rsid w:val="00D47A7C"/>
    <w:rsid w:val="00D47AAD"/>
    <w:rsid w:val="00D47AF2"/>
    <w:rsid w:val="00D47B06"/>
    <w:rsid w:val="00D47FFD"/>
    <w:rsid w:val="00D50211"/>
    <w:rsid w:val="00D50223"/>
    <w:rsid w:val="00D502E9"/>
    <w:rsid w:val="00D50852"/>
    <w:rsid w:val="00D50AC4"/>
    <w:rsid w:val="00D50CE0"/>
    <w:rsid w:val="00D5113E"/>
    <w:rsid w:val="00D511C1"/>
    <w:rsid w:val="00D51447"/>
    <w:rsid w:val="00D515E7"/>
    <w:rsid w:val="00D5194D"/>
    <w:rsid w:val="00D51C4F"/>
    <w:rsid w:val="00D51DE8"/>
    <w:rsid w:val="00D51E23"/>
    <w:rsid w:val="00D52346"/>
    <w:rsid w:val="00D525C0"/>
    <w:rsid w:val="00D525FF"/>
    <w:rsid w:val="00D526F7"/>
    <w:rsid w:val="00D5288C"/>
    <w:rsid w:val="00D52F15"/>
    <w:rsid w:val="00D536B1"/>
    <w:rsid w:val="00D53891"/>
    <w:rsid w:val="00D538EC"/>
    <w:rsid w:val="00D53980"/>
    <w:rsid w:val="00D53A14"/>
    <w:rsid w:val="00D53E96"/>
    <w:rsid w:val="00D5417F"/>
    <w:rsid w:val="00D5447D"/>
    <w:rsid w:val="00D54669"/>
    <w:rsid w:val="00D54677"/>
    <w:rsid w:val="00D547B7"/>
    <w:rsid w:val="00D54D50"/>
    <w:rsid w:val="00D55189"/>
    <w:rsid w:val="00D5520F"/>
    <w:rsid w:val="00D553C1"/>
    <w:rsid w:val="00D55784"/>
    <w:rsid w:val="00D5595F"/>
    <w:rsid w:val="00D55C4B"/>
    <w:rsid w:val="00D55C58"/>
    <w:rsid w:val="00D560E8"/>
    <w:rsid w:val="00D56148"/>
    <w:rsid w:val="00D56392"/>
    <w:rsid w:val="00D5649D"/>
    <w:rsid w:val="00D56693"/>
    <w:rsid w:val="00D568A8"/>
    <w:rsid w:val="00D56B79"/>
    <w:rsid w:val="00D56CD2"/>
    <w:rsid w:val="00D56ED8"/>
    <w:rsid w:val="00D56EEF"/>
    <w:rsid w:val="00D5714B"/>
    <w:rsid w:val="00D5780C"/>
    <w:rsid w:val="00D57B5A"/>
    <w:rsid w:val="00D57DD1"/>
    <w:rsid w:val="00D57DE6"/>
    <w:rsid w:val="00D57F46"/>
    <w:rsid w:val="00D57F75"/>
    <w:rsid w:val="00D57FD9"/>
    <w:rsid w:val="00D60016"/>
    <w:rsid w:val="00D60051"/>
    <w:rsid w:val="00D600AD"/>
    <w:rsid w:val="00D6036B"/>
    <w:rsid w:val="00D60424"/>
    <w:rsid w:val="00D6059B"/>
    <w:rsid w:val="00D606D3"/>
    <w:rsid w:val="00D60ABA"/>
    <w:rsid w:val="00D60D84"/>
    <w:rsid w:val="00D60EA2"/>
    <w:rsid w:val="00D60F92"/>
    <w:rsid w:val="00D60FE1"/>
    <w:rsid w:val="00D61039"/>
    <w:rsid w:val="00D612C2"/>
    <w:rsid w:val="00D614F2"/>
    <w:rsid w:val="00D61DDF"/>
    <w:rsid w:val="00D62384"/>
    <w:rsid w:val="00D6238C"/>
    <w:rsid w:val="00D62685"/>
    <w:rsid w:val="00D629E2"/>
    <w:rsid w:val="00D62BB0"/>
    <w:rsid w:val="00D63111"/>
    <w:rsid w:val="00D63146"/>
    <w:rsid w:val="00D6370A"/>
    <w:rsid w:val="00D63A98"/>
    <w:rsid w:val="00D64172"/>
    <w:rsid w:val="00D643D0"/>
    <w:rsid w:val="00D64A45"/>
    <w:rsid w:val="00D64AD7"/>
    <w:rsid w:val="00D64B60"/>
    <w:rsid w:val="00D64EAF"/>
    <w:rsid w:val="00D64ED3"/>
    <w:rsid w:val="00D64FB9"/>
    <w:rsid w:val="00D6502A"/>
    <w:rsid w:val="00D6515E"/>
    <w:rsid w:val="00D6598E"/>
    <w:rsid w:val="00D659E2"/>
    <w:rsid w:val="00D65BC9"/>
    <w:rsid w:val="00D65C05"/>
    <w:rsid w:val="00D65E4A"/>
    <w:rsid w:val="00D66319"/>
    <w:rsid w:val="00D6675E"/>
    <w:rsid w:val="00D668A6"/>
    <w:rsid w:val="00D669F5"/>
    <w:rsid w:val="00D66CC3"/>
    <w:rsid w:val="00D66D92"/>
    <w:rsid w:val="00D66E36"/>
    <w:rsid w:val="00D66F16"/>
    <w:rsid w:val="00D67048"/>
    <w:rsid w:val="00D6725B"/>
    <w:rsid w:val="00D67295"/>
    <w:rsid w:val="00D67414"/>
    <w:rsid w:val="00D67734"/>
    <w:rsid w:val="00D67885"/>
    <w:rsid w:val="00D67B3B"/>
    <w:rsid w:val="00D7084A"/>
    <w:rsid w:val="00D70D4D"/>
    <w:rsid w:val="00D70E06"/>
    <w:rsid w:val="00D71150"/>
    <w:rsid w:val="00D7116E"/>
    <w:rsid w:val="00D7156F"/>
    <w:rsid w:val="00D7160C"/>
    <w:rsid w:val="00D7187F"/>
    <w:rsid w:val="00D71E42"/>
    <w:rsid w:val="00D7216B"/>
    <w:rsid w:val="00D7247A"/>
    <w:rsid w:val="00D724DB"/>
    <w:rsid w:val="00D72A13"/>
    <w:rsid w:val="00D72BDE"/>
    <w:rsid w:val="00D72D81"/>
    <w:rsid w:val="00D72DE2"/>
    <w:rsid w:val="00D72EFE"/>
    <w:rsid w:val="00D732D8"/>
    <w:rsid w:val="00D73343"/>
    <w:rsid w:val="00D734DF"/>
    <w:rsid w:val="00D7364D"/>
    <w:rsid w:val="00D7377D"/>
    <w:rsid w:val="00D73A12"/>
    <w:rsid w:val="00D73A97"/>
    <w:rsid w:val="00D73E05"/>
    <w:rsid w:val="00D741F2"/>
    <w:rsid w:val="00D742D0"/>
    <w:rsid w:val="00D7441A"/>
    <w:rsid w:val="00D74610"/>
    <w:rsid w:val="00D7466B"/>
    <w:rsid w:val="00D747E1"/>
    <w:rsid w:val="00D7496B"/>
    <w:rsid w:val="00D74B88"/>
    <w:rsid w:val="00D74D13"/>
    <w:rsid w:val="00D750D5"/>
    <w:rsid w:val="00D75132"/>
    <w:rsid w:val="00D7525D"/>
    <w:rsid w:val="00D752E3"/>
    <w:rsid w:val="00D75308"/>
    <w:rsid w:val="00D7538E"/>
    <w:rsid w:val="00D75764"/>
    <w:rsid w:val="00D7584F"/>
    <w:rsid w:val="00D75C91"/>
    <w:rsid w:val="00D7606E"/>
    <w:rsid w:val="00D760B0"/>
    <w:rsid w:val="00D76229"/>
    <w:rsid w:val="00D7631A"/>
    <w:rsid w:val="00D763E6"/>
    <w:rsid w:val="00D768AA"/>
    <w:rsid w:val="00D768C1"/>
    <w:rsid w:val="00D76B23"/>
    <w:rsid w:val="00D76C89"/>
    <w:rsid w:val="00D76F0B"/>
    <w:rsid w:val="00D773B5"/>
    <w:rsid w:val="00D7772A"/>
    <w:rsid w:val="00D77F54"/>
    <w:rsid w:val="00D80127"/>
    <w:rsid w:val="00D8023A"/>
    <w:rsid w:val="00D80276"/>
    <w:rsid w:val="00D80403"/>
    <w:rsid w:val="00D8065D"/>
    <w:rsid w:val="00D80884"/>
    <w:rsid w:val="00D80A59"/>
    <w:rsid w:val="00D80A6B"/>
    <w:rsid w:val="00D80BD6"/>
    <w:rsid w:val="00D80D73"/>
    <w:rsid w:val="00D80F2C"/>
    <w:rsid w:val="00D81256"/>
    <w:rsid w:val="00D81475"/>
    <w:rsid w:val="00D816B4"/>
    <w:rsid w:val="00D81B1C"/>
    <w:rsid w:val="00D81FA5"/>
    <w:rsid w:val="00D8254A"/>
    <w:rsid w:val="00D825E4"/>
    <w:rsid w:val="00D82649"/>
    <w:rsid w:val="00D82680"/>
    <w:rsid w:val="00D83237"/>
    <w:rsid w:val="00D832EF"/>
    <w:rsid w:val="00D833B9"/>
    <w:rsid w:val="00D83786"/>
    <w:rsid w:val="00D83A91"/>
    <w:rsid w:val="00D83CB7"/>
    <w:rsid w:val="00D83E27"/>
    <w:rsid w:val="00D83F15"/>
    <w:rsid w:val="00D83F64"/>
    <w:rsid w:val="00D83F6C"/>
    <w:rsid w:val="00D83F82"/>
    <w:rsid w:val="00D840D5"/>
    <w:rsid w:val="00D842AA"/>
    <w:rsid w:val="00D84A8B"/>
    <w:rsid w:val="00D84C9B"/>
    <w:rsid w:val="00D84CAF"/>
    <w:rsid w:val="00D84CCD"/>
    <w:rsid w:val="00D84CE3"/>
    <w:rsid w:val="00D84EBC"/>
    <w:rsid w:val="00D8508F"/>
    <w:rsid w:val="00D850AC"/>
    <w:rsid w:val="00D85715"/>
    <w:rsid w:val="00D858A8"/>
    <w:rsid w:val="00D859F8"/>
    <w:rsid w:val="00D85A83"/>
    <w:rsid w:val="00D85B9B"/>
    <w:rsid w:val="00D8619A"/>
    <w:rsid w:val="00D862E8"/>
    <w:rsid w:val="00D86300"/>
    <w:rsid w:val="00D86409"/>
    <w:rsid w:val="00D86A6B"/>
    <w:rsid w:val="00D86DA9"/>
    <w:rsid w:val="00D86DB6"/>
    <w:rsid w:val="00D87171"/>
    <w:rsid w:val="00D8746F"/>
    <w:rsid w:val="00D875A9"/>
    <w:rsid w:val="00D87952"/>
    <w:rsid w:val="00D87CE5"/>
    <w:rsid w:val="00D90064"/>
    <w:rsid w:val="00D90079"/>
    <w:rsid w:val="00D9016C"/>
    <w:rsid w:val="00D903B7"/>
    <w:rsid w:val="00D905B7"/>
    <w:rsid w:val="00D90955"/>
    <w:rsid w:val="00D90CD1"/>
    <w:rsid w:val="00D91175"/>
    <w:rsid w:val="00D91613"/>
    <w:rsid w:val="00D9179B"/>
    <w:rsid w:val="00D91A1F"/>
    <w:rsid w:val="00D91B1E"/>
    <w:rsid w:val="00D91B4A"/>
    <w:rsid w:val="00D91E23"/>
    <w:rsid w:val="00D920F4"/>
    <w:rsid w:val="00D92135"/>
    <w:rsid w:val="00D92C46"/>
    <w:rsid w:val="00D92D88"/>
    <w:rsid w:val="00D92D8A"/>
    <w:rsid w:val="00D92F37"/>
    <w:rsid w:val="00D932FB"/>
    <w:rsid w:val="00D933A6"/>
    <w:rsid w:val="00D937FF"/>
    <w:rsid w:val="00D93A9E"/>
    <w:rsid w:val="00D93B69"/>
    <w:rsid w:val="00D93C64"/>
    <w:rsid w:val="00D93C9A"/>
    <w:rsid w:val="00D93F36"/>
    <w:rsid w:val="00D93FDA"/>
    <w:rsid w:val="00D94138"/>
    <w:rsid w:val="00D9417D"/>
    <w:rsid w:val="00D94324"/>
    <w:rsid w:val="00D94411"/>
    <w:rsid w:val="00D94AEF"/>
    <w:rsid w:val="00D94AFA"/>
    <w:rsid w:val="00D94E48"/>
    <w:rsid w:val="00D94FB5"/>
    <w:rsid w:val="00D9518B"/>
    <w:rsid w:val="00D9519F"/>
    <w:rsid w:val="00D951DB"/>
    <w:rsid w:val="00D9534E"/>
    <w:rsid w:val="00D956BA"/>
    <w:rsid w:val="00D9585B"/>
    <w:rsid w:val="00D95877"/>
    <w:rsid w:val="00D958EF"/>
    <w:rsid w:val="00D958FC"/>
    <w:rsid w:val="00D95929"/>
    <w:rsid w:val="00D9597F"/>
    <w:rsid w:val="00D95BB2"/>
    <w:rsid w:val="00D95C1B"/>
    <w:rsid w:val="00D95C9A"/>
    <w:rsid w:val="00D95E1D"/>
    <w:rsid w:val="00D96588"/>
    <w:rsid w:val="00D965EA"/>
    <w:rsid w:val="00D967A6"/>
    <w:rsid w:val="00D9680D"/>
    <w:rsid w:val="00D969DC"/>
    <w:rsid w:val="00D96A13"/>
    <w:rsid w:val="00D97090"/>
    <w:rsid w:val="00D9727C"/>
    <w:rsid w:val="00D9746F"/>
    <w:rsid w:val="00D9781F"/>
    <w:rsid w:val="00D97901"/>
    <w:rsid w:val="00D9792F"/>
    <w:rsid w:val="00D979E8"/>
    <w:rsid w:val="00DA005B"/>
    <w:rsid w:val="00DA0122"/>
    <w:rsid w:val="00DA04F6"/>
    <w:rsid w:val="00DA0599"/>
    <w:rsid w:val="00DA0A10"/>
    <w:rsid w:val="00DA116D"/>
    <w:rsid w:val="00DA117F"/>
    <w:rsid w:val="00DA13AC"/>
    <w:rsid w:val="00DA13AE"/>
    <w:rsid w:val="00DA13E6"/>
    <w:rsid w:val="00DA1787"/>
    <w:rsid w:val="00DA18F2"/>
    <w:rsid w:val="00DA192F"/>
    <w:rsid w:val="00DA1976"/>
    <w:rsid w:val="00DA1A57"/>
    <w:rsid w:val="00DA1B1F"/>
    <w:rsid w:val="00DA1C50"/>
    <w:rsid w:val="00DA20AB"/>
    <w:rsid w:val="00DA2419"/>
    <w:rsid w:val="00DA24CC"/>
    <w:rsid w:val="00DA27AE"/>
    <w:rsid w:val="00DA282F"/>
    <w:rsid w:val="00DA29B0"/>
    <w:rsid w:val="00DA2A78"/>
    <w:rsid w:val="00DA2F3F"/>
    <w:rsid w:val="00DA2F70"/>
    <w:rsid w:val="00DA30AB"/>
    <w:rsid w:val="00DA3271"/>
    <w:rsid w:val="00DA3459"/>
    <w:rsid w:val="00DA3485"/>
    <w:rsid w:val="00DA3735"/>
    <w:rsid w:val="00DA382E"/>
    <w:rsid w:val="00DA3A4A"/>
    <w:rsid w:val="00DA3B72"/>
    <w:rsid w:val="00DA3D80"/>
    <w:rsid w:val="00DA3F27"/>
    <w:rsid w:val="00DA41E7"/>
    <w:rsid w:val="00DA4267"/>
    <w:rsid w:val="00DA4307"/>
    <w:rsid w:val="00DA44A3"/>
    <w:rsid w:val="00DA488B"/>
    <w:rsid w:val="00DA4A6E"/>
    <w:rsid w:val="00DA4AA3"/>
    <w:rsid w:val="00DA4C08"/>
    <w:rsid w:val="00DA4C22"/>
    <w:rsid w:val="00DA4FCB"/>
    <w:rsid w:val="00DA508A"/>
    <w:rsid w:val="00DA5290"/>
    <w:rsid w:val="00DA52E7"/>
    <w:rsid w:val="00DA5391"/>
    <w:rsid w:val="00DA5B89"/>
    <w:rsid w:val="00DA5BE3"/>
    <w:rsid w:val="00DA5C38"/>
    <w:rsid w:val="00DA5DF7"/>
    <w:rsid w:val="00DA5F94"/>
    <w:rsid w:val="00DA615D"/>
    <w:rsid w:val="00DA6237"/>
    <w:rsid w:val="00DA628D"/>
    <w:rsid w:val="00DA6AE4"/>
    <w:rsid w:val="00DA6EBB"/>
    <w:rsid w:val="00DA70C1"/>
    <w:rsid w:val="00DA717A"/>
    <w:rsid w:val="00DA74B3"/>
    <w:rsid w:val="00DA77B6"/>
    <w:rsid w:val="00DA78A1"/>
    <w:rsid w:val="00DA7C3C"/>
    <w:rsid w:val="00DA7DFC"/>
    <w:rsid w:val="00DA7E09"/>
    <w:rsid w:val="00DA7FA1"/>
    <w:rsid w:val="00DB0201"/>
    <w:rsid w:val="00DB041E"/>
    <w:rsid w:val="00DB0562"/>
    <w:rsid w:val="00DB0687"/>
    <w:rsid w:val="00DB0713"/>
    <w:rsid w:val="00DB0B7D"/>
    <w:rsid w:val="00DB0BA2"/>
    <w:rsid w:val="00DB0F11"/>
    <w:rsid w:val="00DB187B"/>
    <w:rsid w:val="00DB193B"/>
    <w:rsid w:val="00DB194F"/>
    <w:rsid w:val="00DB1970"/>
    <w:rsid w:val="00DB1DEA"/>
    <w:rsid w:val="00DB1F0B"/>
    <w:rsid w:val="00DB2042"/>
    <w:rsid w:val="00DB2094"/>
    <w:rsid w:val="00DB217C"/>
    <w:rsid w:val="00DB22E8"/>
    <w:rsid w:val="00DB23AF"/>
    <w:rsid w:val="00DB256C"/>
    <w:rsid w:val="00DB267E"/>
    <w:rsid w:val="00DB27AF"/>
    <w:rsid w:val="00DB27E3"/>
    <w:rsid w:val="00DB289E"/>
    <w:rsid w:val="00DB2C82"/>
    <w:rsid w:val="00DB2D21"/>
    <w:rsid w:val="00DB35E2"/>
    <w:rsid w:val="00DB36A7"/>
    <w:rsid w:val="00DB3B4B"/>
    <w:rsid w:val="00DB3B70"/>
    <w:rsid w:val="00DB407A"/>
    <w:rsid w:val="00DB42A4"/>
    <w:rsid w:val="00DB4327"/>
    <w:rsid w:val="00DB4596"/>
    <w:rsid w:val="00DB45DF"/>
    <w:rsid w:val="00DB4724"/>
    <w:rsid w:val="00DB47F0"/>
    <w:rsid w:val="00DB4847"/>
    <w:rsid w:val="00DB4A73"/>
    <w:rsid w:val="00DB4CF7"/>
    <w:rsid w:val="00DB53B2"/>
    <w:rsid w:val="00DB53B7"/>
    <w:rsid w:val="00DB55DE"/>
    <w:rsid w:val="00DB57CF"/>
    <w:rsid w:val="00DB5D11"/>
    <w:rsid w:val="00DB5E8C"/>
    <w:rsid w:val="00DB5FD0"/>
    <w:rsid w:val="00DB609B"/>
    <w:rsid w:val="00DB60A7"/>
    <w:rsid w:val="00DB6756"/>
    <w:rsid w:val="00DB6BD3"/>
    <w:rsid w:val="00DB6C02"/>
    <w:rsid w:val="00DB6CAD"/>
    <w:rsid w:val="00DB6E4B"/>
    <w:rsid w:val="00DB6EAA"/>
    <w:rsid w:val="00DB7014"/>
    <w:rsid w:val="00DB704A"/>
    <w:rsid w:val="00DB70C6"/>
    <w:rsid w:val="00DB72DE"/>
    <w:rsid w:val="00DB7385"/>
    <w:rsid w:val="00DB754A"/>
    <w:rsid w:val="00DB77D6"/>
    <w:rsid w:val="00DB79BC"/>
    <w:rsid w:val="00DB7B85"/>
    <w:rsid w:val="00DB7BC9"/>
    <w:rsid w:val="00DC06B4"/>
    <w:rsid w:val="00DC08D7"/>
    <w:rsid w:val="00DC0BB4"/>
    <w:rsid w:val="00DC0C27"/>
    <w:rsid w:val="00DC0F1F"/>
    <w:rsid w:val="00DC10B5"/>
    <w:rsid w:val="00DC144F"/>
    <w:rsid w:val="00DC15D0"/>
    <w:rsid w:val="00DC1644"/>
    <w:rsid w:val="00DC16A1"/>
    <w:rsid w:val="00DC1703"/>
    <w:rsid w:val="00DC1AAB"/>
    <w:rsid w:val="00DC1E1E"/>
    <w:rsid w:val="00DC1FF0"/>
    <w:rsid w:val="00DC2072"/>
    <w:rsid w:val="00DC22EB"/>
    <w:rsid w:val="00DC2436"/>
    <w:rsid w:val="00DC295E"/>
    <w:rsid w:val="00DC30BD"/>
    <w:rsid w:val="00DC3337"/>
    <w:rsid w:val="00DC365C"/>
    <w:rsid w:val="00DC3D77"/>
    <w:rsid w:val="00DC3E5D"/>
    <w:rsid w:val="00DC3EA6"/>
    <w:rsid w:val="00DC40C7"/>
    <w:rsid w:val="00DC40E0"/>
    <w:rsid w:val="00DC4278"/>
    <w:rsid w:val="00DC43D0"/>
    <w:rsid w:val="00DC445A"/>
    <w:rsid w:val="00DC4466"/>
    <w:rsid w:val="00DC4534"/>
    <w:rsid w:val="00DC4613"/>
    <w:rsid w:val="00DC471D"/>
    <w:rsid w:val="00DC497F"/>
    <w:rsid w:val="00DC4D72"/>
    <w:rsid w:val="00DC4FF8"/>
    <w:rsid w:val="00DC5273"/>
    <w:rsid w:val="00DC5334"/>
    <w:rsid w:val="00DC54FF"/>
    <w:rsid w:val="00DC578E"/>
    <w:rsid w:val="00DC5919"/>
    <w:rsid w:val="00DC5B24"/>
    <w:rsid w:val="00DC5C39"/>
    <w:rsid w:val="00DC5CFB"/>
    <w:rsid w:val="00DC5FB7"/>
    <w:rsid w:val="00DC5FCE"/>
    <w:rsid w:val="00DC621C"/>
    <w:rsid w:val="00DC6A18"/>
    <w:rsid w:val="00DC6C6F"/>
    <w:rsid w:val="00DC6FDA"/>
    <w:rsid w:val="00DC7083"/>
    <w:rsid w:val="00DC7322"/>
    <w:rsid w:val="00DC76E5"/>
    <w:rsid w:val="00DC7877"/>
    <w:rsid w:val="00DC79DA"/>
    <w:rsid w:val="00DC7A27"/>
    <w:rsid w:val="00DC7A82"/>
    <w:rsid w:val="00DC7CEA"/>
    <w:rsid w:val="00DC7E25"/>
    <w:rsid w:val="00DC7E93"/>
    <w:rsid w:val="00DD0578"/>
    <w:rsid w:val="00DD074F"/>
    <w:rsid w:val="00DD0A31"/>
    <w:rsid w:val="00DD0A6E"/>
    <w:rsid w:val="00DD0A9C"/>
    <w:rsid w:val="00DD0B08"/>
    <w:rsid w:val="00DD0DA2"/>
    <w:rsid w:val="00DD0E61"/>
    <w:rsid w:val="00DD0E84"/>
    <w:rsid w:val="00DD12C9"/>
    <w:rsid w:val="00DD1437"/>
    <w:rsid w:val="00DD1545"/>
    <w:rsid w:val="00DD16F5"/>
    <w:rsid w:val="00DD188A"/>
    <w:rsid w:val="00DD1B32"/>
    <w:rsid w:val="00DD1E59"/>
    <w:rsid w:val="00DD1F11"/>
    <w:rsid w:val="00DD2107"/>
    <w:rsid w:val="00DD22CD"/>
    <w:rsid w:val="00DD253F"/>
    <w:rsid w:val="00DD279C"/>
    <w:rsid w:val="00DD2890"/>
    <w:rsid w:val="00DD2A15"/>
    <w:rsid w:val="00DD2D08"/>
    <w:rsid w:val="00DD2FEE"/>
    <w:rsid w:val="00DD33A3"/>
    <w:rsid w:val="00DD3431"/>
    <w:rsid w:val="00DD3578"/>
    <w:rsid w:val="00DD35DB"/>
    <w:rsid w:val="00DD3648"/>
    <w:rsid w:val="00DD3770"/>
    <w:rsid w:val="00DD3A38"/>
    <w:rsid w:val="00DD3A4C"/>
    <w:rsid w:val="00DD3B53"/>
    <w:rsid w:val="00DD3D22"/>
    <w:rsid w:val="00DD425C"/>
    <w:rsid w:val="00DD480D"/>
    <w:rsid w:val="00DD4876"/>
    <w:rsid w:val="00DD4A1C"/>
    <w:rsid w:val="00DD4C6D"/>
    <w:rsid w:val="00DD4C90"/>
    <w:rsid w:val="00DD5190"/>
    <w:rsid w:val="00DD566A"/>
    <w:rsid w:val="00DD5E2B"/>
    <w:rsid w:val="00DD6405"/>
    <w:rsid w:val="00DD665B"/>
    <w:rsid w:val="00DD6D47"/>
    <w:rsid w:val="00DD6DF6"/>
    <w:rsid w:val="00DD7069"/>
    <w:rsid w:val="00DD70A2"/>
    <w:rsid w:val="00DD728C"/>
    <w:rsid w:val="00DD7661"/>
    <w:rsid w:val="00DD77EB"/>
    <w:rsid w:val="00DD7B14"/>
    <w:rsid w:val="00DD7BD4"/>
    <w:rsid w:val="00DE0263"/>
    <w:rsid w:val="00DE02A7"/>
    <w:rsid w:val="00DE0485"/>
    <w:rsid w:val="00DE07FB"/>
    <w:rsid w:val="00DE0DFB"/>
    <w:rsid w:val="00DE0F41"/>
    <w:rsid w:val="00DE10B3"/>
    <w:rsid w:val="00DE1276"/>
    <w:rsid w:val="00DE13F2"/>
    <w:rsid w:val="00DE1420"/>
    <w:rsid w:val="00DE1B44"/>
    <w:rsid w:val="00DE2082"/>
    <w:rsid w:val="00DE2566"/>
    <w:rsid w:val="00DE270A"/>
    <w:rsid w:val="00DE2B2D"/>
    <w:rsid w:val="00DE2C5C"/>
    <w:rsid w:val="00DE2CE7"/>
    <w:rsid w:val="00DE2D97"/>
    <w:rsid w:val="00DE2F33"/>
    <w:rsid w:val="00DE31AE"/>
    <w:rsid w:val="00DE33C4"/>
    <w:rsid w:val="00DE36F0"/>
    <w:rsid w:val="00DE3946"/>
    <w:rsid w:val="00DE394B"/>
    <w:rsid w:val="00DE39D1"/>
    <w:rsid w:val="00DE3A30"/>
    <w:rsid w:val="00DE3D51"/>
    <w:rsid w:val="00DE42B4"/>
    <w:rsid w:val="00DE4536"/>
    <w:rsid w:val="00DE457E"/>
    <w:rsid w:val="00DE45E8"/>
    <w:rsid w:val="00DE4832"/>
    <w:rsid w:val="00DE48FE"/>
    <w:rsid w:val="00DE4C67"/>
    <w:rsid w:val="00DE4DBD"/>
    <w:rsid w:val="00DE4E68"/>
    <w:rsid w:val="00DE4F8E"/>
    <w:rsid w:val="00DE504B"/>
    <w:rsid w:val="00DE516A"/>
    <w:rsid w:val="00DE5173"/>
    <w:rsid w:val="00DE5269"/>
    <w:rsid w:val="00DE5D9C"/>
    <w:rsid w:val="00DE5DD7"/>
    <w:rsid w:val="00DE6056"/>
    <w:rsid w:val="00DE629E"/>
    <w:rsid w:val="00DE643D"/>
    <w:rsid w:val="00DE6453"/>
    <w:rsid w:val="00DE64B3"/>
    <w:rsid w:val="00DE6525"/>
    <w:rsid w:val="00DE674A"/>
    <w:rsid w:val="00DE6A41"/>
    <w:rsid w:val="00DE6AFD"/>
    <w:rsid w:val="00DE6E0A"/>
    <w:rsid w:val="00DE71C1"/>
    <w:rsid w:val="00DE75E2"/>
    <w:rsid w:val="00DE7636"/>
    <w:rsid w:val="00DE7760"/>
    <w:rsid w:val="00DE7BB1"/>
    <w:rsid w:val="00DE7DC1"/>
    <w:rsid w:val="00DF01C5"/>
    <w:rsid w:val="00DF05A3"/>
    <w:rsid w:val="00DF0642"/>
    <w:rsid w:val="00DF07B7"/>
    <w:rsid w:val="00DF0882"/>
    <w:rsid w:val="00DF0CB8"/>
    <w:rsid w:val="00DF0D36"/>
    <w:rsid w:val="00DF0FEF"/>
    <w:rsid w:val="00DF10FF"/>
    <w:rsid w:val="00DF12EB"/>
    <w:rsid w:val="00DF1500"/>
    <w:rsid w:val="00DF171F"/>
    <w:rsid w:val="00DF17BA"/>
    <w:rsid w:val="00DF1B16"/>
    <w:rsid w:val="00DF1EC5"/>
    <w:rsid w:val="00DF1F4A"/>
    <w:rsid w:val="00DF20C7"/>
    <w:rsid w:val="00DF2148"/>
    <w:rsid w:val="00DF2506"/>
    <w:rsid w:val="00DF2589"/>
    <w:rsid w:val="00DF2674"/>
    <w:rsid w:val="00DF2692"/>
    <w:rsid w:val="00DF2A49"/>
    <w:rsid w:val="00DF2F53"/>
    <w:rsid w:val="00DF2FE5"/>
    <w:rsid w:val="00DF308B"/>
    <w:rsid w:val="00DF31E4"/>
    <w:rsid w:val="00DF3225"/>
    <w:rsid w:val="00DF3254"/>
    <w:rsid w:val="00DF3315"/>
    <w:rsid w:val="00DF35DE"/>
    <w:rsid w:val="00DF3627"/>
    <w:rsid w:val="00DF3829"/>
    <w:rsid w:val="00DF4233"/>
    <w:rsid w:val="00DF443F"/>
    <w:rsid w:val="00DF4484"/>
    <w:rsid w:val="00DF4569"/>
    <w:rsid w:val="00DF4BA3"/>
    <w:rsid w:val="00DF4DEA"/>
    <w:rsid w:val="00DF5147"/>
    <w:rsid w:val="00DF5185"/>
    <w:rsid w:val="00DF528E"/>
    <w:rsid w:val="00DF53EF"/>
    <w:rsid w:val="00DF54AE"/>
    <w:rsid w:val="00DF5513"/>
    <w:rsid w:val="00DF57C0"/>
    <w:rsid w:val="00DF58F0"/>
    <w:rsid w:val="00DF59EE"/>
    <w:rsid w:val="00DF5AF3"/>
    <w:rsid w:val="00DF5C0A"/>
    <w:rsid w:val="00DF5C53"/>
    <w:rsid w:val="00DF5C6A"/>
    <w:rsid w:val="00DF5EDC"/>
    <w:rsid w:val="00DF5EFB"/>
    <w:rsid w:val="00DF5FA6"/>
    <w:rsid w:val="00DF5FDD"/>
    <w:rsid w:val="00DF5FEE"/>
    <w:rsid w:val="00DF63A8"/>
    <w:rsid w:val="00DF6484"/>
    <w:rsid w:val="00DF6501"/>
    <w:rsid w:val="00DF650C"/>
    <w:rsid w:val="00DF6535"/>
    <w:rsid w:val="00DF668E"/>
    <w:rsid w:val="00DF6887"/>
    <w:rsid w:val="00DF691A"/>
    <w:rsid w:val="00DF699A"/>
    <w:rsid w:val="00DF69C8"/>
    <w:rsid w:val="00DF6C62"/>
    <w:rsid w:val="00DF6C6D"/>
    <w:rsid w:val="00DF6F72"/>
    <w:rsid w:val="00DF70EF"/>
    <w:rsid w:val="00DF734C"/>
    <w:rsid w:val="00DF73CB"/>
    <w:rsid w:val="00DF7453"/>
    <w:rsid w:val="00DF747A"/>
    <w:rsid w:val="00DF7589"/>
    <w:rsid w:val="00DF75AB"/>
    <w:rsid w:val="00DF771C"/>
    <w:rsid w:val="00DF792D"/>
    <w:rsid w:val="00DF7A15"/>
    <w:rsid w:val="00DF7FAC"/>
    <w:rsid w:val="00E001D0"/>
    <w:rsid w:val="00E0037C"/>
    <w:rsid w:val="00E0047B"/>
    <w:rsid w:val="00E006FB"/>
    <w:rsid w:val="00E00AD1"/>
    <w:rsid w:val="00E00E65"/>
    <w:rsid w:val="00E00EC7"/>
    <w:rsid w:val="00E00FC2"/>
    <w:rsid w:val="00E00FFF"/>
    <w:rsid w:val="00E011FB"/>
    <w:rsid w:val="00E018F2"/>
    <w:rsid w:val="00E019A1"/>
    <w:rsid w:val="00E01ABD"/>
    <w:rsid w:val="00E01B12"/>
    <w:rsid w:val="00E0215A"/>
    <w:rsid w:val="00E021E6"/>
    <w:rsid w:val="00E02555"/>
    <w:rsid w:val="00E028B0"/>
    <w:rsid w:val="00E02B46"/>
    <w:rsid w:val="00E02BA7"/>
    <w:rsid w:val="00E02BAD"/>
    <w:rsid w:val="00E02BB6"/>
    <w:rsid w:val="00E02FA8"/>
    <w:rsid w:val="00E03002"/>
    <w:rsid w:val="00E03184"/>
    <w:rsid w:val="00E03495"/>
    <w:rsid w:val="00E035FF"/>
    <w:rsid w:val="00E0382F"/>
    <w:rsid w:val="00E03A7C"/>
    <w:rsid w:val="00E03DB2"/>
    <w:rsid w:val="00E04153"/>
    <w:rsid w:val="00E041CF"/>
    <w:rsid w:val="00E0428D"/>
    <w:rsid w:val="00E04569"/>
    <w:rsid w:val="00E049FC"/>
    <w:rsid w:val="00E04A4E"/>
    <w:rsid w:val="00E04AB2"/>
    <w:rsid w:val="00E04B95"/>
    <w:rsid w:val="00E04BA9"/>
    <w:rsid w:val="00E04DA6"/>
    <w:rsid w:val="00E04DF4"/>
    <w:rsid w:val="00E05252"/>
    <w:rsid w:val="00E053B6"/>
    <w:rsid w:val="00E0570F"/>
    <w:rsid w:val="00E0577E"/>
    <w:rsid w:val="00E0590D"/>
    <w:rsid w:val="00E05D1B"/>
    <w:rsid w:val="00E05D59"/>
    <w:rsid w:val="00E05DF1"/>
    <w:rsid w:val="00E05E57"/>
    <w:rsid w:val="00E05E6F"/>
    <w:rsid w:val="00E05FA9"/>
    <w:rsid w:val="00E0664E"/>
    <w:rsid w:val="00E068DA"/>
    <w:rsid w:val="00E06979"/>
    <w:rsid w:val="00E06B7D"/>
    <w:rsid w:val="00E06C21"/>
    <w:rsid w:val="00E06D22"/>
    <w:rsid w:val="00E06DA0"/>
    <w:rsid w:val="00E06E6E"/>
    <w:rsid w:val="00E06F7A"/>
    <w:rsid w:val="00E06FA6"/>
    <w:rsid w:val="00E0703F"/>
    <w:rsid w:val="00E0709E"/>
    <w:rsid w:val="00E070AA"/>
    <w:rsid w:val="00E0722D"/>
    <w:rsid w:val="00E07541"/>
    <w:rsid w:val="00E075B9"/>
    <w:rsid w:val="00E0779A"/>
    <w:rsid w:val="00E077CB"/>
    <w:rsid w:val="00E10023"/>
    <w:rsid w:val="00E10CE2"/>
    <w:rsid w:val="00E10D86"/>
    <w:rsid w:val="00E10DD0"/>
    <w:rsid w:val="00E10F40"/>
    <w:rsid w:val="00E113B8"/>
    <w:rsid w:val="00E116E3"/>
    <w:rsid w:val="00E117D5"/>
    <w:rsid w:val="00E11BF2"/>
    <w:rsid w:val="00E11C38"/>
    <w:rsid w:val="00E11DBD"/>
    <w:rsid w:val="00E11FC1"/>
    <w:rsid w:val="00E120B4"/>
    <w:rsid w:val="00E12164"/>
    <w:rsid w:val="00E1243A"/>
    <w:rsid w:val="00E124EE"/>
    <w:rsid w:val="00E12700"/>
    <w:rsid w:val="00E129CC"/>
    <w:rsid w:val="00E12D25"/>
    <w:rsid w:val="00E12DED"/>
    <w:rsid w:val="00E13073"/>
    <w:rsid w:val="00E13083"/>
    <w:rsid w:val="00E130C0"/>
    <w:rsid w:val="00E130CF"/>
    <w:rsid w:val="00E136D4"/>
    <w:rsid w:val="00E13A58"/>
    <w:rsid w:val="00E13BF8"/>
    <w:rsid w:val="00E13CE3"/>
    <w:rsid w:val="00E140C0"/>
    <w:rsid w:val="00E14437"/>
    <w:rsid w:val="00E147F3"/>
    <w:rsid w:val="00E14A2D"/>
    <w:rsid w:val="00E14AEE"/>
    <w:rsid w:val="00E14C0D"/>
    <w:rsid w:val="00E14C3D"/>
    <w:rsid w:val="00E14F81"/>
    <w:rsid w:val="00E15310"/>
    <w:rsid w:val="00E15ABF"/>
    <w:rsid w:val="00E15D57"/>
    <w:rsid w:val="00E15F41"/>
    <w:rsid w:val="00E161C2"/>
    <w:rsid w:val="00E161E7"/>
    <w:rsid w:val="00E1629C"/>
    <w:rsid w:val="00E1644B"/>
    <w:rsid w:val="00E16596"/>
    <w:rsid w:val="00E16F0B"/>
    <w:rsid w:val="00E170F8"/>
    <w:rsid w:val="00E171A1"/>
    <w:rsid w:val="00E172A3"/>
    <w:rsid w:val="00E172B2"/>
    <w:rsid w:val="00E1749D"/>
    <w:rsid w:val="00E17528"/>
    <w:rsid w:val="00E17592"/>
    <w:rsid w:val="00E17849"/>
    <w:rsid w:val="00E1785D"/>
    <w:rsid w:val="00E17965"/>
    <w:rsid w:val="00E17DE0"/>
    <w:rsid w:val="00E17FAB"/>
    <w:rsid w:val="00E2013B"/>
    <w:rsid w:val="00E2025C"/>
    <w:rsid w:val="00E202ED"/>
    <w:rsid w:val="00E20432"/>
    <w:rsid w:val="00E206B8"/>
    <w:rsid w:val="00E20746"/>
    <w:rsid w:val="00E20786"/>
    <w:rsid w:val="00E20822"/>
    <w:rsid w:val="00E20950"/>
    <w:rsid w:val="00E20A42"/>
    <w:rsid w:val="00E20B6E"/>
    <w:rsid w:val="00E20E04"/>
    <w:rsid w:val="00E20F6A"/>
    <w:rsid w:val="00E215BF"/>
    <w:rsid w:val="00E2179E"/>
    <w:rsid w:val="00E21A9C"/>
    <w:rsid w:val="00E21ADD"/>
    <w:rsid w:val="00E21B4E"/>
    <w:rsid w:val="00E21BCA"/>
    <w:rsid w:val="00E21BCE"/>
    <w:rsid w:val="00E21F22"/>
    <w:rsid w:val="00E21F28"/>
    <w:rsid w:val="00E21FE9"/>
    <w:rsid w:val="00E225F0"/>
    <w:rsid w:val="00E226CA"/>
    <w:rsid w:val="00E22B93"/>
    <w:rsid w:val="00E2309E"/>
    <w:rsid w:val="00E23128"/>
    <w:rsid w:val="00E23517"/>
    <w:rsid w:val="00E236AB"/>
    <w:rsid w:val="00E23883"/>
    <w:rsid w:val="00E2392E"/>
    <w:rsid w:val="00E23A96"/>
    <w:rsid w:val="00E24200"/>
    <w:rsid w:val="00E2430B"/>
    <w:rsid w:val="00E245EB"/>
    <w:rsid w:val="00E2461E"/>
    <w:rsid w:val="00E24856"/>
    <w:rsid w:val="00E24B96"/>
    <w:rsid w:val="00E24C4F"/>
    <w:rsid w:val="00E24DF5"/>
    <w:rsid w:val="00E24F7E"/>
    <w:rsid w:val="00E25130"/>
    <w:rsid w:val="00E2526A"/>
    <w:rsid w:val="00E25519"/>
    <w:rsid w:val="00E25713"/>
    <w:rsid w:val="00E258E5"/>
    <w:rsid w:val="00E25A1A"/>
    <w:rsid w:val="00E25D5F"/>
    <w:rsid w:val="00E261B6"/>
    <w:rsid w:val="00E264CF"/>
    <w:rsid w:val="00E2667B"/>
    <w:rsid w:val="00E26C66"/>
    <w:rsid w:val="00E26D2F"/>
    <w:rsid w:val="00E26E26"/>
    <w:rsid w:val="00E27197"/>
    <w:rsid w:val="00E271CB"/>
    <w:rsid w:val="00E272C3"/>
    <w:rsid w:val="00E2745A"/>
    <w:rsid w:val="00E275B6"/>
    <w:rsid w:val="00E27DE5"/>
    <w:rsid w:val="00E27F56"/>
    <w:rsid w:val="00E30086"/>
    <w:rsid w:val="00E301F8"/>
    <w:rsid w:val="00E3080A"/>
    <w:rsid w:val="00E31028"/>
    <w:rsid w:val="00E313F1"/>
    <w:rsid w:val="00E31401"/>
    <w:rsid w:val="00E31541"/>
    <w:rsid w:val="00E31739"/>
    <w:rsid w:val="00E3181F"/>
    <w:rsid w:val="00E31D18"/>
    <w:rsid w:val="00E31F1F"/>
    <w:rsid w:val="00E31F44"/>
    <w:rsid w:val="00E31F83"/>
    <w:rsid w:val="00E32114"/>
    <w:rsid w:val="00E3231F"/>
    <w:rsid w:val="00E32A57"/>
    <w:rsid w:val="00E32B23"/>
    <w:rsid w:val="00E32D99"/>
    <w:rsid w:val="00E33221"/>
    <w:rsid w:val="00E33464"/>
    <w:rsid w:val="00E33653"/>
    <w:rsid w:val="00E33735"/>
    <w:rsid w:val="00E338EB"/>
    <w:rsid w:val="00E33A3E"/>
    <w:rsid w:val="00E33C4F"/>
    <w:rsid w:val="00E33DDA"/>
    <w:rsid w:val="00E34268"/>
    <w:rsid w:val="00E34292"/>
    <w:rsid w:val="00E3438E"/>
    <w:rsid w:val="00E3450F"/>
    <w:rsid w:val="00E34AD0"/>
    <w:rsid w:val="00E34B0C"/>
    <w:rsid w:val="00E34DBF"/>
    <w:rsid w:val="00E34E4E"/>
    <w:rsid w:val="00E34FD3"/>
    <w:rsid w:val="00E35580"/>
    <w:rsid w:val="00E35727"/>
    <w:rsid w:val="00E35852"/>
    <w:rsid w:val="00E3590D"/>
    <w:rsid w:val="00E35C05"/>
    <w:rsid w:val="00E35C24"/>
    <w:rsid w:val="00E35C94"/>
    <w:rsid w:val="00E35EC0"/>
    <w:rsid w:val="00E3611F"/>
    <w:rsid w:val="00E362AE"/>
    <w:rsid w:val="00E36315"/>
    <w:rsid w:val="00E366FA"/>
    <w:rsid w:val="00E3691B"/>
    <w:rsid w:val="00E36950"/>
    <w:rsid w:val="00E36A86"/>
    <w:rsid w:val="00E36AA0"/>
    <w:rsid w:val="00E36C3A"/>
    <w:rsid w:val="00E36D77"/>
    <w:rsid w:val="00E36FF1"/>
    <w:rsid w:val="00E3703A"/>
    <w:rsid w:val="00E37471"/>
    <w:rsid w:val="00E37748"/>
    <w:rsid w:val="00E3774E"/>
    <w:rsid w:val="00E37ABA"/>
    <w:rsid w:val="00E37EA9"/>
    <w:rsid w:val="00E37FD0"/>
    <w:rsid w:val="00E40029"/>
    <w:rsid w:val="00E4023C"/>
    <w:rsid w:val="00E40653"/>
    <w:rsid w:val="00E4072B"/>
    <w:rsid w:val="00E40F82"/>
    <w:rsid w:val="00E417D0"/>
    <w:rsid w:val="00E418C2"/>
    <w:rsid w:val="00E419E5"/>
    <w:rsid w:val="00E41A8D"/>
    <w:rsid w:val="00E41BEE"/>
    <w:rsid w:val="00E42021"/>
    <w:rsid w:val="00E42168"/>
    <w:rsid w:val="00E42967"/>
    <w:rsid w:val="00E429DB"/>
    <w:rsid w:val="00E42A7B"/>
    <w:rsid w:val="00E42A84"/>
    <w:rsid w:val="00E42CF9"/>
    <w:rsid w:val="00E42FA6"/>
    <w:rsid w:val="00E42FFB"/>
    <w:rsid w:val="00E4323F"/>
    <w:rsid w:val="00E43350"/>
    <w:rsid w:val="00E4336E"/>
    <w:rsid w:val="00E43A32"/>
    <w:rsid w:val="00E43C6B"/>
    <w:rsid w:val="00E43C8C"/>
    <w:rsid w:val="00E43D26"/>
    <w:rsid w:val="00E43D37"/>
    <w:rsid w:val="00E43E23"/>
    <w:rsid w:val="00E43E6B"/>
    <w:rsid w:val="00E43F2B"/>
    <w:rsid w:val="00E44282"/>
    <w:rsid w:val="00E444BB"/>
    <w:rsid w:val="00E445A8"/>
    <w:rsid w:val="00E44BC1"/>
    <w:rsid w:val="00E44F0D"/>
    <w:rsid w:val="00E44F76"/>
    <w:rsid w:val="00E45080"/>
    <w:rsid w:val="00E4517A"/>
    <w:rsid w:val="00E4528D"/>
    <w:rsid w:val="00E454B0"/>
    <w:rsid w:val="00E460B2"/>
    <w:rsid w:val="00E46C88"/>
    <w:rsid w:val="00E46E4C"/>
    <w:rsid w:val="00E46FCE"/>
    <w:rsid w:val="00E4751E"/>
    <w:rsid w:val="00E47919"/>
    <w:rsid w:val="00E47B0D"/>
    <w:rsid w:val="00E47BAA"/>
    <w:rsid w:val="00E47E56"/>
    <w:rsid w:val="00E47E59"/>
    <w:rsid w:val="00E47F24"/>
    <w:rsid w:val="00E47FA2"/>
    <w:rsid w:val="00E5050D"/>
    <w:rsid w:val="00E505E6"/>
    <w:rsid w:val="00E506EE"/>
    <w:rsid w:val="00E507BD"/>
    <w:rsid w:val="00E50855"/>
    <w:rsid w:val="00E508CE"/>
    <w:rsid w:val="00E508CF"/>
    <w:rsid w:val="00E50F7F"/>
    <w:rsid w:val="00E5112A"/>
    <w:rsid w:val="00E5146B"/>
    <w:rsid w:val="00E51479"/>
    <w:rsid w:val="00E51AE3"/>
    <w:rsid w:val="00E51BBE"/>
    <w:rsid w:val="00E51D70"/>
    <w:rsid w:val="00E51DE9"/>
    <w:rsid w:val="00E51F62"/>
    <w:rsid w:val="00E5243A"/>
    <w:rsid w:val="00E52538"/>
    <w:rsid w:val="00E52A00"/>
    <w:rsid w:val="00E52A60"/>
    <w:rsid w:val="00E52B02"/>
    <w:rsid w:val="00E52DD8"/>
    <w:rsid w:val="00E52FE8"/>
    <w:rsid w:val="00E5321F"/>
    <w:rsid w:val="00E53A17"/>
    <w:rsid w:val="00E53C13"/>
    <w:rsid w:val="00E53D96"/>
    <w:rsid w:val="00E53DAE"/>
    <w:rsid w:val="00E53DFB"/>
    <w:rsid w:val="00E53E17"/>
    <w:rsid w:val="00E53ED7"/>
    <w:rsid w:val="00E5412D"/>
    <w:rsid w:val="00E54139"/>
    <w:rsid w:val="00E541E0"/>
    <w:rsid w:val="00E543BD"/>
    <w:rsid w:val="00E54656"/>
    <w:rsid w:val="00E5467F"/>
    <w:rsid w:val="00E54708"/>
    <w:rsid w:val="00E54782"/>
    <w:rsid w:val="00E54B4A"/>
    <w:rsid w:val="00E54E33"/>
    <w:rsid w:val="00E54F8E"/>
    <w:rsid w:val="00E54FD8"/>
    <w:rsid w:val="00E5554D"/>
    <w:rsid w:val="00E55911"/>
    <w:rsid w:val="00E55CB1"/>
    <w:rsid w:val="00E5621E"/>
    <w:rsid w:val="00E563A7"/>
    <w:rsid w:val="00E5653B"/>
    <w:rsid w:val="00E569C0"/>
    <w:rsid w:val="00E56E07"/>
    <w:rsid w:val="00E573FF"/>
    <w:rsid w:val="00E575D9"/>
    <w:rsid w:val="00E57656"/>
    <w:rsid w:val="00E57AF7"/>
    <w:rsid w:val="00E57CFD"/>
    <w:rsid w:val="00E57F8B"/>
    <w:rsid w:val="00E600BB"/>
    <w:rsid w:val="00E6042D"/>
    <w:rsid w:val="00E60644"/>
    <w:rsid w:val="00E60645"/>
    <w:rsid w:val="00E60986"/>
    <w:rsid w:val="00E610A4"/>
    <w:rsid w:val="00E610F8"/>
    <w:rsid w:val="00E612C7"/>
    <w:rsid w:val="00E6198B"/>
    <w:rsid w:val="00E61DF0"/>
    <w:rsid w:val="00E61E6C"/>
    <w:rsid w:val="00E61F43"/>
    <w:rsid w:val="00E62346"/>
    <w:rsid w:val="00E62449"/>
    <w:rsid w:val="00E625E1"/>
    <w:rsid w:val="00E625F2"/>
    <w:rsid w:val="00E626D3"/>
    <w:rsid w:val="00E628EF"/>
    <w:rsid w:val="00E62997"/>
    <w:rsid w:val="00E62A67"/>
    <w:rsid w:val="00E62C07"/>
    <w:rsid w:val="00E62DD9"/>
    <w:rsid w:val="00E62EBF"/>
    <w:rsid w:val="00E62FDC"/>
    <w:rsid w:val="00E63029"/>
    <w:rsid w:val="00E6355B"/>
    <w:rsid w:val="00E6362A"/>
    <w:rsid w:val="00E63786"/>
    <w:rsid w:val="00E63829"/>
    <w:rsid w:val="00E639AE"/>
    <w:rsid w:val="00E63C66"/>
    <w:rsid w:val="00E63D39"/>
    <w:rsid w:val="00E63FCB"/>
    <w:rsid w:val="00E641D1"/>
    <w:rsid w:val="00E6441A"/>
    <w:rsid w:val="00E645EE"/>
    <w:rsid w:val="00E64773"/>
    <w:rsid w:val="00E64801"/>
    <w:rsid w:val="00E64CC7"/>
    <w:rsid w:val="00E64E0F"/>
    <w:rsid w:val="00E655DD"/>
    <w:rsid w:val="00E658CE"/>
    <w:rsid w:val="00E65E35"/>
    <w:rsid w:val="00E65E4E"/>
    <w:rsid w:val="00E65FEF"/>
    <w:rsid w:val="00E66065"/>
    <w:rsid w:val="00E661E0"/>
    <w:rsid w:val="00E6658E"/>
    <w:rsid w:val="00E6683D"/>
    <w:rsid w:val="00E66B11"/>
    <w:rsid w:val="00E66E38"/>
    <w:rsid w:val="00E66E7E"/>
    <w:rsid w:val="00E66FB8"/>
    <w:rsid w:val="00E66FBB"/>
    <w:rsid w:val="00E67657"/>
    <w:rsid w:val="00E676B7"/>
    <w:rsid w:val="00E67A22"/>
    <w:rsid w:val="00E67AB4"/>
    <w:rsid w:val="00E67C7A"/>
    <w:rsid w:val="00E67EC0"/>
    <w:rsid w:val="00E7002C"/>
    <w:rsid w:val="00E7056C"/>
    <w:rsid w:val="00E70671"/>
    <w:rsid w:val="00E7086B"/>
    <w:rsid w:val="00E70B85"/>
    <w:rsid w:val="00E70D59"/>
    <w:rsid w:val="00E712E7"/>
    <w:rsid w:val="00E71443"/>
    <w:rsid w:val="00E71548"/>
    <w:rsid w:val="00E71766"/>
    <w:rsid w:val="00E717B1"/>
    <w:rsid w:val="00E718D6"/>
    <w:rsid w:val="00E71AAB"/>
    <w:rsid w:val="00E71ACE"/>
    <w:rsid w:val="00E71BBC"/>
    <w:rsid w:val="00E71BCC"/>
    <w:rsid w:val="00E71C82"/>
    <w:rsid w:val="00E71C9F"/>
    <w:rsid w:val="00E71FA7"/>
    <w:rsid w:val="00E722C3"/>
    <w:rsid w:val="00E7240B"/>
    <w:rsid w:val="00E724F0"/>
    <w:rsid w:val="00E7271E"/>
    <w:rsid w:val="00E72742"/>
    <w:rsid w:val="00E72E44"/>
    <w:rsid w:val="00E730BC"/>
    <w:rsid w:val="00E730C2"/>
    <w:rsid w:val="00E73276"/>
    <w:rsid w:val="00E7332D"/>
    <w:rsid w:val="00E7342A"/>
    <w:rsid w:val="00E734D7"/>
    <w:rsid w:val="00E7361B"/>
    <w:rsid w:val="00E73672"/>
    <w:rsid w:val="00E7384B"/>
    <w:rsid w:val="00E73BAA"/>
    <w:rsid w:val="00E73BE8"/>
    <w:rsid w:val="00E73FA7"/>
    <w:rsid w:val="00E73FFC"/>
    <w:rsid w:val="00E7459E"/>
    <w:rsid w:val="00E748CB"/>
    <w:rsid w:val="00E74CA0"/>
    <w:rsid w:val="00E74D72"/>
    <w:rsid w:val="00E7512A"/>
    <w:rsid w:val="00E7527B"/>
    <w:rsid w:val="00E7548D"/>
    <w:rsid w:val="00E7550E"/>
    <w:rsid w:val="00E756FE"/>
    <w:rsid w:val="00E75CCD"/>
    <w:rsid w:val="00E75D7F"/>
    <w:rsid w:val="00E75E59"/>
    <w:rsid w:val="00E76493"/>
    <w:rsid w:val="00E76DAC"/>
    <w:rsid w:val="00E76DAD"/>
    <w:rsid w:val="00E76DAE"/>
    <w:rsid w:val="00E76FCC"/>
    <w:rsid w:val="00E77019"/>
    <w:rsid w:val="00E7771E"/>
    <w:rsid w:val="00E77920"/>
    <w:rsid w:val="00E77C61"/>
    <w:rsid w:val="00E77F2B"/>
    <w:rsid w:val="00E80125"/>
    <w:rsid w:val="00E80A52"/>
    <w:rsid w:val="00E81154"/>
    <w:rsid w:val="00E81595"/>
    <w:rsid w:val="00E8169A"/>
    <w:rsid w:val="00E81B0D"/>
    <w:rsid w:val="00E81E1F"/>
    <w:rsid w:val="00E8225A"/>
    <w:rsid w:val="00E822D7"/>
    <w:rsid w:val="00E82478"/>
    <w:rsid w:val="00E82542"/>
    <w:rsid w:val="00E8260B"/>
    <w:rsid w:val="00E82615"/>
    <w:rsid w:val="00E8273E"/>
    <w:rsid w:val="00E827D9"/>
    <w:rsid w:val="00E82C06"/>
    <w:rsid w:val="00E82D13"/>
    <w:rsid w:val="00E82EAD"/>
    <w:rsid w:val="00E82F34"/>
    <w:rsid w:val="00E82F58"/>
    <w:rsid w:val="00E82FAB"/>
    <w:rsid w:val="00E83367"/>
    <w:rsid w:val="00E834E8"/>
    <w:rsid w:val="00E83545"/>
    <w:rsid w:val="00E83632"/>
    <w:rsid w:val="00E836C4"/>
    <w:rsid w:val="00E83966"/>
    <w:rsid w:val="00E83C58"/>
    <w:rsid w:val="00E83CAC"/>
    <w:rsid w:val="00E83D96"/>
    <w:rsid w:val="00E83DBD"/>
    <w:rsid w:val="00E83ED7"/>
    <w:rsid w:val="00E83FB2"/>
    <w:rsid w:val="00E8449C"/>
    <w:rsid w:val="00E84570"/>
    <w:rsid w:val="00E848EE"/>
    <w:rsid w:val="00E848F5"/>
    <w:rsid w:val="00E8495A"/>
    <w:rsid w:val="00E84DD8"/>
    <w:rsid w:val="00E850F9"/>
    <w:rsid w:val="00E85656"/>
    <w:rsid w:val="00E8573E"/>
    <w:rsid w:val="00E859D8"/>
    <w:rsid w:val="00E85C4E"/>
    <w:rsid w:val="00E85D36"/>
    <w:rsid w:val="00E85E01"/>
    <w:rsid w:val="00E862A0"/>
    <w:rsid w:val="00E8633F"/>
    <w:rsid w:val="00E8651B"/>
    <w:rsid w:val="00E867D6"/>
    <w:rsid w:val="00E86951"/>
    <w:rsid w:val="00E86DBB"/>
    <w:rsid w:val="00E87077"/>
    <w:rsid w:val="00E8710C"/>
    <w:rsid w:val="00E87381"/>
    <w:rsid w:val="00E874BE"/>
    <w:rsid w:val="00E87544"/>
    <w:rsid w:val="00E87692"/>
    <w:rsid w:val="00E878B9"/>
    <w:rsid w:val="00E87F41"/>
    <w:rsid w:val="00E901DC"/>
    <w:rsid w:val="00E901EF"/>
    <w:rsid w:val="00E903A8"/>
    <w:rsid w:val="00E9072F"/>
    <w:rsid w:val="00E90791"/>
    <w:rsid w:val="00E90915"/>
    <w:rsid w:val="00E90A91"/>
    <w:rsid w:val="00E90EBE"/>
    <w:rsid w:val="00E91142"/>
    <w:rsid w:val="00E914DF"/>
    <w:rsid w:val="00E91868"/>
    <w:rsid w:val="00E91D2D"/>
    <w:rsid w:val="00E91E51"/>
    <w:rsid w:val="00E92064"/>
    <w:rsid w:val="00E92103"/>
    <w:rsid w:val="00E9223C"/>
    <w:rsid w:val="00E92340"/>
    <w:rsid w:val="00E9237E"/>
    <w:rsid w:val="00E924ED"/>
    <w:rsid w:val="00E927C1"/>
    <w:rsid w:val="00E928F9"/>
    <w:rsid w:val="00E92A76"/>
    <w:rsid w:val="00E92C10"/>
    <w:rsid w:val="00E92E69"/>
    <w:rsid w:val="00E92FCD"/>
    <w:rsid w:val="00E931A4"/>
    <w:rsid w:val="00E9341D"/>
    <w:rsid w:val="00E93490"/>
    <w:rsid w:val="00E93500"/>
    <w:rsid w:val="00E936A4"/>
    <w:rsid w:val="00E938A8"/>
    <w:rsid w:val="00E93A72"/>
    <w:rsid w:val="00E93C16"/>
    <w:rsid w:val="00E93CC4"/>
    <w:rsid w:val="00E94101"/>
    <w:rsid w:val="00E943E2"/>
    <w:rsid w:val="00E944F6"/>
    <w:rsid w:val="00E946E3"/>
    <w:rsid w:val="00E9475A"/>
    <w:rsid w:val="00E94C9B"/>
    <w:rsid w:val="00E95417"/>
    <w:rsid w:val="00E955A3"/>
    <w:rsid w:val="00E959FD"/>
    <w:rsid w:val="00E95DDF"/>
    <w:rsid w:val="00E95E62"/>
    <w:rsid w:val="00E96051"/>
    <w:rsid w:val="00E961CE"/>
    <w:rsid w:val="00E96297"/>
    <w:rsid w:val="00E9645A"/>
    <w:rsid w:val="00E96ABC"/>
    <w:rsid w:val="00E97044"/>
    <w:rsid w:val="00E970A7"/>
    <w:rsid w:val="00E9711E"/>
    <w:rsid w:val="00E97152"/>
    <w:rsid w:val="00E9736F"/>
    <w:rsid w:val="00E97861"/>
    <w:rsid w:val="00E979C1"/>
    <w:rsid w:val="00E979C7"/>
    <w:rsid w:val="00E97A94"/>
    <w:rsid w:val="00E97A9A"/>
    <w:rsid w:val="00E97B3D"/>
    <w:rsid w:val="00E97BD7"/>
    <w:rsid w:val="00E97C3E"/>
    <w:rsid w:val="00E97CEF"/>
    <w:rsid w:val="00E97F63"/>
    <w:rsid w:val="00EA004E"/>
    <w:rsid w:val="00EA0062"/>
    <w:rsid w:val="00EA048D"/>
    <w:rsid w:val="00EA051A"/>
    <w:rsid w:val="00EA081D"/>
    <w:rsid w:val="00EA096A"/>
    <w:rsid w:val="00EA09E4"/>
    <w:rsid w:val="00EA0A0A"/>
    <w:rsid w:val="00EA0CAD"/>
    <w:rsid w:val="00EA10FD"/>
    <w:rsid w:val="00EA127E"/>
    <w:rsid w:val="00EA1349"/>
    <w:rsid w:val="00EA141F"/>
    <w:rsid w:val="00EA182F"/>
    <w:rsid w:val="00EA186C"/>
    <w:rsid w:val="00EA186D"/>
    <w:rsid w:val="00EA1E8B"/>
    <w:rsid w:val="00EA1EA6"/>
    <w:rsid w:val="00EA2421"/>
    <w:rsid w:val="00EA272C"/>
    <w:rsid w:val="00EA29BC"/>
    <w:rsid w:val="00EA2D38"/>
    <w:rsid w:val="00EA2D63"/>
    <w:rsid w:val="00EA2E28"/>
    <w:rsid w:val="00EA2F6E"/>
    <w:rsid w:val="00EA31E6"/>
    <w:rsid w:val="00EA322B"/>
    <w:rsid w:val="00EA3281"/>
    <w:rsid w:val="00EA32ED"/>
    <w:rsid w:val="00EA35A6"/>
    <w:rsid w:val="00EA36B2"/>
    <w:rsid w:val="00EA379D"/>
    <w:rsid w:val="00EA3904"/>
    <w:rsid w:val="00EA3C85"/>
    <w:rsid w:val="00EA4055"/>
    <w:rsid w:val="00EA4071"/>
    <w:rsid w:val="00EA410D"/>
    <w:rsid w:val="00EA4599"/>
    <w:rsid w:val="00EA4688"/>
    <w:rsid w:val="00EA49FE"/>
    <w:rsid w:val="00EA4D01"/>
    <w:rsid w:val="00EA4D5C"/>
    <w:rsid w:val="00EA4D5E"/>
    <w:rsid w:val="00EA4E51"/>
    <w:rsid w:val="00EA4E8B"/>
    <w:rsid w:val="00EA4FB0"/>
    <w:rsid w:val="00EA4FFA"/>
    <w:rsid w:val="00EA51F3"/>
    <w:rsid w:val="00EA52B8"/>
    <w:rsid w:val="00EA5689"/>
    <w:rsid w:val="00EA56D7"/>
    <w:rsid w:val="00EA5777"/>
    <w:rsid w:val="00EA5919"/>
    <w:rsid w:val="00EA5B3D"/>
    <w:rsid w:val="00EA5D8F"/>
    <w:rsid w:val="00EA6260"/>
    <w:rsid w:val="00EA62C0"/>
    <w:rsid w:val="00EA65EF"/>
    <w:rsid w:val="00EA674C"/>
    <w:rsid w:val="00EA6B03"/>
    <w:rsid w:val="00EA7104"/>
    <w:rsid w:val="00EA731F"/>
    <w:rsid w:val="00EA7373"/>
    <w:rsid w:val="00EA7376"/>
    <w:rsid w:val="00EA771D"/>
    <w:rsid w:val="00EA7767"/>
    <w:rsid w:val="00EA788B"/>
    <w:rsid w:val="00EA7BC7"/>
    <w:rsid w:val="00EA7C0C"/>
    <w:rsid w:val="00EB0028"/>
    <w:rsid w:val="00EB00A3"/>
    <w:rsid w:val="00EB0130"/>
    <w:rsid w:val="00EB013B"/>
    <w:rsid w:val="00EB01E3"/>
    <w:rsid w:val="00EB02ED"/>
    <w:rsid w:val="00EB04B4"/>
    <w:rsid w:val="00EB0908"/>
    <w:rsid w:val="00EB0B17"/>
    <w:rsid w:val="00EB0E89"/>
    <w:rsid w:val="00EB0EDB"/>
    <w:rsid w:val="00EB0F4E"/>
    <w:rsid w:val="00EB0F62"/>
    <w:rsid w:val="00EB0FF8"/>
    <w:rsid w:val="00EB1020"/>
    <w:rsid w:val="00EB1855"/>
    <w:rsid w:val="00EB1A4D"/>
    <w:rsid w:val="00EB1B14"/>
    <w:rsid w:val="00EB2128"/>
    <w:rsid w:val="00EB25B5"/>
    <w:rsid w:val="00EB25C9"/>
    <w:rsid w:val="00EB26E2"/>
    <w:rsid w:val="00EB277F"/>
    <w:rsid w:val="00EB2C54"/>
    <w:rsid w:val="00EB2EF2"/>
    <w:rsid w:val="00EB3259"/>
    <w:rsid w:val="00EB358F"/>
    <w:rsid w:val="00EB3642"/>
    <w:rsid w:val="00EB36C1"/>
    <w:rsid w:val="00EB3939"/>
    <w:rsid w:val="00EB3943"/>
    <w:rsid w:val="00EB3A6A"/>
    <w:rsid w:val="00EB3B5C"/>
    <w:rsid w:val="00EB3D81"/>
    <w:rsid w:val="00EB3F50"/>
    <w:rsid w:val="00EB3F57"/>
    <w:rsid w:val="00EB4364"/>
    <w:rsid w:val="00EB4415"/>
    <w:rsid w:val="00EB4477"/>
    <w:rsid w:val="00EB459C"/>
    <w:rsid w:val="00EB45B0"/>
    <w:rsid w:val="00EB45E4"/>
    <w:rsid w:val="00EB4A64"/>
    <w:rsid w:val="00EB4B27"/>
    <w:rsid w:val="00EB52CB"/>
    <w:rsid w:val="00EB5441"/>
    <w:rsid w:val="00EB5573"/>
    <w:rsid w:val="00EB5705"/>
    <w:rsid w:val="00EB5887"/>
    <w:rsid w:val="00EB5B21"/>
    <w:rsid w:val="00EB5B3C"/>
    <w:rsid w:val="00EB5B59"/>
    <w:rsid w:val="00EB5C40"/>
    <w:rsid w:val="00EB6034"/>
    <w:rsid w:val="00EB61CA"/>
    <w:rsid w:val="00EB6460"/>
    <w:rsid w:val="00EB653F"/>
    <w:rsid w:val="00EB6BED"/>
    <w:rsid w:val="00EB6C59"/>
    <w:rsid w:val="00EB74F1"/>
    <w:rsid w:val="00EB7606"/>
    <w:rsid w:val="00EB7D9F"/>
    <w:rsid w:val="00EC0080"/>
    <w:rsid w:val="00EC01D1"/>
    <w:rsid w:val="00EC01FA"/>
    <w:rsid w:val="00EC033F"/>
    <w:rsid w:val="00EC05D8"/>
    <w:rsid w:val="00EC092C"/>
    <w:rsid w:val="00EC0AFA"/>
    <w:rsid w:val="00EC0D55"/>
    <w:rsid w:val="00EC1015"/>
    <w:rsid w:val="00EC124E"/>
    <w:rsid w:val="00EC164E"/>
    <w:rsid w:val="00EC1CC9"/>
    <w:rsid w:val="00EC20C0"/>
    <w:rsid w:val="00EC21CB"/>
    <w:rsid w:val="00EC2267"/>
    <w:rsid w:val="00EC22D6"/>
    <w:rsid w:val="00EC22F4"/>
    <w:rsid w:val="00EC27C4"/>
    <w:rsid w:val="00EC29B3"/>
    <w:rsid w:val="00EC2B60"/>
    <w:rsid w:val="00EC2B95"/>
    <w:rsid w:val="00EC2DD9"/>
    <w:rsid w:val="00EC3346"/>
    <w:rsid w:val="00EC33CF"/>
    <w:rsid w:val="00EC3738"/>
    <w:rsid w:val="00EC3933"/>
    <w:rsid w:val="00EC3A3E"/>
    <w:rsid w:val="00EC3C89"/>
    <w:rsid w:val="00EC4024"/>
    <w:rsid w:val="00EC466E"/>
    <w:rsid w:val="00EC4695"/>
    <w:rsid w:val="00EC46E2"/>
    <w:rsid w:val="00EC47E9"/>
    <w:rsid w:val="00EC4943"/>
    <w:rsid w:val="00EC4A32"/>
    <w:rsid w:val="00EC516D"/>
    <w:rsid w:val="00EC53F6"/>
    <w:rsid w:val="00EC5432"/>
    <w:rsid w:val="00EC5593"/>
    <w:rsid w:val="00EC5826"/>
    <w:rsid w:val="00EC59D2"/>
    <w:rsid w:val="00EC5A78"/>
    <w:rsid w:val="00EC5C03"/>
    <w:rsid w:val="00EC5C2A"/>
    <w:rsid w:val="00EC5C9D"/>
    <w:rsid w:val="00EC6080"/>
    <w:rsid w:val="00EC6417"/>
    <w:rsid w:val="00EC6455"/>
    <w:rsid w:val="00EC65C2"/>
    <w:rsid w:val="00EC6606"/>
    <w:rsid w:val="00EC6651"/>
    <w:rsid w:val="00EC6B01"/>
    <w:rsid w:val="00EC6B4D"/>
    <w:rsid w:val="00EC6E29"/>
    <w:rsid w:val="00EC6FC3"/>
    <w:rsid w:val="00EC6FFB"/>
    <w:rsid w:val="00EC7100"/>
    <w:rsid w:val="00EC71B8"/>
    <w:rsid w:val="00EC731E"/>
    <w:rsid w:val="00EC73F1"/>
    <w:rsid w:val="00EC77D5"/>
    <w:rsid w:val="00EC77DE"/>
    <w:rsid w:val="00EC7844"/>
    <w:rsid w:val="00EC7A09"/>
    <w:rsid w:val="00EC7EBF"/>
    <w:rsid w:val="00ED0223"/>
    <w:rsid w:val="00ED0261"/>
    <w:rsid w:val="00ED04E2"/>
    <w:rsid w:val="00ED04F0"/>
    <w:rsid w:val="00ED0942"/>
    <w:rsid w:val="00ED0D33"/>
    <w:rsid w:val="00ED0F76"/>
    <w:rsid w:val="00ED10B9"/>
    <w:rsid w:val="00ED1246"/>
    <w:rsid w:val="00ED17DD"/>
    <w:rsid w:val="00ED27FC"/>
    <w:rsid w:val="00ED2866"/>
    <w:rsid w:val="00ED338E"/>
    <w:rsid w:val="00ED34E7"/>
    <w:rsid w:val="00ED38EF"/>
    <w:rsid w:val="00ED38F0"/>
    <w:rsid w:val="00ED3983"/>
    <w:rsid w:val="00ED3996"/>
    <w:rsid w:val="00ED39B8"/>
    <w:rsid w:val="00ED3DB0"/>
    <w:rsid w:val="00ED40BA"/>
    <w:rsid w:val="00ED40F8"/>
    <w:rsid w:val="00ED4139"/>
    <w:rsid w:val="00ED41CB"/>
    <w:rsid w:val="00ED423F"/>
    <w:rsid w:val="00ED458D"/>
    <w:rsid w:val="00ED4CEE"/>
    <w:rsid w:val="00ED4FA6"/>
    <w:rsid w:val="00ED524E"/>
    <w:rsid w:val="00ED544D"/>
    <w:rsid w:val="00ED56AC"/>
    <w:rsid w:val="00ED59E6"/>
    <w:rsid w:val="00ED5C94"/>
    <w:rsid w:val="00ED5D6E"/>
    <w:rsid w:val="00ED65FD"/>
    <w:rsid w:val="00ED6A32"/>
    <w:rsid w:val="00ED6A61"/>
    <w:rsid w:val="00ED6A83"/>
    <w:rsid w:val="00ED6EE6"/>
    <w:rsid w:val="00ED7181"/>
    <w:rsid w:val="00ED72FD"/>
    <w:rsid w:val="00ED7765"/>
    <w:rsid w:val="00ED79BD"/>
    <w:rsid w:val="00ED7FF8"/>
    <w:rsid w:val="00EE00E8"/>
    <w:rsid w:val="00EE0132"/>
    <w:rsid w:val="00EE03C6"/>
    <w:rsid w:val="00EE0523"/>
    <w:rsid w:val="00EE0555"/>
    <w:rsid w:val="00EE0879"/>
    <w:rsid w:val="00EE0A7C"/>
    <w:rsid w:val="00EE0B7F"/>
    <w:rsid w:val="00EE0F9C"/>
    <w:rsid w:val="00EE12F1"/>
    <w:rsid w:val="00EE13AE"/>
    <w:rsid w:val="00EE150E"/>
    <w:rsid w:val="00EE1A33"/>
    <w:rsid w:val="00EE1C6C"/>
    <w:rsid w:val="00EE1F30"/>
    <w:rsid w:val="00EE20A5"/>
    <w:rsid w:val="00EE226A"/>
    <w:rsid w:val="00EE298D"/>
    <w:rsid w:val="00EE2B3B"/>
    <w:rsid w:val="00EE2C14"/>
    <w:rsid w:val="00EE2C75"/>
    <w:rsid w:val="00EE2D51"/>
    <w:rsid w:val="00EE2E80"/>
    <w:rsid w:val="00EE2F88"/>
    <w:rsid w:val="00EE301C"/>
    <w:rsid w:val="00EE3076"/>
    <w:rsid w:val="00EE3217"/>
    <w:rsid w:val="00EE3B76"/>
    <w:rsid w:val="00EE3BD9"/>
    <w:rsid w:val="00EE3CD0"/>
    <w:rsid w:val="00EE400D"/>
    <w:rsid w:val="00EE41E2"/>
    <w:rsid w:val="00EE41ED"/>
    <w:rsid w:val="00EE467A"/>
    <w:rsid w:val="00EE47E6"/>
    <w:rsid w:val="00EE4942"/>
    <w:rsid w:val="00EE4AFE"/>
    <w:rsid w:val="00EE4CFA"/>
    <w:rsid w:val="00EE4DE2"/>
    <w:rsid w:val="00EE4FBB"/>
    <w:rsid w:val="00EE5211"/>
    <w:rsid w:val="00EE52A6"/>
    <w:rsid w:val="00EE5BA7"/>
    <w:rsid w:val="00EE5C8C"/>
    <w:rsid w:val="00EE608D"/>
    <w:rsid w:val="00EE618F"/>
    <w:rsid w:val="00EE62B2"/>
    <w:rsid w:val="00EE665B"/>
    <w:rsid w:val="00EE68A5"/>
    <w:rsid w:val="00EE6AC3"/>
    <w:rsid w:val="00EE6BDE"/>
    <w:rsid w:val="00EE6D5A"/>
    <w:rsid w:val="00EE6ED3"/>
    <w:rsid w:val="00EE7064"/>
    <w:rsid w:val="00EE7279"/>
    <w:rsid w:val="00EE77F3"/>
    <w:rsid w:val="00EE7BAE"/>
    <w:rsid w:val="00EE7C8E"/>
    <w:rsid w:val="00EE7EFE"/>
    <w:rsid w:val="00EE7F43"/>
    <w:rsid w:val="00EF008B"/>
    <w:rsid w:val="00EF00CA"/>
    <w:rsid w:val="00EF026C"/>
    <w:rsid w:val="00EF0445"/>
    <w:rsid w:val="00EF0469"/>
    <w:rsid w:val="00EF0609"/>
    <w:rsid w:val="00EF06FC"/>
    <w:rsid w:val="00EF07A4"/>
    <w:rsid w:val="00EF0D2D"/>
    <w:rsid w:val="00EF11E7"/>
    <w:rsid w:val="00EF14BA"/>
    <w:rsid w:val="00EF14D1"/>
    <w:rsid w:val="00EF1591"/>
    <w:rsid w:val="00EF15DD"/>
    <w:rsid w:val="00EF17C1"/>
    <w:rsid w:val="00EF1809"/>
    <w:rsid w:val="00EF19C8"/>
    <w:rsid w:val="00EF1B54"/>
    <w:rsid w:val="00EF1B78"/>
    <w:rsid w:val="00EF1E44"/>
    <w:rsid w:val="00EF2069"/>
    <w:rsid w:val="00EF2243"/>
    <w:rsid w:val="00EF224C"/>
    <w:rsid w:val="00EF22D6"/>
    <w:rsid w:val="00EF24C9"/>
    <w:rsid w:val="00EF2545"/>
    <w:rsid w:val="00EF29BF"/>
    <w:rsid w:val="00EF2B4E"/>
    <w:rsid w:val="00EF2EE9"/>
    <w:rsid w:val="00EF3037"/>
    <w:rsid w:val="00EF3293"/>
    <w:rsid w:val="00EF362B"/>
    <w:rsid w:val="00EF3750"/>
    <w:rsid w:val="00EF3C33"/>
    <w:rsid w:val="00EF3C51"/>
    <w:rsid w:val="00EF3FAB"/>
    <w:rsid w:val="00EF4072"/>
    <w:rsid w:val="00EF4615"/>
    <w:rsid w:val="00EF466F"/>
    <w:rsid w:val="00EF47CD"/>
    <w:rsid w:val="00EF4831"/>
    <w:rsid w:val="00EF4B5B"/>
    <w:rsid w:val="00EF4C28"/>
    <w:rsid w:val="00EF558D"/>
    <w:rsid w:val="00EF55EC"/>
    <w:rsid w:val="00EF5634"/>
    <w:rsid w:val="00EF56C7"/>
    <w:rsid w:val="00EF5834"/>
    <w:rsid w:val="00EF59A1"/>
    <w:rsid w:val="00EF5B03"/>
    <w:rsid w:val="00EF5BBB"/>
    <w:rsid w:val="00EF5E06"/>
    <w:rsid w:val="00EF5F92"/>
    <w:rsid w:val="00EF6081"/>
    <w:rsid w:val="00EF61F8"/>
    <w:rsid w:val="00EF6577"/>
    <w:rsid w:val="00EF723C"/>
    <w:rsid w:val="00EF72C5"/>
    <w:rsid w:val="00EF7391"/>
    <w:rsid w:val="00EF766F"/>
    <w:rsid w:val="00EF7769"/>
    <w:rsid w:val="00EF77E6"/>
    <w:rsid w:val="00EF7C51"/>
    <w:rsid w:val="00EF7CE9"/>
    <w:rsid w:val="00EF7CFB"/>
    <w:rsid w:val="00F00199"/>
    <w:rsid w:val="00F005E3"/>
    <w:rsid w:val="00F00649"/>
    <w:rsid w:val="00F009A0"/>
    <w:rsid w:val="00F00B83"/>
    <w:rsid w:val="00F00C17"/>
    <w:rsid w:val="00F00C24"/>
    <w:rsid w:val="00F00CC5"/>
    <w:rsid w:val="00F013E1"/>
    <w:rsid w:val="00F014B6"/>
    <w:rsid w:val="00F015E1"/>
    <w:rsid w:val="00F01A82"/>
    <w:rsid w:val="00F01BCA"/>
    <w:rsid w:val="00F0217A"/>
    <w:rsid w:val="00F02463"/>
    <w:rsid w:val="00F02561"/>
    <w:rsid w:val="00F02687"/>
    <w:rsid w:val="00F028C3"/>
    <w:rsid w:val="00F02CAF"/>
    <w:rsid w:val="00F03058"/>
    <w:rsid w:val="00F03658"/>
    <w:rsid w:val="00F03684"/>
    <w:rsid w:val="00F03749"/>
    <w:rsid w:val="00F03E44"/>
    <w:rsid w:val="00F04514"/>
    <w:rsid w:val="00F0486B"/>
    <w:rsid w:val="00F04966"/>
    <w:rsid w:val="00F0496D"/>
    <w:rsid w:val="00F04ABD"/>
    <w:rsid w:val="00F05095"/>
    <w:rsid w:val="00F051A0"/>
    <w:rsid w:val="00F053F3"/>
    <w:rsid w:val="00F0570E"/>
    <w:rsid w:val="00F057C7"/>
    <w:rsid w:val="00F05836"/>
    <w:rsid w:val="00F05BCA"/>
    <w:rsid w:val="00F05CA8"/>
    <w:rsid w:val="00F05D80"/>
    <w:rsid w:val="00F060E8"/>
    <w:rsid w:val="00F06548"/>
    <w:rsid w:val="00F0657A"/>
    <w:rsid w:val="00F06887"/>
    <w:rsid w:val="00F06A8F"/>
    <w:rsid w:val="00F06B1D"/>
    <w:rsid w:val="00F06B74"/>
    <w:rsid w:val="00F06D73"/>
    <w:rsid w:val="00F06E59"/>
    <w:rsid w:val="00F0705F"/>
    <w:rsid w:val="00F07323"/>
    <w:rsid w:val="00F073D9"/>
    <w:rsid w:val="00F0741E"/>
    <w:rsid w:val="00F07434"/>
    <w:rsid w:val="00F07829"/>
    <w:rsid w:val="00F07831"/>
    <w:rsid w:val="00F07C14"/>
    <w:rsid w:val="00F07E0A"/>
    <w:rsid w:val="00F10190"/>
    <w:rsid w:val="00F1020F"/>
    <w:rsid w:val="00F10223"/>
    <w:rsid w:val="00F105BD"/>
    <w:rsid w:val="00F105F6"/>
    <w:rsid w:val="00F10809"/>
    <w:rsid w:val="00F10989"/>
    <w:rsid w:val="00F10A75"/>
    <w:rsid w:val="00F10B57"/>
    <w:rsid w:val="00F10ED2"/>
    <w:rsid w:val="00F11051"/>
    <w:rsid w:val="00F11164"/>
    <w:rsid w:val="00F1144F"/>
    <w:rsid w:val="00F1185E"/>
    <w:rsid w:val="00F11A45"/>
    <w:rsid w:val="00F11A5A"/>
    <w:rsid w:val="00F11A75"/>
    <w:rsid w:val="00F11B7C"/>
    <w:rsid w:val="00F11F2D"/>
    <w:rsid w:val="00F1203B"/>
    <w:rsid w:val="00F1223C"/>
    <w:rsid w:val="00F12349"/>
    <w:rsid w:val="00F1238D"/>
    <w:rsid w:val="00F125C2"/>
    <w:rsid w:val="00F12B11"/>
    <w:rsid w:val="00F12B19"/>
    <w:rsid w:val="00F12D31"/>
    <w:rsid w:val="00F134AD"/>
    <w:rsid w:val="00F1375B"/>
    <w:rsid w:val="00F13807"/>
    <w:rsid w:val="00F1385C"/>
    <w:rsid w:val="00F13AD2"/>
    <w:rsid w:val="00F13B53"/>
    <w:rsid w:val="00F13C3B"/>
    <w:rsid w:val="00F13E1A"/>
    <w:rsid w:val="00F13F86"/>
    <w:rsid w:val="00F140F6"/>
    <w:rsid w:val="00F14192"/>
    <w:rsid w:val="00F141E7"/>
    <w:rsid w:val="00F14372"/>
    <w:rsid w:val="00F143C3"/>
    <w:rsid w:val="00F14560"/>
    <w:rsid w:val="00F14718"/>
    <w:rsid w:val="00F148A3"/>
    <w:rsid w:val="00F148C5"/>
    <w:rsid w:val="00F1495B"/>
    <w:rsid w:val="00F14C4E"/>
    <w:rsid w:val="00F15096"/>
    <w:rsid w:val="00F151D7"/>
    <w:rsid w:val="00F15342"/>
    <w:rsid w:val="00F1545C"/>
    <w:rsid w:val="00F156D6"/>
    <w:rsid w:val="00F15A20"/>
    <w:rsid w:val="00F15D74"/>
    <w:rsid w:val="00F15E8C"/>
    <w:rsid w:val="00F16383"/>
    <w:rsid w:val="00F16694"/>
    <w:rsid w:val="00F16C66"/>
    <w:rsid w:val="00F16D63"/>
    <w:rsid w:val="00F16D88"/>
    <w:rsid w:val="00F17223"/>
    <w:rsid w:val="00F1727A"/>
    <w:rsid w:val="00F1741E"/>
    <w:rsid w:val="00F17C80"/>
    <w:rsid w:val="00F17CC0"/>
    <w:rsid w:val="00F20195"/>
    <w:rsid w:val="00F202A1"/>
    <w:rsid w:val="00F20435"/>
    <w:rsid w:val="00F20708"/>
    <w:rsid w:val="00F2087B"/>
    <w:rsid w:val="00F20949"/>
    <w:rsid w:val="00F20962"/>
    <w:rsid w:val="00F21223"/>
    <w:rsid w:val="00F2134F"/>
    <w:rsid w:val="00F217C3"/>
    <w:rsid w:val="00F2193B"/>
    <w:rsid w:val="00F219B7"/>
    <w:rsid w:val="00F21A8A"/>
    <w:rsid w:val="00F21B1E"/>
    <w:rsid w:val="00F21C27"/>
    <w:rsid w:val="00F21E59"/>
    <w:rsid w:val="00F2229D"/>
    <w:rsid w:val="00F2229E"/>
    <w:rsid w:val="00F2248C"/>
    <w:rsid w:val="00F224EC"/>
    <w:rsid w:val="00F22559"/>
    <w:rsid w:val="00F227D3"/>
    <w:rsid w:val="00F229C0"/>
    <w:rsid w:val="00F22DDE"/>
    <w:rsid w:val="00F235B5"/>
    <w:rsid w:val="00F23954"/>
    <w:rsid w:val="00F23996"/>
    <w:rsid w:val="00F2453B"/>
    <w:rsid w:val="00F24542"/>
    <w:rsid w:val="00F24657"/>
    <w:rsid w:val="00F24751"/>
    <w:rsid w:val="00F248EF"/>
    <w:rsid w:val="00F24B07"/>
    <w:rsid w:val="00F24D39"/>
    <w:rsid w:val="00F25459"/>
    <w:rsid w:val="00F25553"/>
    <w:rsid w:val="00F256E8"/>
    <w:rsid w:val="00F2575C"/>
    <w:rsid w:val="00F25E3D"/>
    <w:rsid w:val="00F260F2"/>
    <w:rsid w:val="00F26105"/>
    <w:rsid w:val="00F2622F"/>
    <w:rsid w:val="00F26339"/>
    <w:rsid w:val="00F2658C"/>
    <w:rsid w:val="00F265B3"/>
    <w:rsid w:val="00F266B3"/>
    <w:rsid w:val="00F268B7"/>
    <w:rsid w:val="00F26959"/>
    <w:rsid w:val="00F26B60"/>
    <w:rsid w:val="00F26E8B"/>
    <w:rsid w:val="00F26F62"/>
    <w:rsid w:val="00F26FF8"/>
    <w:rsid w:val="00F27213"/>
    <w:rsid w:val="00F27A57"/>
    <w:rsid w:val="00F27B74"/>
    <w:rsid w:val="00F27C22"/>
    <w:rsid w:val="00F27E3F"/>
    <w:rsid w:val="00F305F2"/>
    <w:rsid w:val="00F3075C"/>
    <w:rsid w:val="00F309E6"/>
    <w:rsid w:val="00F30BB2"/>
    <w:rsid w:val="00F30F05"/>
    <w:rsid w:val="00F30F49"/>
    <w:rsid w:val="00F31246"/>
    <w:rsid w:val="00F3149A"/>
    <w:rsid w:val="00F31940"/>
    <w:rsid w:val="00F319CE"/>
    <w:rsid w:val="00F31AC7"/>
    <w:rsid w:val="00F31CFC"/>
    <w:rsid w:val="00F32075"/>
    <w:rsid w:val="00F32378"/>
    <w:rsid w:val="00F328B5"/>
    <w:rsid w:val="00F329F1"/>
    <w:rsid w:val="00F32AD0"/>
    <w:rsid w:val="00F32BAF"/>
    <w:rsid w:val="00F32CC9"/>
    <w:rsid w:val="00F32D12"/>
    <w:rsid w:val="00F32D9B"/>
    <w:rsid w:val="00F33023"/>
    <w:rsid w:val="00F336E0"/>
    <w:rsid w:val="00F33712"/>
    <w:rsid w:val="00F3391A"/>
    <w:rsid w:val="00F3395F"/>
    <w:rsid w:val="00F33B54"/>
    <w:rsid w:val="00F33D0A"/>
    <w:rsid w:val="00F33F3B"/>
    <w:rsid w:val="00F33F93"/>
    <w:rsid w:val="00F33FB6"/>
    <w:rsid w:val="00F3424F"/>
    <w:rsid w:val="00F3436B"/>
    <w:rsid w:val="00F347EA"/>
    <w:rsid w:val="00F3482C"/>
    <w:rsid w:val="00F34845"/>
    <w:rsid w:val="00F34B1C"/>
    <w:rsid w:val="00F34DAE"/>
    <w:rsid w:val="00F3522D"/>
    <w:rsid w:val="00F3570C"/>
    <w:rsid w:val="00F3589A"/>
    <w:rsid w:val="00F35CBE"/>
    <w:rsid w:val="00F35DA3"/>
    <w:rsid w:val="00F35E4A"/>
    <w:rsid w:val="00F36039"/>
    <w:rsid w:val="00F3608A"/>
    <w:rsid w:val="00F362E7"/>
    <w:rsid w:val="00F36518"/>
    <w:rsid w:val="00F3679F"/>
    <w:rsid w:val="00F36865"/>
    <w:rsid w:val="00F36A78"/>
    <w:rsid w:val="00F36A94"/>
    <w:rsid w:val="00F373A4"/>
    <w:rsid w:val="00F374F3"/>
    <w:rsid w:val="00F37888"/>
    <w:rsid w:val="00F37E09"/>
    <w:rsid w:val="00F37F95"/>
    <w:rsid w:val="00F4001B"/>
    <w:rsid w:val="00F40057"/>
    <w:rsid w:val="00F400B3"/>
    <w:rsid w:val="00F4017D"/>
    <w:rsid w:val="00F40255"/>
    <w:rsid w:val="00F40B9B"/>
    <w:rsid w:val="00F40F54"/>
    <w:rsid w:val="00F40FBF"/>
    <w:rsid w:val="00F41017"/>
    <w:rsid w:val="00F41088"/>
    <w:rsid w:val="00F41189"/>
    <w:rsid w:val="00F41480"/>
    <w:rsid w:val="00F414DA"/>
    <w:rsid w:val="00F41824"/>
    <w:rsid w:val="00F41AB1"/>
    <w:rsid w:val="00F41BB3"/>
    <w:rsid w:val="00F41FCE"/>
    <w:rsid w:val="00F42056"/>
    <w:rsid w:val="00F420A3"/>
    <w:rsid w:val="00F420CC"/>
    <w:rsid w:val="00F42197"/>
    <w:rsid w:val="00F42317"/>
    <w:rsid w:val="00F42415"/>
    <w:rsid w:val="00F4256C"/>
    <w:rsid w:val="00F42730"/>
    <w:rsid w:val="00F42826"/>
    <w:rsid w:val="00F428A3"/>
    <w:rsid w:val="00F4295E"/>
    <w:rsid w:val="00F42F47"/>
    <w:rsid w:val="00F430BB"/>
    <w:rsid w:val="00F431B0"/>
    <w:rsid w:val="00F4334C"/>
    <w:rsid w:val="00F435AD"/>
    <w:rsid w:val="00F43754"/>
    <w:rsid w:val="00F438BD"/>
    <w:rsid w:val="00F43B1C"/>
    <w:rsid w:val="00F43DA1"/>
    <w:rsid w:val="00F441AF"/>
    <w:rsid w:val="00F44306"/>
    <w:rsid w:val="00F44928"/>
    <w:rsid w:val="00F44A77"/>
    <w:rsid w:val="00F44BA4"/>
    <w:rsid w:val="00F44C47"/>
    <w:rsid w:val="00F44D1E"/>
    <w:rsid w:val="00F44F38"/>
    <w:rsid w:val="00F45292"/>
    <w:rsid w:val="00F4584E"/>
    <w:rsid w:val="00F4586D"/>
    <w:rsid w:val="00F458B0"/>
    <w:rsid w:val="00F4594D"/>
    <w:rsid w:val="00F459AB"/>
    <w:rsid w:val="00F462FD"/>
    <w:rsid w:val="00F46329"/>
    <w:rsid w:val="00F46374"/>
    <w:rsid w:val="00F464A0"/>
    <w:rsid w:val="00F46854"/>
    <w:rsid w:val="00F468FD"/>
    <w:rsid w:val="00F46963"/>
    <w:rsid w:val="00F46A93"/>
    <w:rsid w:val="00F46B90"/>
    <w:rsid w:val="00F46CC6"/>
    <w:rsid w:val="00F470BB"/>
    <w:rsid w:val="00F47140"/>
    <w:rsid w:val="00F471E7"/>
    <w:rsid w:val="00F477FF"/>
    <w:rsid w:val="00F47856"/>
    <w:rsid w:val="00F478C8"/>
    <w:rsid w:val="00F47C7F"/>
    <w:rsid w:val="00F47F5A"/>
    <w:rsid w:val="00F50249"/>
    <w:rsid w:val="00F50B87"/>
    <w:rsid w:val="00F50D78"/>
    <w:rsid w:val="00F50FE0"/>
    <w:rsid w:val="00F5104B"/>
    <w:rsid w:val="00F51325"/>
    <w:rsid w:val="00F51506"/>
    <w:rsid w:val="00F515D9"/>
    <w:rsid w:val="00F5169D"/>
    <w:rsid w:val="00F51840"/>
    <w:rsid w:val="00F51918"/>
    <w:rsid w:val="00F51A56"/>
    <w:rsid w:val="00F51BD1"/>
    <w:rsid w:val="00F51C8E"/>
    <w:rsid w:val="00F51F2C"/>
    <w:rsid w:val="00F51F44"/>
    <w:rsid w:val="00F5257E"/>
    <w:rsid w:val="00F52607"/>
    <w:rsid w:val="00F526E7"/>
    <w:rsid w:val="00F527EC"/>
    <w:rsid w:val="00F528AA"/>
    <w:rsid w:val="00F5293D"/>
    <w:rsid w:val="00F52D42"/>
    <w:rsid w:val="00F52EA3"/>
    <w:rsid w:val="00F52F47"/>
    <w:rsid w:val="00F53015"/>
    <w:rsid w:val="00F5316A"/>
    <w:rsid w:val="00F53213"/>
    <w:rsid w:val="00F53257"/>
    <w:rsid w:val="00F53326"/>
    <w:rsid w:val="00F53622"/>
    <w:rsid w:val="00F53AB8"/>
    <w:rsid w:val="00F5418C"/>
    <w:rsid w:val="00F54331"/>
    <w:rsid w:val="00F545CA"/>
    <w:rsid w:val="00F548BA"/>
    <w:rsid w:val="00F548C9"/>
    <w:rsid w:val="00F54986"/>
    <w:rsid w:val="00F54EE1"/>
    <w:rsid w:val="00F54F66"/>
    <w:rsid w:val="00F55265"/>
    <w:rsid w:val="00F552BC"/>
    <w:rsid w:val="00F553A8"/>
    <w:rsid w:val="00F555BC"/>
    <w:rsid w:val="00F559C1"/>
    <w:rsid w:val="00F55A7B"/>
    <w:rsid w:val="00F55B12"/>
    <w:rsid w:val="00F55C31"/>
    <w:rsid w:val="00F55D99"/>
    <w:rsid w:val="00F565AA"/>
    <w:rsid w:val="00F56659"/>
    <w:rsid w:val="00F56694"/>
    <w:rsid w:val="00F5676A"/>
    <w:rsid w:val="00F567A2"/>
    <w:rsid w:val="00F56A57"/>
    <w:rsid w:val="00F56A9F"/>
    <w:rsid w:val="00F56B06"/>
    <w:rsid w:val="00F56B69"/>
    <w:rsid w:val="00F56F4B"/>
    <w:rsid w:val="00F570A3"/>
    <w:rsid w:val="00F573C1"/>
    <w:rsid w:val="00F57406"/>
    <w:rsid w:val="00F57810"/>
    <w:rsid w:val="00F57A61"/>
    <w:rsid w:val="00F601C4"/>
    <w:rsid w:val="00F60707"/>
    <w:rsid w:val="00F6079B"/>
    <w:rsid w:val="00F609B3"/>
    <w:rsid w:val="00F60B74"/>
    <w:rsid w:val="00F60D70"/>
    <w:rsid w:val="00F60F7E"/>
    <w:rsid w:val="00F60FA8"/>
    <w:rsid w:val="00F6112E"/>
    <w:rsid w:val="00F612E8"/>
    <w:rsid w:val="00F614B6"/>
    <w:rsid w:val="00F6156E"/>
    <w:rsid w:val="00F617C6"/>
    <w:rsid w:val="00F61943"/>
    <w:rsid w:val="00F61B4C"/>
    <w:rsid w:val="00F61C9F"/>
    <w:rsid w:val="00F61EC2"/>
    <w:rsid w:val="00F62435"/>
    <w:rsid w:val="00F6273C"/>
    <w:rsid w:val="00F62818"/>
    <w:rsid w:val="00F629BB"/>
    <w:rsid w:val="00F62A02"/>
    <w:rsid w:val="00F62FF9"/>
    <w:rsid w:val="00F631FD"/>
    <w:rsid w:val="00F632E4"/>
    <w:rsid w:val="00F634CC"/>
    <w:rsid w:val="00F63A74"/>
    <w:rsid w:val="00F63A7A"/>
    <w:rsid w:val="00F6406F"/>
    <w:rsid w:val="00F641F2"/>
    <w:rsid w:val="00F645E7"/>
    <w:rsid w:val="00F648A2"/>
    <w:rsid w:val="00F649C9"/>
    <w:rsid w:val="00F64BF0"/>
    <w:rsid w:val="00F64E3E"/>
    <w:rsid w:val="00F64E6C"/>
    <w:rsid w:val="00F64F6E"/>
    <w:rsid w:val="00F64FF6"/>
    <w:rsid w:val="00F65027"/>
    <w:rsid w:val="00F65876"/>
    <w:rsid w:val="00F658A7"/>
    <w:rsid w:val="00F65ABD"/>
    <w:rsid w:val="00F65B91"/>
    <w:rsid w:val="00F65CE6"/>
    <w:rsid w:val="00F65D45"/>
    <w:rsid w:val="00F65D9A"/>
    <w:rsid w:val="00F662F6"/>
    <w:rsid w:val="00F663B9"/>
    <w:rsid w:val="00F663C9"/>
    <w:rsid w:val="00F66536"/>
    <w:rsid w:val="00F66CA8"/>
    <w:rsid w:val="00F66CE5"/>
    <w:rsid w:val="00F67157"/>
    <w:rsid w:val="00F67207"/>
    <w:rsid w:val="00F67806"/>
    <w:rsid w:val="00F67BB2"/>
    <w:rsid w:val="00F67FC9"/>
    <w:rsid w:val="00F702EC"/>
    <w:rsid w:val="00F706CB"/>
    <w:rsid w:val="00F706DA"/>
    <w:rsid w:val="00F70A68"/>
    <w:rsid w:val="00F70BBC"/>
    <w:rsid w:val="00F70BE9"/>
    <w:rsid w:val="00F70CAE"/>
    <w:rsid w:val="00F710C2"/>
    <w:rsid w:val="00F711E4"/>
    <w:rsid w:val="00F71304"/>
    <w:rsid w:val="00F713C1"/>
    <w:rsid w:val="00F715F6"/>
    <w:rsid w:val="00F716B2"/>
    <w:rsid w:val="00F7178C"/>
    <w:rsid w:val="00F718D9"/>
    <w:rsid w:val="00F71B69"/>
    <w:rsid w:val="00F72011"/>
    <w:rsid w:val="00F7215E"/>
    <w:rsid w:val="00F721E1"/>
    <w:rsid w:val="00F723D7"/>
    <w:rsid w:val="00F72681"/>
    <w:rsid w:val="00F72851"/>
    <w:rsid w:val="00F72864"/>
    <w:rsid w:val="00F72D83"/>
    <w:rsid w:val="00F72FD6"/>
    <w:rsid w:val="00F732C3"/>
    <w:rsid w:val="00F7345E"/>
    <w:rsid w:val="00F735BB"/>
    <w:rsid w:val="00F73A7F"/>
    <w:rsid w:val="00F73B15"/>
    <w:rsid w:val="00F73B86"/>
    <w:rsid w:val="00F73BF8"/>
    <w:rsid w:val="00F73C6B"/>
    <w:rsid w:val="00F73C96"/>
    <w:rsid w:val="00F740A3"/>
    <w:rsid w:val="00F740AA"/>
    <w:rsid w:val="00F7432D"/>
    <w:rsid w:val="00F743AE"/>
    <w:rsid w:val="00F74A14"/>
    <w:rsid w:val="00F74E3B"/>
    <w:rsid w:val="00F7512D"/>
    <w:rsid w:val="00F751EC"/>
    <w:rsid w:val="00F75613"/>
    <w:rsid w:val="00F756B0"/>
    <w:rsid w:val="00F7597A"/>
    <w:rsid w:val="00F75A37"/>
    <w:rsid w:val="00F75A77"/>
    <w:rsid w:val="00F75BD1"/>
    <w:rsid w:val="00F75EC5"/>
    <w:rsid w:val="00F762CA"/>
    <w:rsid w:val="00F765C2"/>
    <w:rsid w:val="00F765E3"/>
    <w:rsid w:val="00F7675D"/>
    <w:rsid w:val="00F76823"/>
    <w:rsid w:val="00F7686D"/>
    <w:rsid w:val="00F769F8"/>
    <w:rsid w:val="00F76D9B"/>
    <w:rsid w:val="00F770AE"/>
    <w:rsid w:val="00F773DC"/>
    <w:rsid w:val="00F774FD"/>
    <w:rsid w:val="00F775DF"/>
    <w:rsid w:val="00F77603"/>
    <w:rsid w:val="00F7778E"/>
    <w:rsid w:val="00F7790A"/>
    <w:rsid w:val="00F77BB3"/>
    <w:rsid w:val="00F77DDA"/>
    <w:rsid w:val="00F77DF8"/>
    <w:rsid w:val="00F77EC1"/>
    <w:rsid w:val="00F77FDA"/>
    <w:rsid w:val="00F800B2"/>
    <w:rsid w:val="00F80160"/>
    <w:rsid w:val="00F802C2"/>
    <w:rsid w:val="00F806DD"/>
    <w:rsid w:val="00F8098A"/>
    <w:rsid w:val="00F80C7B"/>
    <w:rsid w:val="00F80CB8"/>
    <w:rsid w:val="00F80E28"/>
    <w:rsid w:val="00F80EF8"/>
    <w:rsid w:val="00F811C2"/>
    <w:rsid w:val="00F8129E"/>
    <w:rsid w:val="00F813CC"/>
    <w:rsid w:val="00F81424"/>
    <w:rsid w:val="00F815B2"/>
    <w:rsid w:val="00F8175B"/>
    <w:rsid w:val="00F818C8"/>
    <w:rsid w:val="00F81B9B"/>
    <w:rsid w:val="00F81BF6"/>
    <w:rsid w:val="00F81C79"/>
    <w:rsid w:val="00F81E59"/>
    <w:rsid w:val="00F82065"/>
    <w:rsid w:val="00F82089"/>
    <w:rsid w:val="00F82436"/>
    <w:rsid w:val="00F8261F"/>
    <w:rsid w:val="00F828DC"/>
    <w:rsid w:val="00F82A5A"/>
    <w:rsid w:val="00F82E2A"/>
    <w:rsid w:val="00F82E5E"/>
    <w:rsid w:val="00F830F4"/>
    <w:rsid w:val="00F83102"/>
    <w:rsid w:val="00F8319B"/>
    <w:rsid w:val="00F832E5"/>
    <w:rsid w:val="00F833C0"/>
    <w:rsid w:val="00F83678"/>
    <w:rsid w:val="00F8379D"/>
    <w:rsid w:val="00F838E1"/>
    <w:rsid w:val="00F83A1E"/>
    <w:rsid w:val="00F83CA6"/>
    <w:rsid w:val="00F83DE6"/>
    <w:rsid w:val="00F8403E"/>
    <w:rsid w:val="00F840A3"/>
    <w:rsid w:val="00F840C0"/>
    <w:rsid w:val="00F844A1"/>
    <w:rsid w:val="00F8460B"/>
    <w:rsid w:val="00F847F8"/>
    <w:rsid w:val="00F84907"/>
    <w:rsid w:val="00F84A08"/>
    <w:rsid w:val="00F84ABB"/>
    <w:rsid w:val="00F84AF2"/>
    <w:rsid w:val="00F84BE6"/>
    <w:rsid w:val="00F84C47"/>
    <w:rsid w:val="00F84D86"/>
    <w:rsid w:val="00F84FCD"/>
    <w:rsid w:val="00F853DD"/>
    <w:rsid w:val="00F85537"/>
    <w:rsid w:val="00F855F3"/>
    <w:rsid w:val="00F85A2A"/>
    <w:rsid w:val="00F85F76"/>
    <w:rsid w:val="00F863A8"/>
    <w:rsid w:val="00F863BA"/>
    <w:rsid w:val="00F863C2"/>
    <w:rsid w:val="00F867E3"/>
    <w:rsid w:val="00F8689F"/>
    <w:rsid w:val="00F8698C"/>
    <w:rsid w:val="00F86ACF"/>
    <w:rsid w:val="00F86AD8"/>
    <w:rsid w:val="00F86C86"/>
    <w:rsid w:val="00F86D0C"/>
    <w:rsid w:val="00F87284"/>
    <w:rsid w:val="00F87510"/>
    <w:rsid w:val="00F875C5"/>
    <w:rsid w:val="00F87B2D"/>
    <w:rsid w:val="00F87B6B"/>
    <w:rsid w:val="00F87BC8"/>
    <w:rsid w:val="00F87F0D"/>
    <w:rsid w:val="00F90011"/>
    <w:rsid w:val="00F9016A"/>
    <w:rsid w:val="00F90409"/>
    <w:rsid w:val="00F90548"/>
    <w:rsid w:val="00F9054F"/>
    <w:rsid w:val="00F907C7"/>
    <w:rsid w:val="00F908E2"/>
    <w:rsid w:val="00F90AFA"/>
    <w:rsid w:val="00F90E6D"/>
    <w:rsid w:val="00F90E8B"/>
    <w:rsid w:val="00F90E95"/>
    <w:rsid w:val="00F90F1E"/>
    <w:rsid w:val="00F9117C"/>
    <w:rsid w:val="00F91591"/>
    <w:rsid w:val="00F91657"/>
    <w:rsid w:val="00F91856"/>
    <w:rsid w:val="00F91991"/>
    <w:rsid w:val="00F91C81"/>
    <w:rsid w:val="00F91DF7"/>
    <w:rsid w:val="00F91E83"/>
    <w:rsid w:val="00F92126"/>
    <w:rsid w:val="00F9228F"/>
    <w:rsid w:val="00F923C4"/>
    <w:rsid w:val="00F9249D"/>
    <w:rsid w:val="00F92624"/>
    <w:rsid w:val="00F926A2"/>
    <w:rsid w:val="00F9274E"/>
    <w:rsid w:val="00F9275A"/>
    <w:rsid w:val="00F9276E"/>
    <w:rsid w:val="00F927F1"/>
    <w:rsid w:val="00F92B05"/>
    <w:rsid w:val="00F92C7D"/>
    <w:rsid w:val="00F92F53"/>
    <w:rsid w:val="00F9302A"/>
    <w:rsid w:val="00F93225"/>
    <w:rsid w:val="00F934D0"/>
    <w:rsid w:val="00F93655"/>
    <w:rsid w:val="00F93669"/>
    <w:rsid w:val="00F9377F"/>
    <w:rsid w:val="00F93C94"/>
    <w:rsid w:val="00F93F6F"/>
    <w:rsid w:val="00F94184"/>
    <w:rsid w:val="00F9424C"/>
    <w:rsid w:val="00F94636"/>
    <w:rsid w:val="00F94645"/>
    <w:rsid w:val="00F94704"/>
    <w:rsid w:val="00F94982"/>
    <w:rsid w:val="00F94C22"/>
    <w:rsid w:val="00F94CD6"/>
    <w:rsid w:val="00F94F2B"/>
    <w:rsid w:val="00F95013"/>
    <w:rsid w:val="00F953D7"/>
    <w:rsid w:val="00F955C6"/>
    <w:rsid w:val="00F955DB"/>
    <w:rsid w:val="00F95605"/>
    <w:rsid w:val="00F958EF"/>
    <w:rsid w:val="00F95C98"/>
    <w:rsid w:val="00F95EC1"/>
    <w:rsid w:val="00F95F2D"/>
    <w:rsid w:val="00F9603B"/>
    <w:rsid w:val="00F963F1"/>
    <w:rsid w:val="00F96409"/>
    <w:rsid w:val="00F96479"/>
    <w:rsid w:val="00F96549"/>
    <w:rsid w:val="00F9654B"/>
    <w:rsid w:val="00F965BC"/>
    <w:rsid w:val="00F96699"/>
    <w:rsid w:val="00F96858"/>
    <w:rsid w:val="00F96B0E"/>
    <w:rsid w:val="00F96D86"/>
    <w:rsid w:val="00F96DFF"/>
    <w:rsid w:val="00F9763A"/>
    <w:rsid w:val="00F97966"/>
    <w:rsid w:val="00F97B18"/>
    <w:rsid w:val="00FA027F"/>
    <w:rsid w:val="00FA030D"/>
    <w:rsid w:val="00FA0378"/>
    <w:rsid w:val="00FA0555"/>
    <w:rsid w:val="00FA0BE4"/>
    <w:rsid w:val="00FA0BF3"/>
    <w:rsid w:val="00FA0CD4"/>
    <w:rsid w:val="00FA0CF9"/>
    <w:rsid w:val="00FA0EE9"/>
    <w:rsid w:val="00FA0F7C"/>
    <w:rsid w:val="00FA121B"/>
    <w:rsid w:val="00FA1313"/>
    <w:rsid w:val="00FA143A"/>
    <w:rsid w:val="00FA150E"/>
    <w:rsid w:val="00FA156B"/>
    <w:rsid w:val="00FA1881"/>
    <w:rsid w:val="00FA192F"/>
    <w:rsid w:val="00FA1B49"/>
    <w:rsid w:val="00FA1D4A"/>
    <w:rsid w:val="00FA25CF"/>
    <w:rsid w:val="00FA2761"/>
    <w:rsid w:val="00FA2BD9"/>
    <w:rsid w:val="00FA2C0F"/>
    <w:rsid w:val="00FA3111"/>
    <w:rsid w:val="00FA33DC"/>
    <w:rsid w:val="00FA343A"/>
    <w:rsid w:val="00FA3458"/>
    <w:rsid w:val="00FA385F"/>
    <w:rsid w:val="00FA386A"/>
    <w:rsid w:val="00FA3CB5"/>
    <w:rsid w:val="00FA3E25"/>
    <w:rsid w:val="00FA402E"/>
    <w:rsid w:val="00FA4166"/>
    <w:rsid w:val="00FA43D1"/>
    <w:rsid w:val="00FA47C0"/>
    <w:rsid w:val="00FA4D0C"/>
    <w:rsid w:val="00FA4DAF"/>
    <w:rsid w:val="00FA4E2D"/>
    <w:rsid w:val="00FA4E6A"/>
    <w:rsid w:val="00FA5068"/>
    <w:rsid w:val="00FA528B"/>
    <w:rsid w:val="00FA5707"/>
    <w:rsid w:val="00FA59C6"/>
    <w:rsid w:val="00FA5A36"/>
    <w:rsid w:val="00FA5C31"/>
    <w:rsid w:val="00FA5C42"/>
    <w:rsid w:val="00FA5F7B"/>
    <w:rsid w:val="00FA5F96"/>
    <w:rsid w:val="00FA60AA"/>
    <w:rsid w:val="00FA61BE"/>
    <w:rsid w:val="00FA63E7"/>
    <w:rsid w:val="00FA66A8"/>
    <w:rsid w:val="00FA6715"/>
    <w:rsid w:val="00FA688C"/>
    <w:rsid w:val="00FA6AED"/>
    <w:rsid w:val="00FA6D41"/>
    <w:rsid w:val="00FA6F87"/>
    <w:rsid w:val="00FA6FA2"/>
    <w:rsid w:val="00FA7148"/>
    <w:rsid w:val="00FA7629"/>
    <w:rsid w:val="00FA7A16"/>
    <w:rsid w:val="00FA7C6C"/>
    <w:rsid w:val="00FA7DBC"/>
    <w:rsid w:val="00FA7FAB"/>
    <w:rsid w:val="00FB015A"/>
    <w:rsid w:val="00FB0371"/>
    <w:rsid w:val="00FB0870"/>
    <w:rsid w:val="00FB090F"/>
    <w:rsid w:val="00FB0954"/>
    <w:rsid w:val="00FB0D03"/>
    <w:rsid w:val="00FB0E50"/>
    <w:rsid w:val="00FB10C1"/>
    <w:rsid w:val="00FB1261"/>
    <w:rsid w:val="00FB1284"/>
    <w:rsid w:val="00FB15BF"/>
    <w:rsid w:val="00FB1722"/>
    <w:rsid w:val="00FB1828"/>
    <w:rsid w:val="00FB1AFE"/>
    <w:rsid w:val="00FB1B45"/>
    <w:rsid w:val="00FB1C4E"/>
    <w:rsid w:val="00FB1CC8"/>
    <w:rsid w:val="00FB1D05"/>
    <w:rsid w:val="00FB1E10"/>
    <w:rsid w:val="00FB1F94"/>
    <w:rsid w:val="00FB23C5"/>
    <w:rsid w:val="00FB2465"/>
    <w:rsid w:val="00FB24A1"/>
    <w:rsid w:val="00FB2580"/>
    <w:rsid w:val="00FB2619"/>
    <w:rsid w:val="00FB2ADC"/>
    <w:rsid w:val="00FB2C79"/>
    <w:rsid w:val="00FB2EDC"/>
    <w:rsid w:val="00FB2FC4"/>
    <w:rsid w:val="00FB3023"/>
    <w:rsid w:val="00FB302C"/>
    <w:rsid w:val="00FB307E"/>
    <w:rsid w:val="00FB3207"/>
    <w:rsid w:val="00FB34E9"/>
    <w:rsid w:val="00FB3637"/>
    <w:rsid w:val="00FB391D"/>
    <w:rsid w:val="00FB3947"/>
    <w:rsid w:val="00FB3B44"/>
    <w:rsid w:val="00FB3D5F"/>
    <w:rsid w:val="00FB3F04"/>
    <w:rsid w:val="00FB3FD8"/>
    <w:rsid w:val="00FB4577"/>
    <w:rsid w:val="00FB465E"/>
    <w:rsid w:val="00FB46FD"/>
    <w:rsid w:val="00FB487D"/>
    <w:rsid w:val="00FB4899"/>
    <w:rsid w:val="00FB4AAA"/>
    <w:rsid w:val="00FB4B57"/>
    <w:rsid w:val="00FB4CFF"/>
    <w:rsid w:val="00FB4DB7"/>
    <w:rsid w:val="00FB4EBE"/>
    <w:rsid w:val="00FB554F"/>
    <w:rsid w:val="00FB5578"/>
    <w:rsid w:val="00FB5639"/>
    <w:rsid w:val="00FB5744"/>
    <w:rsid w:val="00FB58B6"/>
    <w:rsid w:val="00FB5B53"/>
    <w:rsid w:val="00FB5D76"/>
    <w:rsid w:val="00FB60EB"/>
    <w:rsid w:val="00FB612B"/>
    <w:rsid w:val="00FB6131"/>
    <w:rsid w:val="00FB622A"/>
    <w:rsid w:val="00FB63A1"/>
    <w:rsid w:val="00FB6558"/>
    <w:rsid w:val="00FB65ED"/>
    <w:rsid w:val="00FB667E"/>
    <w:rsid w:val="00FB6DA3"/>
    <w:rsid w:val="00FB70FB"/>
    <w:rsid w:val="00FB7301"/>
    <w:rsid w:val="00FB7340"/>
    <w:rsid w:val="00FB797A"/>
    <w:rsid w:val="00FB7A88"/>
    <w:rsid w:val="00FB7AED"/>
    <w:rsid w:val="00FB7BAC"/>
    <w:rsid w:val="00FB7CD4"/>
    <w:rsid w:val="00FC018B"/>
    <w:rsid w:val="00FC02E3"/>
    <w:rsid w:val="00FC036F"/>
    <w:rsid w:val="00FC0819"/>
    <w:rsid w:val="00FC0A4C"/>
    <w:rsid w:val="00FC0AF8"/>
    <w:rsid w:val="00FC0B56"/>
    <w:rsid w:val="00FC11CD"/>
    <w:rsid w:val="00FC1948"/>
    <w:rsid w:val="00FC1AE2"/>
    <w:rsid w:val="00FC1CB3"/>
    <w:rsid w:val="00FC1F3E"/>
    <w:rsid w:val="00FC1FC5"/>
    <w:rsid w:val="00FC22CC"/>
    <w:rsid w:val="00FC22E5"/>
    <w:rsid w:val="00FC2574"/>
    <w:rsid w:val="00FC269F"/>
    <w:rsid w:val="00FC27DF"/>
    <w:rsid w:val="00FC3036"/>
    <w:rsid w:val="00FC3041"/>
    <w:rsid w:val="00FC3323"/>
    <w:rsid w:val="00FC3529"/>
    <w:rsid w:val="00FC35BF"/>
    <w:rsid w:val="00FC393F"/>
    <w:rsid w:val="00FC3EC2"/>
    <w:rsid w:val="00FC3ECF"/>
    <w:rsid w:val="00FC48D5"/>
    <w:rsid w:val="00FC4A9F"/>
    <w:rsid w:val="00FC4B8A"/>
    <w:rsid w:val="00FC4F1D"/>
    <w:rsid w:val="00FC5027"/>
    <w:rsid w:val="00FC5060"/>
    <w:rsid w:val="00FC50C5"/>
    <w:rsid w:val="00FC5965"/>
    <w:rsid w:val="00FC5D41"/>
    <w:rsid w:val="00FC5E23"/>
    <w:rsid w:val="00FC6235"/>
    <w:rsid w:val="00FC6CC0"/>
    <w:rsid w:val="00FC6F40"/>
    <w:rsid w:val="00FC71AF"/>
    <w:rsid w:val="00FC72EA"/>
    <w:rsid w:val="00FC73D8"/>
    <w:rsid w:val="00FC781C"/>
    <w:rsid w:val="00FC79C1"/>
    <w:rsid w:val="00FC7B9F"/>
    <w:rsid w:val="00FD0043"/>
    <w:rsid w:val="00FD00D3"/>
    <w:rsid w:val="00FD02BC"/>
    <w:rsid w:val="00FD0664"/>
    <w:rsid w:val="00FD07D3"/>
    <w:rsid w:val="00FD08D7"/>
    <w:rsid w:val="00FD092C"/>
    <w:rsid w:val="00FD0BBD"/>
    <w:rsid w:val="00FD0C7B"/>
    <w:rsid w:val="00FD1110"/>
    <w:rsid w:val="00FD11DA"/>
    <w:rsid w:val="00FD1230"/>
    <w:rsid w:val="00FD138A"/>
    <w:rsid w:val="00FD1563"/>
    <w:rsid w:val="00FD180D"/>
    <w:rsid w:val="00FD18DE"/>
    <w:rsid w:val="00FD1D2C"/>
    <w:rsid w:val="00FD2035"/>
    <w:rsid w:val="00FD21B2"/>
    <w:rsid w:val="00FD21B4"/>
    <w:rsid w:val="00FD2648"/>
    <w:rsid w:val="00FD2847"/>
    <w:rsid w:val="00FD2898"/>
    <w:rsid w:val="00FD28A9"/>
    <w:rsid w:val="00FD2946"/>
    <w:rsid w:val="00FD2A83"/>
    <w:rsid w:val="00FD2B6F"/>
    <w:rsid w:val="00FD2CE9"/>
    <w:rsid w:val="00FD2D0E"/>
    <w:rsid w:val="00FD2D9B"/>
    <w:rsid w:val="00FD2F5B"/>
    <w:rsid w:val="00FD308B"/>
    <w:rsid w:val="00FD318A"/>
    <w:rsid w:val="00FD376E"/>
    <w:rsid w:val="00FD380F"/>
    <w:rsid w:val="00FD3878"/>
    <w:rsid w:val="00FD3C0B"/>
    <w:rsid w:val="00FD418A"/>
    <w:rsid w:val="00FD42A8"/>
    <w:rsid w:val="00FD4360"/>
    <w:rsid w:val="00FD4755"/>
    <w:rsid w:val="00FD4E9E"/>
    <w:rsid w:val="00FD50DF"/>
    <w:rsid w:val="00FD556E"/>
    <w:rsid w:val="00FD57AB"/>
    <w:rsid w:val="00FD5B2F"/>
    <w:rsid w:val="00FD5B89"/>
    <w:rsid w:val="00FD5E8C"/>
    <w:rsid w:val="00FD5ECB"/>
    <w:rsid w:val="00FD616F"/>
    <w:rsid w:val="00FD64A9"/>
    <w:rsid w:val="00FD660C"/>
    <w:rsid w:val="00FD67F8"/>
    <w:rsid w:val="00FD6AFA"/>
    <w:rsid w:val="00FD6AFD"/>
    <w:rsid w:val="00FD6C56"/>
    <w:rsid w:val="00FD6F83"/>
    <w:rsid w:val="00FD77CB"/>
    <w:rsid w:val="00FD7F55"/>
    <w:rsid w:val="00FD7FC1"/>
    <w:rsid w:val="00FE003A"/>
    <w:rsid w:val="00FE009C"/>
    <w:rsid w:val="00FE018E"/>
    <w:rsid w:val="00FE04E3"/>
    <w:rsid w:val="00FE0616"/>
    <w:rsid w:val="00FE067B"/>
    <w:rsid w:val="00FE08CC"/>
    <w:rsid w:val="00FE0A62"/>
    <w:rsid w:val="00FE0AAB"/>
    <w:rsid w:val="00FE0D52"/>
    <w:rsid w:val="00FE0EE4"/>
    <w:rsid w:val="00FE1153"/>
    <w:rsid w:val="00FE1372"/>
    <w:rsid w:val="00FE179E"/>
    <w:rsid w:val="00FE1AF5"/>
    <w:rsid w:val="00FE1AFC"/>
    <w:rsid w:val="00FE1B47"/>
    <w:rsid w:val="00FE1CB2"/>
    <w:rsid w:val="00FE1E2E"/>
    <w:rsid w:val="00FE1F3E"/>
    <w:rsid w:val="00FE200D"/>
    <w:rsid w:val="00FE237D"/>
    <w:rsid w:val="00FE24A0"/>
    <w:rsid w:val="00FE2622"/>
    <w:rsid w:val="00FE2690"/>
    <w:rsid w:val="00FE27D1"/>
    <w:rsid w:val="00FE2A7E"/>
    <w:rsid w:val="00FE2C13"/>
    <w:rsid w:val="00FE2C5F"/>
    <w:rsid w:val="00FE2CC4"/>
    <w:rsid w:val="00FE309B"/>
    <w:rsid w:val="00FE3290"/>
    <w:rsid w:val="00FE33A2"/>
    <w:rsid w:val="00FE3713"/>
    <w:rsid w:val="00FE3A90"/>
    <w:rsid w:val="00FE3C41"/>
    <w:rsid w:val="00FE3E3F"/>
    <w:rsid w:val="00FE3FE3"/>
    <w:rsid w:val="00FE4222"/>
    <w:rsid w:val="00FE42D6"/>
    <w:rsid w:val="00FE44D0"/>
    <w:rsid w:val="00FE466E"/>
    <w:rsid w:val="00FE46B0"/>
    <w:rsid w:val="00FE4967"/>
    <w:rsid w:val="00FE49E2"/>
    <w:rsid w:val="00FE4ABC"/>
    <w:rsid w:val="00FE4CCE"/>
    <w:rsid w:val="00FE4D27"/>
    <w:rsid w:val="00FE4F1A"/>
    <w:rsid w:val="00FE50D1"/>
    <w:rsid w:val="00FE510D"/>
    <w:rsid w:val="00FE5142"/>
    <w:rsid w:val="00FE571A"/>
    <w:rsid w:val="00FE5904"/>
    <w:rsid w:val="00FE5BAF"/>
    <w:rsid w:val="00FE606E"/>
    <w:rsid w:val="00FE61CE"/>
    <w:rsid w:val="00FE6528"/>
    <w:rsid w:val="00FE65D8"/>
    <w:rsid w:val="00FE6617"/>
    <w:rsid w:val="00FE66BB"/>
    <w:rsid w:val="00FE68C1"/>
    <w:rsid w:val="00FE6A86"/>
    <w:rsid w:val="00FE6AD6"/>
    <w:rsid w:val="00FE6E58"/>
    <w:rsid w:val="00FE7596"/>
    <w:rsid w:val="00FE7603"/>
    <w:rsid w:val="00FE7630"/>
    <w:rsid w:val="00FE77AE"/>
    <w:rsid w:val="00FE796C"/>
    <w:rsid w:val="00FF01AB"/>
    <w:rsid w:val="00FF01D5"/>
    <w:rsid w:val="00FF0288"/>
    <w:rsid w:val="00FF03A3"/>
    <w:rsid w:val="00FF069C"/>
    <w:rsid w:val="00FF0AB8"/>
    <w:rsid w:val="00FF0DE4"/>
    <w:rsid w:val="00FF1004"/>
    <w:rsid w:val="00FF1012"/>
    <w:rsid w:val="00FF119E"/>
    <w:rsid w:val="00FF1280"/>
    <w:rsid w:val="00FF1DF5"/>
    <w:rsid w:val="00FF1E6C"/>
    <w:rsid w:val="00FF1FDE"/>
    <w:rsid w:val="00FF2240"/>
    <w:rsid w:val="00FF2642"/>
    <w:rsid w:val="00FF2707"/>
    <w:rsid w:val="00FF280D"/>
    <w:rsid w:val="00FF29CE"/>
    <w:rsid w:val="00FF2F22"/>
    <w:rsid w:val="00FF2F8B"/>
    <w:rsid w:val="00FF2FC2"/>
    <w:rsid w:val="00FF3283"/>
    <w:rsid w:val="00FF338E"/>
    <w:rsid w:val="00FF33B3"/>
    <w:rsid w:val="00FF3546"/>
    <w:rsid w:val="00FF3627"/>
    <w:rsid w:val="00FF369D"/>
    <w:rsid w:val="00FF3ADA"/>
    <w:rsid w:val="00FF3B16"/>
    <w:rsid w:val="00FF3B76"/>
    <w:rsid w:val="00FF3BEA"/>
    <w:rsid w:val="00FF3D6D"/>
    <w:rsid w:val="00FF3EAA"/>
    <w:rsid w:val="00FF3F39"/>
    <w:rsid w:val="00FF3F58"/>
    <w:rsid w:val="00FF40A5"/>
    <w:rsid w:val="00FF40AE"/>
    <w:rsid w:val="00FF4253"/>
    <w:rsid w:val="00FF4320"/>
    <w:rsid w:val="00FF4476"/>
    <w:rsid w:val="00FF45A4"/>
    <w:rsid w:val="00FF464C"/>
    <w:rsid w:val="00FF4823"/>
    <w:rsid w:val="00FF4DC3"/>
    <w:rsid w:val="00FF4DC7"/>
    <w:rsid w:val="00FF5248"/>
    <w:rsid w:val="00FF5261"/>
    <w:rsid w:val="00FF562D"/>
    <w:rsid w:val="00FF5AAF"/>
    <w:rsid w:val="00FF5BB6"/>
    <w:rsid w:val="00FF5C0E"/>
    <w:rsid w:val="00FF5E6E"/>
    <w:rsid w:val="00FF5F93"/>
    <w:rsid w:val="00FF6584"/>
    <w:rsid w:val="00FF67B5"/>
    <w:rsid w:val="00FF68FB"/>
    <w:rsid w:val="00FF6947"/>
    <w:rsid w:val="00FF6A05"/>
    <w:rsid w:val="00FF6A62"/>
    <w:rsid w:val="00FF6AA7"/>
    <w:rsid w:val="00FF6CAF"/>
    <w:rsid w:val="00FF6E15"/>
    <w:rsid w:val="00FF7175"/>
    <w:rsid w:val="00FF747A"/>
    <w:rsid w:val="00FF7A3A"/>
    <w:rsid w:val="00FF7AE8"/>
    <w:rsid w:val="00FF7D8C"/>
    <w:rsid w:val="06611AD7"/>
    <w:rsid w:val="0E679ECE"/>
    <w:rsid w:val="1C626466"/>
    <w:rsid w:val="1D9898BE"/>
    <w:rsid w:val="21E18335"/>
    <w:rsid w:val="33DCFD3E"/>
    <w:rsid w:val="33E5665E"/>
    <w:rsid w:val="3696BEEF"/>
    <w:rsid w:val="382B0D0F"/>
    <w:rsid w:val="3A211698"/>
    <w:rsid w:val="42510E0F"/>
    <w:rsid w:val="51A52106"/>
    <w:rsid w:val="54A296BA"/>
    <w:rsid w:val="54D2C215"/>
    <w:rsid w:val="57C8890C"/>
    <w:rsid w:val="5A10DF57"/>
    <w:rsid w:val="63522FD4"/>
    <w:rsid w:val="654987F3"/>
    <w:rsid w:val="66E083D0"/>
    <w:rsid w:val="7D32CDDC"/>
    <w:rsid w:val="7F60EFF5"/>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0F852F"/>
  <w15:docId w15:val="{39909D96-2D73-43D1-A19C-FCA2D6ACA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semiHidden="1" w:uiPriority="9" w:qFormat="1"/>
    <w:lsdException w:name="heading 2" w:semiHidden="1" w:qFormat="1"/>
    <w:lsdException w:name="heading 3" w:semiHidden="1" w:qFormat="1"/>
    <w:lsdException w:name="heading 4" w:semiHidden="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22" w:qFormat="1"/>
    <w:lsdException w:name="Emphasis" w:semiHidden="1" w:qFormat="1"/>
    <w:lsdException w:name="Document Map" w:semiHidden="1"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30"/>
    <w:qFormat/>
    <w:rsid w:val="004B4FC0"/>
    <w:pPr>
      <w:spacing w:before="120" w:after="120" w:line="264" w:lineRule="auto"/>
    </w:pPr>
    <w:rPr>
      <w:rFonts w:ascii="Noto Sans" w:hAnsi="Noto Sans" w:cs="Noto Sans"/>
      <w:sz w:val="20"/>
      <w:szCs w:val="18"/>
    </w:rPr>
  </w:style>
  <w:style w:type="paragraph" w:styleId="Heading1">
    <w:name w:val="heading 1"/>
    <w:aliases w:val="DNV-H1"/>
    <w:basedOn w:val="Headinglevel1"/>
    <w:next w:val="Normal"/>
    <w:link w:val="Heading1Char"/>
    <w:uiPriority w:val="9"/>
    <w:qFormat/>
    <w:rsid w:val="0087638A"/>
    <w:rPr>
      <w:lang w:val="fr-FR"/>
    </w:rPr>
  </w:style>
  <w:style w:type="paragraph" w:styleId="Heading2">
    <w:name w:val="heading 2"/>
    <w:aliases w:val="DNV-H2,t2"/>
    <w:basedOn w:val="Headinglevel2"/>
    <w:next w:val="Normal"/>
    <w:link w:val="Heading2Char"/>
    <w:qFormat/>
    <w:rsid w:val="0087638A"/>
    <w:rPr>
      <w:lang w:val="fr-FR"/>
    </w:rPr>
  </w:style>
  <w:style w:type="paragraph" w:styleId="Heading3">
    <w:name w:val="heading 3"/>
    <w:aliases w:val="t3"/>
    <w:basedOn w:val="Heading2"/>
    <w:next w:val="Normal"/>
    <w:link w:val="Heading3Char"/>
    <w:qFormat/>
    <w:rsid w:val="00D077E5"/>
    <w:pPr>
      <w:tabs>
        <w:tab w:val="left" w:pos="680"/>
      </w:tabs>
      <w:outlineLvl w:val="2"/>
    </w:pPr>
    <w:rPr>
      <w:rFonts w:ascii="Noto Sans" w:eastAsia="Batang" w:hAnsi="Noto Sans" w:cs="Arial"/>
      <w:b w:val="0"/>
      <w:color w:val="1E2DBE"/>
      <w:kern w:val="32"/>
      <w:sz w:val="20"/>
    </w:rPr>
  </w:style>
  <w:style w:type="paragraph" w:styleId="Heading4">
    <w:name w:val="heading 4"/>
    <w:basedOn w:val="Heading3"/>
    <w:next w:val="Numbered"/>
    <w:link w:val="Heading4Char"/>
    <w:qFormat/>
    <w:rsid w:val="00937DD7"/>
    <w:pPr>
      <w:outlineLvl w:val="3"/>
    </w:pPr>
    <w:rPr>
      <w:rFonts w:eastAsia="Times New Roman"/>
      <w:b/>
      <w:i/>
      <w:sz w:val="22"/>
      <w:szCs w:val="28"/>
      <w:lang w:val="en-US"/>
    </w:rPr>
  </w:style>
  <w:style w:type="paragraph" w:styleId="Heading5">
    <w:name w:val="heading 5"/>
    <w:basedOn w:val="Heading4"/>
    <w:next w:val="Numbered"/>
    <w:link w:val="Heading5Char"/>
    <w:qFormat/>
    <w:rsid w:val="00937DD7"/>
    <w:pPr>
      <w:spacing w:before="120" w:after="60"/>
      <w:outlineLvl w:val="4"/>
    </w:pPr>
    <w:rPr>
      <w:bCs w:val="0"/>
      <w:i w:val="0"/>
      <w:iCs/>
      <w:szCs w:val="26"/>
    </w:rPr>
  </w:style>
  <w:style w:type="paragraph" w:styleId="Heading6">
    <w:name w:val="heading 6"/>
    <w:basedOn w:val="Heading5"/>
    <w:next w:val="Numbered"/>
    <w:link w:val="Heading6Char"/>
    <w:qFormat/>
    <w:rsid w:val="00937DD7"/>
    <w:pPr>
      <w:ind w:left="1134"/>
      <w:outlineLvl w:val="5"/>
    </w:pPr>
  </w:style>
  <w:style w:type="paragraph" w:styleId="Heading7">
    <w:name w:val="heading 7"/>
    <w:basedOn w:val="Heading5"/>
    <w:next w:val="Numbered"/>
    <w:link w:val="Heading7Char"/>
    <w:qFormat/>
    <w:rsid w:val="00937DD7"/>
    <w:pPr>
      <w:ind w:left="1134"/>
      <w:outlineLvl w:val="6"/>
    </w:pPr>
    <w:rPr>
      <w:b w:val="0"/>
      <w:i/>
    </w:rPr>
  </w:style>
  <w:style w:type="paragraph" w:styleId="Heading8">
    <w:name w:val="heading 8"/>
    <w:basedOn w:val="Heading5"/>
    <w:next w:val="Numbered"/>
    <w:link w:val="Heading8Char"/>
    <w:qFormat/>
    <w:rsid w:val="00937DD7"/>
    <w:pPr>
      <w:ind w:left="1134"/>
      <w:outlineLvl w:val="7"/>
    </w:pPr>
    <w:rPr>
      <w:b w:val="0"/>
      <w:iCs w:val="0"/>
    </w:rPr>
  </w:style>
  <w:style w:type="paragraph" w:styleId="Heading9">
    <w:name w:val="heading 9"/>
    <w:basedOn w:val="Normal"/>
    <w:next w:val="Normal"/>
    <w:link w:val="Heading9Char"/>
    <w:qFormat/>
    <w:rsid w:val="00937DD7"/>
    <w:pPr>
      <w:spacing w:before="240" w:after="60" w:line="240" w:lineRule="auto"/>
      <w:outlineLvl w:val="8"/>
    </w:pPr>
    <w:rPr>
      <w:rFonts w:ascii="Arial" w:eastAsia="Times New Roman" w:hAnsi="Arial" w:cs="Arial"/>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Bullet1">
    <w:name w:val="ListBullet1"/>
    <w:uiPriority w:val="5"/>
    <w:qFormat/>
    <w:rsid w:val="002B35A1"/>
    <w:pPr>
      <w:numPr>
        <w:numId w:val="21"/>
      </w:numPr>
      <w:spacing w:before="60" w:after="60" w:line="240" w:lineRule="auto"/>
      <w:jc w:val="both"/>
    </w:pPr>
    <w:rPr>
      <w:rFonts w:ascii="Noto Sans" w:hAnsi="Noto Sans" w:cs="Noto Sans"/>
      <w:sz w:val="20"/>
      <w:szCs w:val="18"/>
      <w:lang w:val="en-GB"/>
    </w:rPr>
  </w:style>
  <w:style w:type="paragraph" w:styleId="Header">
    <w:name w:val="header"/>
    <w:basedOn w:val="NormalBody"/>
    <w:link w:val="HeaderChar"/>
    <w:uiPriority w:val="99"/>
    <w:unhideWhenUsed/>
    <w:rsid w:val="004D0F5E"/>
    <w:pPr>
      <w:tabs>
        <w:tab w:val="left" w:pos="227"/>
        <w:tab w:val="right" w:pos="10204"/>
      </w:tabs>
      <w:spacing w:before="0" w:after="0"/>
    </w:pPr>
    <w:rPr>
      <w:rFonts w:cs="Noto Sans SemBd"/>
      <w:bCs/>
      <w:noProof/>
      <w:color w:val="1E2DBE"/>
      <w:sz w:val="16"/>
    </w:rPr>
  </w:style>
  <w:style w:type="character" w:customStyle="1" w:styleId="HeaderChar">
    <w:name w:val="Header Char"/>
    <w:basedOn w:val="DefaultParagraphFont"/>
    <w:link w:val="Header"/>
    <w:uiPriority w:val="99"/>
    <w:rsid w:val="004D0F5E"/>
    <w:rPr>
      <w:rFonts w:ascii="Noto Sans" w:hAnsi="Noto Sans" w:cs="Noto Sans SemBd"/>
      <w:bCs/>
      <w:noProof/>
      <w:color w:val="1E2DBE"/>
      <w:sz w:val="16"/>
      <w:szCs w:val="18"/>
      <w:lang w:val="en-GB"/>
    </w:rPr>
  </w:style>
  <w:style w:type="paragraph" w:styleId="Footer">
    <w:name w:val="footer"/>
    <w:aliases w:val="pp"/>
    <w:basedOn w:val="NormalBody"/>
    <w:link w:val="FooterChar"/>
    <w:uiPriority w:val="99"/>
    <w:unhideWhenUsed/>
    <w:rsid w:val="00830C02"/>
    <w:pPr>
      <w:tabs>
        <w:tab w:val="center" w:pos="4536"/>
        <w:tab w:val="right" w:pos="9072"/>
      </w:tabs>
      <w:spacing w:before="0" w:after="0"/>
    </w:pPr>
    <w:rPr>
      <w:color w:val="1E2DBE"/>
    </w:rPr>
  </w:style>
  <w:style w:type="character" w:customStyle="1" w:styleId="FooterChar">
    <w:name w:val="Footer Char"/>
    <w:aliases w:val="pp Char"/>
    <w:basedOn w:val="DefaultParagraphFont"/>
    <w:link w:val="Footer"/>
    <w:uiPriority w:val="99"/>
    <w:rsid w:val="00897580"/>
    <w:rPr>
      <w:rFonts w:ascii="Noto Sans" w:hAnsi="Noto Sans" w:cs="Noto Sans"/>
      <w:color w:val="1E2DBE"/>
      <w:sz w:val="18"/>
      <w:szCs w:val="18"/>
      <w:lang w:val="en-GB"/>
    </w:rPr>
  </w:style>
  <w:style w:type="paragraph" w:customStyle="1" w:styleId="NormalBody">
    <w:name w:val="NormalBody"/>
    <w:link w:val="NormalBodyChar"/>
    <w:uiPriority w:val="4"/>
    <w:qFormat/>
    <w:rsid w:val="00243008"/>
    <w:pPr>
      <w:spacing w:before="120" w:after="120" w:line="240" w:lineRule="auto"/>
      <w:jc w:val="both"/>
    </w:pPr>
    <w:rPr>
      <w:rFonts w:ascii="Noto Sans" w:eastAsia="SimSun" w:hAnsi="Noto Sans" w:cs="Noto Sans"/>
      <w:sz w:val="20"/>
      <w:szCs w:val="16"/>
      <w:lang w:val="en-GB"/>
    </w:rPr>
  </w:style>
  <w:style w:type="paragraph" w:customStyle="1" w:styleId="DateMonthYear">
    <w:name w:val="Date(MonthYear)"/>
    <w:link w:val="DateMonthYearCar"/>
    <w:uiPriority w:val="2"/>
    <w:qFormat/>
    <w:rsid w:val="00251EEC"/>
    <w:pPr>
      <w:spacing w:before="120" w:after="120" w:line="240" w:lineRule="auto"/>
      <w:ind w:left="454"/>
    </w:pPr>
    <w:rPr>
      <w:rFonts w:ascii="Overpass Light" w:hAnsi="Overpass Light" w:cs="Noto Sans"/>
      <w:color w:val="1E2DBE"/>
      <w:sz w:val="18"/>
      <w:szCs w:val="18"/>
      <w:lang w:val="en-GB"/>
    </w:rPr>
  </w:style>
  <w:style w:type="character" w:styleId="PlaceholderText">
    <w:name w:val="Placeholder Text"/>
    <w:basedOn w:val="DefaultParagraphFont"/>
    <w:uiPriority w:val="99"/>
    <w:semiHidden/>
    <w:rsid w:val="004C2061"/>
    <w:rPr>
      <w:color w:val="808080"/>
    </w:rPr>
  </w:style>
  <w:style w:type="table" w:styleId="TableGrid">
    <w:name w:val="Table Grid"/>
    <w:basedOn w:val="TableNormal"/>
    <w:uiPriority w:val="39"/>
    <w:rsid w:val="00D663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ateMonthYearCar">
    <w:name w:val="Date(MonthYear) Car"/>
    <w:basedOn w:val="DefaultParagraphFont"/>
    <w:link w:val="DateMonthYear"/>
    <w:uiPriority w:val="2"/>
    <w:rsid w:val="00897580"/>
    <w:rPr>
      <w:rFonts w:ascii="Overpass Light" w:hAnsi="Overpass Light" w:cs="Noto Sans"/>
      <w:color w:val="1E2DBE"/>
      <w:sz w:val="18"/>
      <w:szCs w:val="18"/>
      <w:lang w:val="en-GB"/>
    </w:rPr>
  </w:style>
  <w:style w:type="paragraph" w:customStyle="1" w:styleId="KeyTitle">
    <w:name w:val="KeyTitle"/>
    <w:basedOn w:val="NormalBody"/>
    <w:uiPriority w:val="6"/>
    <w:qFormat/>
    <w:rsid w:val="00EA4FB0"/>
    <w:pPr>
      <w:spacing w:before="0" w:after="0"/>
    </w:pPr>
    <w:rPr>
      <w:b/>
      <w:bCs/>
      <w:szCs w:val="20"/>
    </w:rPr>
  </w:style>
  <w:style w:type="paragraph" w:customStyle="1" w:styleId="KeyList">
    <w:name w:val="KeyList"/>
    <w:basedOn w:val="NormalBody"/>
    <w:uiPriority w:val="6"/>
    <w:qFormat/>
    <w:rsid w:val="006B271B"/>
    <w:pPr>
      <w:numPr>
        <w:numId w:val="1"/>
      </w:numPr>
      <w:ind w:left="227" w:hanging="227"/>
    </w:pPr>
  </w:style>
  <w:style w:type="character" w:customStyle="1" w:styleId="Folio">
    <w:name w:val="Folio"/>
    <w:basedOn w:val="DefaultParagraphFont"/>
    <w:uiPriority w:val="14"/>
    <w:qFormat/>
    <w:rsid w:val="004D0F5E"/>
    <w:rPr>
      <w:rFonts w:ascii="Noto Sans" w:hAnsi="Noto Sans"/>
      <w:sz w:val="18"/>
      <w:szCs w:val="22"/>
    </w:rPr>
  </w:style>
  <w:style w:type="paragraph" w:styleId="FootnoteText">
    <w:name w:val="footnote text"/>
    <w:aliases w:val="single space,FOOTNOTES,fn,Char,footnote text,ft,ADB,pod carou,Testo nota a piè di pagina Carattere,Geneva 9,Font: Geneva 9,Boston 10,f,ft Char Char,single space Char Char,Fußnot,Footnote Text Char2 Char,Footnote ak,Footnotes"/>
    <w:basedOn w:val="NormalBody"/>
    <w:link w:val="FootnoteTextChar"/>
    <w:uiPriority w:val="99"/>
    <w:qFormat/>
    <w:rsid w:val="00392E53"/>
    <w:pPr>
      <w:tabs>
        <w:tab w:val="left" w:pos="0"/>
        <w:tab w:val="left" w:pos="284"/>
      </w:tabs>
      <w:spacing w:before="0" w:after="0"/>
      <w:ind w:left="284" w:hanging="284"/>
    </w:pPr>
    <w:rPr>
      <w:sz w:val="16"/>
      <w:szCs w:val="20"/>
    </w:rPr>
  </w:style>
  <w:style w:type="character" w:customStyle="1" w:styleId="FootnoteTextChar">
    <w:name w:val="Footnote Text Char"/>
    <w:aliases w:val="single space Char,FOOTNOTES Char,fn Char,Char Char,footnote text Char,ft Char,ADB Char,pod carou Char,Testo nota a piè di pagina Carattere Char,Geneva 9 Char,Font: Geneva 9 Char,Boston 10 Char,f Char,ft Char Char Char,Fußnot Char"/>
    <w:basedOn w:val="DefaultParagraphFont"/>
    <w:link w:val="FootnoteText"/>
    <w:uiPriority w:val="99"/>
    <w:rsid w:val="00392E53"/>
    <w:rPr>
      <w:rFonts w:ascii="Noto Sans" w:eastAsia="SimSun" w:hAnsi="Noto Sans" w:cs="Noto Sans"/>
      <w:sz w:val="16"/>
      <w:szCs w:val="20"/>
      <w:lang w:val="en-GB"/>
    </w:rPr>
  </w:style>
  <w:style w:type="character" w:styleId="FootnoteReference">
    <w:name w:val="footnote reference"/>
    <w:aliases w:val="Footnotes refss,Footnote Reference1,ftref,16 Point,Superscript 6 Point,BVI fnr,Ref,de nota al pie,FNRefe,fr,Used by Word for Help footnote symbols,heading1,Appel note de bas de page,Ref. de nota al pie."/>
    <w:basedOn w:val="DefaultParagraphFont"/>
    <w:uiPriority w:val="99"/>
    <w:qFormat/>
    <w:rsid w:val="0090398D"/>
    <w:rPr>
      <w:vertAlign w:val="superscript"/>
    </w:rPr>
  </w:style>
  <w:style w:type="paragraph" w:customStyle="1" w:styleId="QuoteText">
    <w:name w:val="QuoteText"/>
    <w:basedOn w:val="Normal"/>
    <w:uiPriority w:val="11"/>
    <w:qFormat/>
    <w:rsid w:val="00F6079B"/>
    <w:pPr>
      <w:keepNext/>
      <w:pBdr>
        <w:bottom w:val="single" w:sz="4" w:space="6" w:color="1E2DBE"/>
      </w:pBdr>
      <w:spacing w:line="240" w:lineRule="auto"/>
    </w:pPr>
    <w:rPr>
      <w:rFonts w:ascii="Overpass Light" w:hAnsi="Overpass Light"/>
      <w:color w:val="1E2DBE"/>
      <w:sz w:val="32"/>
      <w:szCs w:val="32"/>
      <w:lang w:val="fr-FR"/>
    </w:rPr>
  </w:style>
  <w:style w:type="paragraph" w:customStyle="1" w:styleId="QuoteDescription">
    <w:name w:val="QuoteDescription"/>
    <w:basedOn w:val="NormalBody"/>
    <w:uiPriority w:val="11"/>
    <w:qFormat/>
    <w:rsid w:val="009B37D8"/>
    <w:pPr>
      <w:numPr>
        <w:numId w:val="2"/>
      </w:numPr>
      <w:spacing w:before="0" w:after="0"/>
      <w:ind w:left="227" w:hanging="227"/>
    </w:pPr>
    <w:rPr>
      <w:color w:val="1E2DBE"/>
    </w:rPr>
  </w:style>
  <w:style w:type="paragraph" w:styleId="ListParagraph">
    <w:name w:val="List Paragraph"/>
    <w:aliases w:val="Bullets,Fundamentacion"/>
    <w:basedOn w:val="Normal"/>
    <w:link w:val="ListParagraphChar"/>
    <w:uiPriority w:val="34"/>
    <w:qFormat/>
    <w:rsid w:val="00800259"/>
    <w:pPr>
      <w:ind w:left="720"/>
      <w:contextualSpacing/>
    </w:pPr>
  </w:style>
  <w:style w:type="paragraph" w:customStyle="1" w:styleId="RunningTitleAutomatic">
    <w:name w:val="RunningTitle(Automatic)"/>
    <w:basedOn w:val="NormalBody"/>
    <w:uiPriority w:val="49"/>
    <w:semiHidden/>
    <w:qFormat/>
    <w:rsid w:val="004E2BE0"/>
    <w:pPr>
      <w:spacing w:before="0" w:after="0"/>
      <w:ind w:left="227"/>
    </w:pPr>
    <w:rPr>
      <w:rFonts w:ascii="Overpass Light" w:hAnsi="Overpass Light"/>
      <w:noProof/>
      <w:color w:val="1E2DBE"/>
    </w:rPr>
  </w:style>
  <w:style w:type="paragraph" w:customStyle="1" w:styleId="ListNum1">
    <w:name w:val="ListNum1"/>
    <w:uiPriority w:val="5"/>
    <w:qFormat/>
    <w:rsid w:val="00756130"/>
    <w:pPr>
      <w:spacing w:before="60" w:after="60" w:line="240" w:lineRule="auto"/>
      <w:ind w:left="567" w:hanging="227"/>
      <w:jc w:val="both"/>
    </w:pPr>
    <w:rPr>
      <w:rFonts w:ascii="Noto Sans" w:hAnsi="Noto Sans" w:cs="Noto Sans"/>
      <w:sz w:val="20"/>
      <w:szCs w:val="18"/>
      <w:lang w:val="en-GB"/>
    </w:rPr>
  </w:style>
  <w:style w:type="paragraph" w:customStyle="1" w:styleId="ListNum2">
    <w:name w:val="ListNum2"/>
    <w:uiPriority w:val="5"/>
    <w:qFormat/>
    <w:rsid w:val="00FF1FDE"/>
    <w:pPr>
      <w:spacing w:before="60" w:after="60" w:line="240" w:lineRule="auto"/>
      <w:ind w:left="907" w:hanging="340"/>
      <w:jc w:val="both"/>
    </w:pPr>
    <w:rPr>
      <w:rFonts w:ascii="Noto Sans" w:hAnsi="Noto Sans"/>
      <w:sz w:val="20"/>
      <w:lang w:val="en-US"/>
    </w:rPr>
  </w:style>
  <w:style w:type="numbering" w:customStyle="1" w:styleId="ListNumILO">
    <w:name w:val="ListNumILO"/>
    <w:basedOn w:val="NoList"/>
    <w:uiPriority w:val="99"/>
    <w:rsid w:val="00150A54"/>
    <w:pPr>
      <w:numPr>
        <w:numId w:val="20"/>
      </w:numPr>
    </w:pPr>
  </w:style>
  <w:style w:type="paragraph" w:customStyle="1" w:styleId="Source-BoxTable">
    <w:name w:val="Source - BoxTable"/>
    <w:next w:val="NormalBody"/>
    <w:uiPriority w:val="7"/>
    <w:qFormat/>
    <w:rsid w:val="002D665D"/>
    <w:pPr>
      <w:spacing w:before="120" w:after="60" w:line="240" w:lineRule="auto"/>
      <w:jc w:val="both"/>
    </w:pPr>
    <w:rPr>
      <w:rFonts w:ascii="Noto Sans" w:hAnsi="Noto Sans" w:cs="Noto Sans"/>
      <w:sz w:val="18"/>
      <w:szCs w:val="15"/>
      <w:lang w:val="en-GB"/>
    </w:rPr>
  </w:style>
  <w:style w:type="paragraph" w:customStyle="1" w:styleId="PicturePlace">
    <w:name w:val="PicturePlace"/>
    <w:basedOn w:val="NormalBody"/>
    <w:uiPriority w:val="9"/>
    <w:qFormat/>
    <w:rsid w:val="003967D2"/>
    <w:pPr>
      <w:keepNext/>
      <w:spacing w:before="0" w:after="0"/>
      <w:jc w:val="center"/>
    </w:pPr>
  </w:style>
  <w:style w:type="paragraph" w:customStyle="1" w:styleId="Copyright">
    <w:name w:val="Copyright"/>
    <w:basedOn w:val="NormalBody"/>
    <w:uiPriority w:val="49"/>
    <w:qFormat/>
    <w:rsid w:val="004E2BE0"/>
    <w:pPr>
      <w:spacing w:before="0" w:after="0"/>
      <w:jc w:val="right"/>
    </w:pPr>
    <w:rPr>
      <w:sz w:val="14"/>
      <w:szCs w:val="12"/>
    </w:rPr>
  </w:style>
  <w:style w:type="paragraph" w:customStyle="1" w:styleId="ContactDetail">
    <w:name w:val="ContactDetail"/>
    <w:basedOn w:val="NormalBody"/>
    <w:uiPriority w:val="13"/>
    <w:qFormat/>
    <w:rsid w:val="00FB1F94"/>
    <w:pPr>
      <w:spacing w:before="0" w:after="0"/>
    </w:pPr>
    <w:rPr>
      <w:sz w:val="16"/>
      <w:szCs w:val="15"/>
    </w:rPr>
  </w:style>
  <w:style w:type="table" w:customStyle="1" w:styleId="ILOTable">
    <w:name w:val="ILOTable"/>
    <w:basedOn w:val="TableNormal"/>
    <w:uiPriority w:val="99"/>
    <w:rsid w:val="002D70F5"/>
    <w:pPr>
      <w:spacing w:after="0" w:line="240" w:lineRule="auto"/>
    </w:pPr>
    <w:rPr>
      <w:rFonts w:ascii="Noto Sans" w:hAnsi="Noto Sans"/>
      <w:sz w:val="18"/>
    </w:rPr>
    <w:tblPr>
      <w:tblStyleRowBandSize w:val="1"/>
      <w:tblBorders>
        <w:top w:val="single" w:sz="2" w:space="0" w:color="1E2DBE"/>
        <w:left w:val="single" w:sz="2" w:space="0" w:color="1E2DBE"/>
        <w:bottom w:val="single" w:sz="2" w:space="0" w:color="1E2DBE"/>
        <w:right w:val="single" w:sz="2" w:space="0" w:color="1E2DBE"/>
        <w:insideH w:val="single" w:sz="2" w:space="0" w:color="1E2DBE"/>
      </w:tblBorders>
      <w:tblCellMar>
        <w:top w:w="28" w:type="dxa"/>
        <w:left w:w="57" w:type="dxa"/>
        <w:bottom w:w="28" w:type="dxa"/>
        <w:right w:w="57" w:type="dxa"/>
      </w:tblCellMar>
    </w:tblPr>
    <w:trPr>
      <w:cantSplit/>
    </w:trPr>
    <w:tcPr>
      <w:shd w:val="clear" w:color="auto" w:fill="auto"/>
      <w:vAlign w:val="center"/>
    </w:tcPr>
    <w:tblStylePr w:type="firstRow">
      <w:pPr>
        <w:jc w:val="left"/>
      </w:pPr>
      <w:tblPr/>
      <w:tcPr>
        <w:tcBorders>
          <w:insideV w:val="single" w:sz="2" w:space="0" w:color="FFFFFF" w:themeColor="background1"/>
        </w:tcBorders>
        <w:shd w:val="clear" w:color="auto" w:fill="1E2DBE"/>
      </w:tcPr>
    </w:tblStylePr>
    <w:tblStylePr w:type="band1Horz">
      <w:pPr>
        <w:jc w:val="left"/>
      </w:pPr>
      <w:tblPr/>
      <w:tcPr>
        <w:tcBorders>
          <w:insideH w:val="single" w:sz="4" w:space="0" w:color="1E2DBE"/>
          <w:insideV w:val="single" w:sz="2" w:space="0" w:color="1E2DBE"/>
        </w:tcBorders>
        <w:shd w:val="clear" w:color="auto" w:fill="EBF5FD"/>
      </w:tcPr>
    </w:tblStylePr>
    <w:tblStylePr w:type="band2Horz">
      <w:pPr>
        <w:jc w:val="left"/>
      </w:pPr>
      <w:tblPr/>
      <w:tcPr>
        <w:tcBorders>
          <w:insideH w:val="single" w:sz="4" w:space="0" w:color="1E2DBE"/>
          <w:insideV w:val="single" w:sz="2" w:space="0" w:color="1E2DBE"/>
        </w:tcBorders>
        <w:shd w:val="clear" w:color="auto" w:fill="auto"/>
      </w:tcPr>
    </w:tblStylePr>
  </w:style>
  <w:style w:type="table" w:styleId="GridTable4-Accent2">
    <w:name w:val="Grid Table 4 Accent 2"/>
    <w:basedOn w:val="TableNormal"/>
    <w:uiPriority w:val="49"/>
    <w:rsid w:val="00FF7AE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Tabletextleft">
    <w:name w:val="Table text left"/>
    <w:uiPriority w:val="8"/>
    <w:qFormat/>
    <w:rsid w:val="004836D5"/>
    <w:pPr>
      <w:spacing w:after="0" w:line="240" w:lineRule="auto"/>
    </w:pPr>
    <w:rPr>
      <w:rFonts w:ascii="Noto Sans" w:hAnsi="Noto Sans" w:cs="Noto Sans"/>
      <w:sz w:val="20"/>
      <w:szCs w:val="18"/>
      <w:lang w:val="en-GB"/>
    </w:rPr>
  </w:style>
  <w:style w:type="paragraph" w:customStyle="1" w:styleId="TableTitle">
    <w:name w:val="TableTitle"/>
    <w:basedOn w:val="Normal"/>
    <w:next w:val="NormalBody"/>
    <w:qFormat/>
    <w:rsid w:val="00B02128"/>
    <w:pPr>
      <w:keepNext/>
      <w:numPr>
        <w:numId w:val="22"/>
      </w:numPr>
      <w:tabs>
        <w:tab w:val="decimal" w:pos="227"/>
        <w:tab w:val="decimal" w:pos="810"/>
        <w:tab w:val="left" w:pos="2790"/>
      </w:tabs>
      <w:spacing w:before="160" w:line="240" w:lineRule="auto"/>
      <w:ind w:left="227" w:hanging="227"/>
    </w:pPr>
    <w:rPr>
      <w:b/>
      <w:bCs/>
      <w:color w:val="808080" w:themeColor="background1" w:themeShade="80"/>
      <w:sz w:val="18"/>
    </w:rPr>
  </w:style>
  <w:style w:type="character" w:styleId="Hyperlink">
    <w:name w:val="Hyperlink"/>
    <w:basedOn w:val="DefaultParagraphFont"/>
    <w:uiPriority w:val="99"/>
    <w:unhideWhenUsed/>
    <w:rsid w:val="00A370B4"/>
    <w:rPr>
      <w:color w:val="1E2DBE"/>
      <w:u w:val="single"/>
    </w:rPr>
  </w:style>
  <w:style w:type="character" w:customStyle="1" w:styleId="UnresolvedMention1">
    <w:name w:val="Unresolved Mention1"/>
    <w:basedOn w:val="DefaultParagraphFont"/>
    <w:uiPriority w:val="99"/>
    <w:semiHidden/>
    <w:unhideWhenUsed/>
    <w:rsid w:val="0063433F"/>
    <w:rPr>
      <w:color w:val="605E5C"/>
      <w:shd w:val="clear" w:color="auto" w:fill="E1DFDD"/>
    </w:rPr>
  </w:style>
  <w:style w:type="paragraph" w:customStyle="1" w:styleId="LineFootnote">
    <w:name w:val="LineFootnote"/>
    <w:basedOn w:val="NormalBody"/>
    <w:next w:val="FootnoteText"/>
    <w:uiPriority w:val="28"/>
    <w:semiHidden/>
    <w:qFormat/>
    <w:rsid w:val="009717DA"/>
    <w:pPr>
      <w:pBdr>
        <w:bottom w:val="single" w:sz="8" w:space="0" w:color="1E2DBE"/>
      </w:pBdr>
      <w:spacing w:after="60"/>
      <w:ind w:right="9921"/>
    </w:pPr>
  </w:style>
  <w:style w:type="paragraph" w:customStyle="1" w:styleId="DocumentEndParagraph">
    <w:name w:val="DocumentEndParagraph"/>
    <w:basedOn w:val="NormalBody"/>
    <w:uiPriority w:val="29"/>
    <w:semiHidden/>
    <w:qFormat/>
    <w:rsid w:val="00DF792D"/>
    <w:pPr>
      <w:spacing w:before="0" w:after="0"/>
    </w:pPr>
    <w:rPr>
      <w:sz w:val="6"/>
    </w:rPr>
  </w:style>
  <w:style w:type="numbering" w:customStyle="1" w:styleId="ListNoNumILO">
    <w:name w:val="ListNoNumILO"/>
    <w:basedOn w:val="NoList"/>
    <w:uiPriority w:val="99"/>
    <w:rsid w:val="002C28DB"/>
    <w:pPr>
      <w:numPr>
        <w:numId w:val="5"/>
      </w:numPr>
    </w:pPr>
  </w:style>
  <w:style w:type="paragraph" w:customStyle="1" w:styleId="ContactDetailTitle">
    <w:name w:val="ContactDetailTitle"/>
    <w:basedOn w:val="NormalBody"/>
    <w:uiPriority w:val="13"/>
    <w:qFormat/>
    <w:rsid w:val="004E2BE0"/>
    <w:pPr>
      <w:spacing w:before="0" w:after="0"/>
    </w:pPr>
    <w:rPr>
      <w:b/>
      <w:bCs/>
    </w:rPr>
  </w:style>
  <w:style w:type="paragraph" w:customStyle="1" w:styleId="Headinglevel1">
    <w:name w:val="Heading level 1"/>
    <w:next w:val="NormalBody"/>
    <w:uiPriority w:val="3"/>
    <w:qFormat/>
    <w:rsid w:val="00010016"/>
    <w:pPr>
      <w:keepNext/>
      <w:keepLines/>
      <w:pageBreakBefore/>
      <w:pBdr>
        <w:bottom w:val="single" w:sz="4" w:space="6" w:color="1E2DBE"/>
      </w:pBdr>
      <w:spacing w:before="480" w:after="360" w:line="240" w:lineRule="auto"/>
      <w:contextualSpacing/>
      <w:outlineLvl w:val="0"/>
    </w:pPr>
    <w:rPr>
      <w:rFonts w:ascii="Overpass" w:hAnsi="Overpass" w:cs="Noto Sans"/>
      <w:b/>
      <w:bCs/>
      <w:color w:val="1E2DBE"/>
      <w:sz w:val="36"/>
      <w:szCs w:val="36"/>
      <w:lang w:val="en-GB"/>
    </w:rPr>
  </w:style>
  <w:style w:type="paragraph" w:customStyle="1" w:styleId="Authors">
    <w:name w:val="Authors"/>
    <w:uiPriority w:val="1"/>
    <w:qFormat/>
    <w:rsid w:val="003C159D"/>
    <w:pPr>
      <w:spacing w:before="1800" w:after="120" w:line="240" w:lineRule="auto"/>
      <w:ind w:left="454"/>
    </w:pPr>
    <w:rPr>
      <w:rFonts w:ascii="Overpass" w:hAnsi="Overpass" w:cs="Noto Sans"/>
      <w:b/>
      <w:color w:val="1E2DBE"/>
      <w:sz w:val="20"/>
      <w:szCs w:val="20"/>
      <w:lang w:val="en-GB"/>
    </w:rPr>
  </w:style>
  <w:style w:type="paragraph" w:customStyle="1" w:styleId="Headinglevel2">
    <w:name w:val="Heading level 2"/>
    <w:next w:val="NormalBody"/>
    <w:uiPriority w:val="3"/>
    <w:qFormat/>
    <w:rsid w:val="006445F7"/>
    <w:pPr>
      <w:keepNext/>
      <w:tabs>
        <w:tab w:val="left" w:pos="567"/>
      </w:tabs>
      <w:spacing w:before="240" w:after="120" w:line="240" w:lineRule="auto"/>
      <w:contextualSpacing/>
      <w:outlineLvl w:val="1"/>
    </w:pPr>
    <w:rPr>
      <w:rFonts w:ascii="Overpass" w:hAnsi="Overpass" w:cs="Noto Sans"/>
      <w:b/>
      <w:bCs/>
      <w:color w:val="FA3C4B"/>
      <w:sz w:val="30"/>
      <w:szCs w:val="30"/>
      <w:lang w:val="en-US"/>
    </w:rPr>
  </w:style>
  <w:style w:type="paragraph" w:customStyle="1" w:styleId="DocumentSubtitle">
    <w:name w:val="DocumentSubtitle"/>
    <w:next w:val="NormalBody"/>
    <w:qFormat/>
    <w:rsid w:val="008059D3"/>
    <w:pPr>
      <w:spacing w:before="480" w:after="480" w:line="240" w:lineRule="auto"/>
      <w:ind w:left="454"/>
    </w:pPr>
    <w:rPr>
      <w:rFonts w:ascii="Overpass Light" w:hAnsi="Overpass Light" w:cs="Noto Sans"/>
      <w:color w:val="1E2DBE"/>
      <w:sz w:val="44"/>
      <w:szCs w:val="44"/>
      <w:lang w:val="en-GB"/>
    </w:rPr>
  </w:style>
  <w:style w:type="character" w:customStyle="1" w:styleId="Heading1Char">
    <w:name w:val="Heading 1 Char"/>
    <w:aliases w:val="DNV-H1 Char"/>
    <w:basedOn w:val="DefaultParagraphFont"/>
    <w:link w:val="Heading1"/>
    <w:uiPriority w:val="9"/>
    <w:rsid w:val="0087638A"/>
    <w:rPr>
      <w:rFonts w:ascii="Overpass" w:hAnsi="Overpass" w:cs="Noto Sans"/>
      <w:b/>
      <w:bCs/>
      <w:color w:val="1E2DBE"/>
      <w:sz w:val="36"/>
      <w:szCs w:val="36"/>
      <w:lang w:val="fr-FR"/>
    </w:rPr>
  </w:style>
  <w:style w:type="paragraph" w:customStyle="1" w:styleId="DocumentTitle">
    <w:name w:val="DocumentTitle"/>
    <w:next w:val="NormalBody"/>
    <w:qFormat/>
    <w:rsid w:val="008059D3"/>
    <w:pPr>
      <w:spacing w:before="1800" w:after="480" w:line="240" w:lineRule="auto"/>
    </w:pPr>
    <w:rPr>
      <w:rFonts w:ascii="Overpass" w:hAnsi="Overpass" w:cs="Noto Sans"/>
      <w:b/>
      <w:color w:val="1E2DBE"/>
      <w:sz w:val="60"/>
      <w:szCs w:val="60"/>
      <w:lang w:val="en-GB"/>
    </w:rPr>
  </w:style>
  <w:style w:type="paragraph" w:customStyle="1" w:styleId="Headinglevel3">
    <w:name w:val="Heading level 3"/>
    <w:next w:val="NormalBody"/>
    <w:uiPriority w:val="3"/>
    <w:qFormat/>
    <w:rsid w:val="00F148C5"/>
    <w:pPr>
      <w:keepNext/>
      <w:keepLines/>
      <w:tabs>
        <w:tab w:val="left" w:pos="567"/>
      </w:tabs>
      <w:spacing w:before="240" w:after="120" w:line="240" w:lineRule="auto"/>
      <w:outlineLvl w:val="2"/>
    </w:pPr>
    <w:rPr>
      <w:rFonts w:ascii="Overpass" w:hAnsi="Overpass" w:cs="Noto Sans"/>
      <w:b/>
      <w:color w:val="1E2DBE"/>
      <w:sz w:val="26"/>
      <w:szCs w:val="27"/>
      <w:lang w:val="en-US"/>
    </w:rPr>
  </w:style>
  <w:style w:type="paragraph" w:customStyle="1" w:styleId="Headinglevel4">
    <w:name w:val="Heading level 4"/>
    <w:next w:val="NormalBody"/>
    <w:link w:val="Headinglevel4Char"/>
    <w:uiPriority w:val="3"/>
    <w:qFormat/>
    <w:rsid w:val="00241016"/>
    <w:pPr>
      <w:keepNext/>
      <w:keepLines/>
      <w:spacing w:before="240" w:after="120" w:line="240" w:lineRule="auto"/>
      <w:outlineLvl w:val="3"/>
    </w:pPr>
    <w:rPr>
      <w:rFonts w:ascii="Overpass" w:hAnsi="Overpass" w:cs="Noto Sans"/>
      <w:b/>
      <w:color w:val="230050"/>
      <w:lang w:val="en-US"/>
    </w:rPr>
  </w:style>
  <w:style w:type="paragraph" w:customStyle="1" w:styleId="Department">
    <w:name w:val="Department"/>
    <w:uiPriority w:val="1"/>
    <w:qFormat/>
    <w:rsid w:val="00251EEC"/>
    <w:pPr>
      <w:spacing w:after="5400" w:line="240" w:lineRule="auto"/>
      <w:ind w:left="454"/>
    </w:pPr>
    <w:rPr>
      <w:rFonts w:ascii="Overpass" w:hAnsi="Overpass" w:cs="Noto Sans"/>
      <w:b/>
      <w:sz w:val="18"/>
      <w:szCs w:val="18"/>
      <w:lang w:val="en-GB"/>
    </w:rPr>
  </w:style>
  <w:style w:type="paragraph" w:customStyle="1" w:styleId="ParaNum">
    <w:name w:val="ParaNum"/>
    <w:link w:val="ParaNumChar"/>
    <w:uiPriority w:val="4"/>
    <w:qFormat/>
    <w:rsid w:val="00756130"/>
    <w:pPr>
      <w:numPr>
        <w:numId w:val="3"/>
      </w:numPr>
      <w:spacing w:before="120" w:after="120" w:line="240" w:lineRule="auto"/>
      <w:ind w:left="567" w:hanging="227"/>
      <w:jc w:val="both"/>
    </w:pPr>
    <w:rPr>
      <w:rFonts w:ascii="Noto Sans" w:hAnsi="Noto Sans"/>
      <w:sz w:val="20"/>
      <w:szCs w:val="20"/>
      <w:lang w:val="en-US"/>
    </w:rPr>
  </w:style>
  <w:style w:type="character" w:customStyle="1" w:styleId="ParaNumChar">
    <w:name w:val="ParaNum Char"/>
    <w:basedOn w:val="DefaultParagraphFont"/>
    <w:link w:val="ParaNum"/>
    <w:uiPriority w:val="4"/>
    <w:rsid w:val="00756130"/>
    <w:rPr>
      <w:rFonts w:ascii="Noto Sans" w:hAnsi="Noto Sans"/>
      <w:sz w:val="20"/>
      <w:szCs w:val="20"/>
      <w:lang w:val="en-US"/>
    </w:rPr>
  </w:style>
  <w:style w:type="paragraph" w:styleId="TOC1">
    <w:name w:val="toc 1"/>
    <w:basedOn w:val="Normal"/>
    <w:next w:val="Normal"/>
    <w:uiPriority w:val="39"/>
    <w:unhideWhenUsed/>
    <w:qFormat/>
    <w:rsid w:val="00EC05D8"/>
    <w:pPr>
      <w:tabs>
        <w:tab w:val="left" w:pos="567"/>
        <w:tab w:val="left" w:leader="dot" w:pos="8505"/>
        <w:tab w:val="right" w:pos="10206"/>
      </w:tabs>
      <w:spacing w:line="240" w:lineRule="auto"/>
      <w:ind w:left="567" w:hanging="567"/>
    </w:pPr>
    <w:rPr>
      <w:rFonts w:cstheme="minorBidi"/>
      <w:noProof/>
      <w:color w:val="000000" w:themeColor="text1"/>
      <w:szCs w:val="22"/>
      <w:lang w:val="en-US"/>
    </w:rPr>
  </w:style>
  <w:style w:type="paragraph" w:customStyle="1" w:styleId="ListBullet20">
    <w:name w:val="ListBullet2"/>
    <w:uiPriority w:val="5"/>
    <w:qFormat/>
    <w:rsid w:val="002A26DD"/>
    <w:pPr>
      <w:numPr>
        <w:numId w:val="4"/>
      </w:numPr>
      <w:spacing w:before="60" w:after="60" w:line="240" w:lineRule="auto"/>
      <w:jc w:val="both"/>
    </w:pPr>
    <w:rPr>
      <w:rFonts w:ascii="Noto Sans" w:eastAsia="SimSun" w:hAnsi="Noto Sans"/>
      <w:bCs/>
      <w:sz w:val="20"/>
      <w:szCs w:val="20"/>
      <w:lang w:val="en-GB"/>
    </w:rPr>
  </w:style>
  <w:style w:type="paragraph" w:styleId="TOC2">
    <w:name w:val="toc 2"/>
    <w:basedOn w:val="Normal"/>
    <w:next w:val="Normal"/>
    <w:uiPriority w:val="39"/>
    <w:unhideWhenUsed/>
    <w:qFormat/>
    <w:rsid w:val="00715ADA"/>
    <w:pPr>
      <w:tabs>
        <w:tab w:val="left" w:leader="dot" w:pos="8505"/>
        <w:tab w:val="right" w:pos="10206"/>
      </w:tabs>
      <w:spacing w:line="240" w:lineRule="auto"/>
      <w:ind w:left="1134" w:hanging="567"/>
      <w:contextualSpacing/>
    </w:pPr>
    <w:rPr>
      <w:rFonts w:cstheme="minorBidi"/>
      <w:noProof/>
      <w:color w:val="1E2DBE"/>
      <w:szCs w:val="20"/>
    </w:rPr>
  </w:style>
  <w:style w:type="paragraph" w:customStyle="1" w:styleId="BoxTitle">
    <w:name w:val="BoxTitle"/>
    <w:basedOn w:val="TableTitle"/>
    <w:next w:val="NormalBody"/>
    <w:qFormat/>
    <w:rsid w:val="000D7607"/>
    <w:rPr>
      <w:sz w:val="20"/>
    </w:rPr>
  </w:style>
  <w:style w:type="paragraph" w:customStyle="1" w:styleId="GraphicTitle">
    <w:name w:val="GraphicTitle"/>
    <w:basedOn w:val="TableTitle"/>
    <w:next w:val="NormalBody"/>
    <w:qFormat/>
    <w:rsid w:val="00B43F15"/>
    <w:rPr>
      <w:bCs w:val="0"/>
    </w:rPr>
  </w:style>
  <w:style w:type="paragraph" w:customStyle="1" w:styleId="QuotationMarks">
    <w:name w:val="QuotationMarks"/>
    <w:uiPriority w:val="11"/>
    <w:qFormat/>
    <w:rsid w:val="00FC4A9F"/>
    <w:pPr>
      <w:keepNext/>
      <w:pBdr>
        <w:bottom w:val="single" w:sz="4" w:space="6" w:color="1E2DBE"/>
      </w:pBdr>
      <w:spacing w:before="100" w:after="0" w:line="240" w:lineRule="auto"/>
    </w:pPr>
    <w:rPr>
      <w:rFonts w:ascii="Noto Sans" w:hAnsi="Noto Sans" w:cs="Noto Sans"/>
      <w:sz w:val="18"/>
      <w:szCs w:val="18"/>
      <w:lang w:val="en-GB"/>
    </w:rPr>
  </w:style>
  <w:style w:type="paragraph" w:customStyle="1" w:styleId="Source-GraphicPicture">
    <w:name w:val="Source - GraphicPicture"/>
    <w:next w:val="NormalBody"/>
    <w:uiPriority w:val="9"/>
    <w:qFormat/>
    <w:rsid w:val="00B02128"/>
    <w:pPr>
      <w:spacing w:after="0" w:line="240" w:lineRule="auto"/>
    </w:pPr>
    <w:rPr>
      <w:rFonts w:ascii="Noto Sans" w:hAnsi="Noto Sans" w:cs="Noto Sans"/>
      <w:sz w:val="18"/>
      <w:szCs w:val="15"/>
      <w:lang w:val="en-GB"/>
    </w:rPr>
  </w:style>
  <w:style w:type="paragraph" w:customStyle="1" w:styleId="Tableheaderleft">
    <w:name w:val="Table header left"/>
    <w:next w:val="Tabletextleft"/>
    <w:uiPriority w:val="8"/>
    <w:qFormat/>
    <w:rsid w:val="0009060B"/>
    <w:pPr>
      <w:spacing w:after="0" w:line="240" w:lineRule="auto"/>
    </w:pPr>
    <w:rPr>
      <w:rFonts w:ascii="Noto Sans" w:hAnsi="Noto Sans" w:cs="Noto Sans"/>
      <w:b/>
      <w:color w:val="FFFFFF" w:themeColor="background1"/>
      <w:sz w:val="20"/>
      <w:szCs w:val="18"/>
      <w:lang w:val="en-GB"/>
    </w:rPr>
  </w:style>
  <w:style w:type="paragraph" w:styleId="BalloonText">
    <w:name w:val="Balloon Text"/>
    <w:basedOn w:val="Normal"/>
    <w:link w:val="BalloonTextChar"/>
    <w:uiPriority w:val="99"/>
    <w:semiHidden/>
    <w:unhideWhenUsed/>
    <w:rsid w:val="003C7137"/>
    <w:pPr>
      <w:spacing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3C7137"/>
    <w:rPr>
      <w:rFonts w:ascii="Segoe UI" w:hAnsi="Segoe UI" w:cs="Segoe UI"/>
      <w:sz w:val="18"/>
      <w:szCs w:val="18"/>
      <w:lang w:val="en-GB"/>
    </w:rPr>
  </w:style>
  <w:style w:type="paragraph" w:customStyle="1" w:styleId="Tableheaderright">
    <w:name w:val="Table header right"/>
    <w:basedOn w:val="NormalBody"/>
    <w:uiPriority w:val="8"/>
    <w:qFormat/>
    <w:rsid w:val="009E332C"/>
    <w:rPr>
      <w:b/>
      <w:bCs/>
      <w:lang w:val="fr-CH"/>
    </w:rPr>
  </w:style>
  <w:style w:type="paragraph" w:customStyle="1" w:styleId="Tabletextright">
    <w:name w:val="Table text right"/>
    <w:basedOn w:val="Tabletextleft"/>
    <w:uiPriority w:val="8"/>
    <w:qFormat/>
    <w:rsid w:val="003C7137"/>
    <w:pPr>
      <w:jc w:val="right"/>
    </w:pPr>
  </w:style>
  <w:style w:type="paragraph" w:styleId="TOC3">
    <w:name w:val="toc 3"/>
    <w:basedOn w:val="Normal"/>
    <w:next w:val="Normal"/>
    <w:uiPriority w:val="39"/>
    <w:unhideWhenUsed/>
    <w:qFormat/>
    <w:rsid w:val="00F6079B"/>
    <w:pPr>
      <w:tabs>
        <w:tab w:val="right" w:pos="10206"/>
      </w:tabs>
      <w:spacing w:line="240" w:lineRule="auto"/>
      <w:ind w:left="1701" w:hanging="567"/>
      <w:contextualSpacing/>
      <w:jc w:val="both"/>
    </w:pPr>
    <w:rPr>
      <w:rFonts w:cstheme="minorBidi"/>
      <w:noProof/>
      <w:szCs w:val="20"/>
      <w:lang w:val="en-US"/>
    </w:rPr>
  </w:style>
  <w:style w:type="paragraph" w:styleId="PlainText">
    <w:name w:val="Plain Text"/>
    <w:basedOn w:val="Normal"/>
    <w:link w:val="PlainTextChar"/>
    <w:uiPriority w:val="99"/>
    <w:unhideWhenUsed/>
    <w:rsid w:val="00277782"/>
    <w:pPr>
      <w:spacing w:line="240" w:lineRule="auto"/>
    </w:pPr>
    <w:rPr>
      <w:rFonts w:ascii="Arial" w:hAnsi="Arial" w:cs="Arial"/>
      <w:sz w:val="22"/>
      <w:szCs w:val="22"/>
      <w:lang w:eastAsia="en-GB"/>
    </w:rPr>
  </w:style>
  <w:style w:type="character" w:customStyle="1" w:styleId="PlainTextChar">
    <w:name w:val="Plain Text Char"/>
    <w:basedOn w:val="DefaultParagraphFont"/>
    <w:link w:val="PlainText"/>
    <w:uiPriority w:val="99"/>
    <w:rsid w:val="00277782"/>
    <w:rPr>
      <w:rFonts w:ascii="Arial" w:hAnsi="Arial" w:cs="Arial"/>
      <w:lang w:val="en-GB" w:eastAsia="en-GB"/>
    </w:rPr>
  </w:style>
  <w:style w:type="character" w:customStyle="1" w:styleId="Heading2Char">
    <w:name w:val="Heading 2 Char"/>
    <w:aliases w:val="DNV-H2 Char,t2 Char"/>
    <w:basedOn w:val="DefaultParagraphFont"/>
    <w:link w:val="Heading2"/>
    <w:rsid w:val="0087638A"/>
    <w:rPr>
      <w:rFonts w:ascii="Overpass" w:hAnsi="Overpass" w:cs="Noto Sans"/>
      <w:b/>
      <w:bCs/>
      <w:color w:val="FA3C4B"/>
      <w:sz w:val="30"/>
      <w:szCs w:val="30"/>
      <w:lang w:val="fr-FR"/>
    </w:rPr>
  </w:style>
  <w:style w:type="character" w:customStyle="1" w:styleId="Heading3Char">
    <w:name w:val="Heading 3 Char"/>
    <w:aliases w:val="t3 Char"/>
    <w:basedOn w:val="DefaultParagraphFont"/>
    <w:link w:val="Heading3"/>
    <w:rsid w:val="00D077E5"/>
    <w:rPr>
      <w:rFonts w:ascii="Noto Sans" w:eastAsia="Batang" w:hAnsi="Noto Sans" w:cs="Arial"/>
      <w:bCs/>
      <w:color w:val="1E2DBE"/>
      <w:kern w:val="32"/>
      <w:sz w:val="20"/>
      <w:szCs w:val="30"/>
      <w:lang w:val="fr-FR"/>
    </w:rPr>
  </w:style>
  <w:style w:type="character" w:customStyle="1" w:styleId="Heading4Char">
    <w:name w:val="Heading 4 Char"/>
    <w:basedOn w:val="DefaultParagraphFont"/>
    <w:link w:val="Heading4"/>
    <w:rsid w:val="00937DD7"/>
    <w:rPr>
      <w:rFonts w:ascii="Arial" w:eastAsia="Times New Roman" w:hAnsi="Arial" w:cs="Arial"/>
      <w:kern w:val="32"/>
      <w:szCs w:val="28"/>
      <w:lang w:val="en-US"/>
    </w:rPr>
  </w:style>
  <w:style w:type="character" w:customStyle="1" w:styleId="Heading5Char">
    <w:name w:val="Heading 5 Char"/>
    <w:basedOn w:val="DefaultParagraphFont"/>
    <w:link w:val="Heading5"/>
    <w:rsid w:val="00937DD7"/>
    <w:rPr>
      <w:rFonts w:ascii="Arial" w:eastAsia="Times New Roman" w:hAnsi="Arial" w:cs="Arial"/>
      <w:bCs/>
      <w:i/>
      <w:iCs/>
      <w:kern w:val="32"/>
      <w:szCs w:val="26"/>
      <w:lang w:val="en-US"/>
    </w:rPr>
  </w:style>
  <w:style w:type="character" w:customStyle="1" w:styleId="Heading6Char">
    <w:name w:val="Heading 6 Char"/>
    <w:basedOn w:val="DefaultParagraphFont"/>
    <w:link w:val="Heading6"/>
    <w:rsid w:val="00937DD7"/>
    <w:rPr>
      <w:rFonts w:ascii="Arial" w:eastAsia="Times New Roman" w:hAnsi="Arial" w:cs="Arial"/>
      <w:bCs/>
      <w:i/>
      <w:iCs/>
      <w:kern w:val="32"/>
      <w:szCs w:val="26"/>
      <w:lang w:val="en-US"/>
    </w:rPr>
  </w:style>
  <w:style w:type="character" w:customStyle="1" w:styleId="Heading7Char">
    <w:name w:val="Heading 7 Char"/>
    <w:basedOn w:val="DefaultParagraphFont"/>
    <w:link w:val="Heading7"/>
    <w:rsid w:val="00937DD7"/>
    <w:rPr>
      <w:rFonts w:ascii="Arial" w:eastAsia="Times New Roman" w:hAnsi="Arial" w:cs="Arial"/>
      <w:b/>
      <w:bCs/>
      <w:iCs/>
      <w:kern w:val="32"/>
      <w:szCs w:val="26"/>
      <w:lang w:val="en-US"/>
    </w:rPr>
  </w:style>
  <w:style w:type="character" w:customStyle="1" w:styleId="Heading8Char">
    <w:name w:val="Heading 8 Char"/>
    <w:basedOn w:val="DefaultParagraphFont"/>
    <w:link w:val="Heading8"/>
    <w:rsid w:val="00937DD7"/>
    <w:rPr>
      <w:rFonts w:ascii="Arial" w:eastAsia="Times New Roman" w:hAnsi="Arial" w:cs="Arial"/>
      <w:b/>
      <w:bCs/>
      <w:i/>
      <w:kern w:val="32"/>
      <w:szCs w:val="26"/>
      <w:lang w:val="en-US"/>
    </w:rPr>
  </w:style>
  <w:style w:type="character" w:customStyle="1" w:styleId="Heading9Char">
    <w:name w:val="Heading 9 Char"/>
    <w:basedOn w:val="DefaultParagraphFont"/>
    <w:link w:val="Heading9"/>
    <w:rsid w:val="00937DD7"/>
    <w:rPr>
      <w:rFonts w:ascii="Arial" w:eastAsia="Times New Roman" w:hAnsi="Arial" w:cs="Arial"/>
      <w:lang w:val="en-US"/>
    </w:rPr>
  </w:style>
  <w:style w:type="character" w:customStyle="1" w:styleId="UnresolvedMention11">
    <w:name w:val="Unresolved Mention11"/>
    <w:basedOn w:val="DefaultParagraphFont"/>
    <w:uiPriority w:val="99"/>
    <w:semiHidden/>
    <w:unhideWhenUsed/>
    <w:rsid w:val="00937DD7"/>
    <w:rPr>
      <w:color w:val="605E5C"/>
      <w:shd w:val="clear" w:color="auto" w:fill="E1DFDD"/>
    </w:rPr>
  </w:style>
  <w:style w:type="paragraph" w:customStyle="1" w:styleId="H1">
    <w:name w:val="H1"/>
    <w:next w:val="Normal"/>
    <w:qFormat/>
    <w:rsid w:val="00937DD7"/>
    <w:pPr>
      <w:keepNext/>
      <w:keepLines/>
      <w:tabs>
        <w:tab w:val="left" w:pos="680"/>
      </w:tabs>
      <w:spacing w:before="480" w:after="240" w:line="240" w:lineRule="auto"/>
      <w:ind w:right="2835"/>
      <w:outlineLvl w:val="0"/>
    </w:pPr>
    <w:rPr>
      <w:rFonts w:ascii="Arial" w:eastAsia="SimHei" w:hAnsi="Arial" w:cs="Arial"/>
      <w:b/>
      <w:bCs/>
      <w:color w:val="000000"/>
      <w:sz w:val="28"/>
      <w:szCs w:val="32"/>
      <w:lang w:val="fr-FR"/>
    </w:rPr>
  </w:style>
  <w:style w:type="character" w:styleId="PageNumber">
    <w:name w:val="page number"/>
    <w:basedOn w:val="DefaultParagraphFont"/>
    <w:rsid w:val="00937DD7"/>
    <w:rPr>
      <w:sz w:val="20"/>
      <w:lang w:val="fr-FR"/>
    </w:rPr>
  </w:style>
  <w:style w:type="paragraph" w:styleId="ListNumber2">
    <w:name w:val="List Number 2"/>
    <w:basedOn w:val="Normal"/>
    <w:rsid w:val="00937DD7"/>
    <w:pPr>
      <w:numPr>
        <w:numId w:val="6"/>
      </w:numPr>
      <w:tabs>
        <w:tab w:val="clear" w:pos="360"/>
        <w:tab w:val="num" w:pos="643"/>
      </w:tabs>
      <w:spacing w:line="240" w:lineRule="auto"/>
      <w:ind w:left="643"/>
    </w:pPr>
    <w:rPr>
      <w:rFonts w:ascii="Times New Roman" w:eastAsia="Times New Roman" w:hAnsi="Times New Roman" w:cs="Times New Roman"/>
      <w:sz w:val="24"/>
      <w:szCs w:val="24"/>
      <w:lang w:val="en-US"/>
    </w:rPr>
  </w:style>
  <w:style w:type="character" w:customStyle="1" w:styleId="HeaderPagenumber">
    <w:name w:val="Header Page number"/>
    <w:uiPriority w:val="29"/>
    <w:qFormat/>
    <w:rsid w:val="00937DD7"/>
    <w:rPr>
      <w:rFonts w:ascii="Noto Sans" w:hAnsi="Noto Sans" w:cs="Noto Sans"/>
      <w:color w:val="1E2DBE"/>
      <w:sz w:val="22"/>
      <w:szCs w:val="24"/>
    </w:rPr>
  </w:style>
  <w:style w:type="table" w:customStyle="1" w:styleId="TableGrid1">
    <w:name w:val="Table Grid1"/>
    <w:basedOn w:val="TableNormal"/>
    <w:next w:val="TableGrid"/>
    <w:rsid w:val="00937DD7"/>
    <w:pPr>
      <w:spacing w:before="240" w:after="0" w:line="240" w:lineRule="auto"/>
    </w:pPr>
    <w:rPr>
      <w:rFonts w:eastAsia="Euphemia"/>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left0">
    <w:name w:val="Table Text left"/>
    <w:uiPriority w:val="17"/>
    <w:qFormat/>
    <w:rsid w:val="00937DD7"/>
    <w:pPr>
      <w:spacing w:before="20" w:after="20" w:line="240" w:lineRule="auto"/>
    </w:pPr>
    <w:rPr>
      <w:rFonts w:ascii="Noto Sans" w:eastAsia="Times New Roman" w:hAnsi="Noto Sans" w:cs="Times New Roman"/>
      <w:sz w:val="18"/>
      <w:szCs w:val="18"/>
      <w:lang w:val="en-US"/>
    </w:rPr>
  </w:style>
  <w:style w:type="paragraph" w:customStyle="1" w:styleId="ParaIndentFirstLine">
    <w:name w:val="Para Indent FirstLine"/>
    <w:basedOn w:val="Normal"/>
    <w:rsid w:val="00937DD7"/>
    <w:pPr>
      <w:spacing w:line="240" w:lineRule="auto"/>
      <w:ind w:left="340" w:firstLine="510"/>
      <w:jc w:val="both"/>
    </w:pPr>
    <w:rPr>
      <w:rFonts w:cstheme="minorBidi"/>
      <w:szCs w:val="20"/>
      <w:lang w:val="en-US"/>
    </w:rPr>
  </w:style>
  <w:style w:type="paragraph" w:customStyle="1" w:styleId="Indent1">
    <w:name w:val="Indent 1"/>
    <w:qFormat/>
    <w:rsid w:val="00EC5432"/>
    <w:pPr>
      <w:spacing w:before="60" w:after="60" w:line="240" w:lineRule="auto"/>
      <w:ind w:left="624" w:hanging="284"/>
      <w:jc w:val="both"/>
    </w:pPr>
    <w:rPr>
      <w:rFonts w:ascii="Noto Sans" w:hAnsi="Noto Sans"/>
      <w:sz w:val="20"/>
      <w:szCs w:val="20"/>
      <w:lang w:val="es-ES_tradnl"/>
    </w:rPr>
  </w:style>
  <w:style w:type="paragraph" w:customStyle="1" w:styleId="NonNumbered">
    <w:name w:val="NonNumbered"/>
    <w:basedOn w:val="Normal"/>
    <w:link w:val="NonNumberedCar"/>
    <w:rsid w:val="00937DD7"/>
    <w:pPr>
      <w:spacing w:before="240" w:after="240" w:line="240" w:lineRule="auto"/>
      <w:ind w:left="1134"/>
      <w:jc w:val="both"/>
    </w:pPr>
    <w:rPr>
      <w:rFonts w:ascii="Times New Roman" w:eastAsia="Batang" w:hAnsi="Times New Roman" w:cs="Times New Roman"/>
      <w:sz w:val="22"/>
      <w:szCs w:val="20"/>
    </w:rPr>
  </w:style>
  <w:style w:type="character" w:customStyle="1" w:styleId="NonNumberedCar">
    <w:name w:val="NonNumbered Car"/>
    <w:basedOn w:val="DefaultParagraphFont"/>
    <w:link w:val="NonNumbered"/>
    <w:rsid w:val="00937DD7"/>
    <w:rPr>
      <w:rFonts w:ascii="Times New Roman" w:eastAsia="Batang" w:hAnsi="Times New Roman" w:cs="Times New Roman"/>
      <w:szCs w:val="20"/>
      <w:lang w:val="en-GB"/>
    </w:rPr>
  </w:style>
  <w:style w:type="paragraph" w:customStyle="1" w:styleId="BoxBodyText">
    <w:name w:val="Box Body Text"/>
    <w:rsid w:val="00937DD7"/>
    <w:pPr>
      <w:spacing w:before="60" w:after="60" w:line="240" w:lineRule="auto"/>
      <w:jc w:val="both"/>
    </w:pPr>
    <w:rPr>
      <w:rFonts w:ascii="Noto Sans" w:hAnsi="Noto Sans"/>
      <w:sz w:val="18"/>
      <w:szCs w:val="18"/>
      <w:lang w:val="en-US"/>
    </w:rPr>
  </w:style>
  <w:style w:type="paragraph" w:customStyle="1" w:styleId="GBHeading2">
    <w:name w:val="GB Heading 2"/>
    <w:basedOn w:val="Normal"/>
    <w:next w:val="Normal"/>
    <w:link w:val="GBHeading2Zchn"/>
    <w:qFormat/>
    <w:rsid w:val="00937DD7"/>
    <w:pPr>
      <w:keepNext/>
      <w:keepLines/>
      <w:spacing w:before="240" w:line="240" w:lineRule="auto"/>
    </w:pPr>
    <w:rPr>
      <w:rFonts w:ascii="Overpass" w:hAnsi="Overpass"/>
      <w:b/>
      <w:color w:val="1E2CBD"/>
      <w:sz w:val="28"/>
      <w:szCs w:val="28"/>
      <w:lang w:val="en-US"/>
    </w:rPr>
  </w:style>
  <w:style w:type="character" w:customStyle="1" w:styleId="GBHeading2Zchn">
    <w:name w:val="GB Heading 2 Zchn"/>
    <w:basedOn w:val="DefaultParagraphFont"/>
    <w:link w:val="GBHeading2"/>
    <w:rsid w:val="00937DD7"/>
    <w:rPr>
      <w:rFonts w:ascii="Overpass" w:hAnsi="Overpass" w:cs="Noto Sans"/>
      <w:b/>
      <w:color w:val="1E2CBD"/>
      <w:sz w:val="28"/>
      <w:szCs w:val="28"/>
      <w:lang w:val="en-US"/>
    </w:rPr>
  </w:style>
  <w:style w:type="paragraph" w:customStyle="1" w:styleId="Indent2">
    <w:name w:val="Indent 2"/>
    <w:basedOn w:val="Indent1"/>
    <w:qFormat/>
    <w:rsid w:val="00937DD7"/>
    <w:pPr>
      <w:numPr>
        <w:numId w:val="19"/>
      </w:numPr>
      <w:ind w:left="851" w:hanging="284"/>
    </w:pPr>
    <w:rPr>
      <w:lang w:val="en-GB"/>
    </w:rPr>
  </w:style>
  <w:style w:type="paragraph" w:customStyle="1" w:styleId="GBHeading1">
    <w:name w:val="GB Heading 1"/>
    <w:basedOn w:val="Normal"/>
    <w:next w:val="Normal"/>
    <w:link w:val="GBHeading1Zchn"/>
    <w:qFormat/>
    <w:rsid w:val="00937DD7"/>
    <w:pPr>
      <w:keepNext/>
      <w:keepLines/>
      <w:pBdr>
        <w:bottom w:val="single" w:sz="4" w:space="1" w:color="1E2DBE"/>
      </w:pBdr>
      <w:tabs>
        <w:tab w:val="left" w:pos="907"/>
      </w:tabs>
      <w:spacing w:before="480" w:after="360" w:line="240" w:lineRule="auto"/>
      <w:ind w:left="340" w:hanging="340"/>
    </w:pPr>
    <w:rPr>
      <w:rFonts w:ascii="Overpass" w:hAnsi="Overpass" w:cstheme="minorBidi"/>
      <w:b/>
      <w:color w:val="1E2DBE"/>
      <w:sz w:val="32"/>
      <w:szCs w:val="20"/>
      <w:lang w:val="en-US"/>
    </w:rPr>
  </w:style>
  <w:style w:type="character" w:customStyle="1" w:styleId="GBHeading1Zchn">
    <w:name w:val="GB Heading 1 Zchn"/>
    <w:basedOn w:val="DefaultParagraphFont"/>
    <w:link w:val="GBHeading1"/>
    <w:rsid w:val="00937DD7"/>
    <w:rPr>
      <w:rFonts w:ascii="Overpass" w:hAnsi="Overpass"/>
      <w:b/>
      <w:color w:val="1E2DBE"/>
      <w:sz w:val="32"/>
      <w:szCs w:val="20"/>
      <w:lang w:val="en-US"/>
    </w:rPr>
  </w:style>
  <w:style w:type="paragraph" w:customStyle="1" w:styleId="Quotation">
    <w:name w:val="Quotation"/>
    <w:rsid w:val="00937DD7"/>
    <w:pPr>
      <w:spacing w:before="120" w:after="120" w:line="240" w:lineRule="auto"/>
      <w:ind w:left="1588" w:firstLine="454"/>
      <w:jc w:val="both"/>
    </w:pPr>
    <w:rPr>
      <w:rFonts w:ascii="Times New Roman" w:eastAsia="SimSun" w:hAnsi="Times New Roman" w:cs="Times New Roman"/>
      <w:color w:val="000000"/>
      <w:sz w:val="20"/>
      <w:lang w:val="fr-FR"/>
    </w:rPr>
  </w:style>
  <w:style w:type="paragraph" w:customStyle="1" w:styleId="TableBody">
    <w:name w:val="TableBody"/>
    <w:rsid w:val="00937DD7"/>
    <w:pPr>
      <w:spacing w:after="0" w:line="240" w:lineRule="auto"/>
    </w:pPr>
    <w:rPr>
      <w:rFonts w:ascii="Arial Narrow" w:eastAsia="SimSun" w:hAnsi="Arial Narrow" w:cs="Arial"/>
      <w:sz w:val="19"/>
      <w:szCs w:val="20"/>
      <w:lang w:val="fr-FR"/>
    </w:rPr>
  </w:style>
  <w:style w:type="paragraph" w:customStyle="1" w:styleId="GBHeading3">
    <w:name w:val="GB Heading 3"/>
    <w:basedOn w:val="Normal"/>
    <w:next w:val="Normal"/>
    <w:qFormat/>
    <w:rsid w:val="00937DD7"/>
    <w:pPr>
      <w:keepNext/>
      <w:keepLines/>
      <w:spacing w:before="240" w:line="240" w:lineRule="auto"/>
    </w:pPr>
    <w:rPr>
      <w:rFonts w:ascii="Overpass" w:hAnsi="Overpass" w:cs="Arial"/>
      <w:b/>
      <w:color w:val="1E2CBD"/>
      <w:sz w:val="24"/>
      <w:szCs w:val="28"/>
      <w:lang w:val="en-US"/>
    </w:rPr>
  </w:style>
  <w:style w:type="paragraph" w:customStyle="1" w:styleId="TableTextright0">
    <w:name w:val="Table Text right"/>
    <w:basedOn w:val="Normal"/>
    <w:qFormat/>
    <w:rsid w:val="00937DD7"/>
    <w:pPr>
      <w:spacing w:before="20" w:after="20" w:line="240" w:lineRule="auto"/>
      <w:jc w:val="right"/>
    </w:pPr>
    <w:rPr>
      <w:rFonts w:eastAsia="Times New Roman" w:cs="Times New Roman"/>
      <w:lang w:val="en-US"/>
    </w:rPr>
  </w:style>
  <w:style w:type="paragraph" w:customStyle="1" w:styleId="TableHeaderright0">
    <w:name w:val="Table Header right"/>
    <w:basedOn w:val="Tableheaderleft"/>
    <w:qFormat/>
    <w:rsid w:val="00937DD7"/>
    <w:pPr>
      <w:keepNext/>
      <w:shd w:val="clear" w:color="auto" w:fill="1E2DBE"/>
      <w:spacing w:before="20" w:after="20"/>
      <w:jc w:val="right"/>
    </w:pPr>
    <w:rPr>
      <w:rFonts w:eastAsia="Times New Roman"/>
      <w:lang w:val="en-US" w:eastAsia="en-GB"/>
    </w:rPr>
  </w:style>
  <w:style w:type="paragraph" w:customStyle="1" w:styleId="TableBoxNoteSource">
    <w:name w:val="TableBox NoteSource"/>
    <w:basedOn w:val="TableTextleft0"/>
    <w:qFormat/>
    <w:rsid w:val="00937DD7"/>
    <w:pPr>
      <w:spacing w:before="60"/>
      <w:jc w:val="both"/>
    </w:pPr>
    <w:rPr>
      <w:sz w:val="15"/>
      <w:szCs w:val="15"/>
    </w:rPr>
  </w:style>
  <w:style w:type="character" w:styleId="CommentReference">
    <w:name w:val="annotation reference"/>
    <w:basedOn w:val="DefaultParagraphFont"/>
    <w:semiHidden/>
    <w:unhideWhenUsed/>
    <w:rsid w:val="00937DD7"/>
    <w:rPr>
      <w:sz w:val="16"/>
      <w:szCs w:val="16"/>
    </w:rPr>
  </w:style>
  <w:style w:type="paragraph" w:styleId="CommentText">
    <w:name w:val="annotation text"/>
    <w:basedOn w:val="Normal"/>
    <w:link w:val="CommentTextChar"/>
    <w:unhideWhenUsed/>
    <w:rsid w:val="00937DD7"/>
    <w:pPr>
      <w:spacing w:line="240" w:lineRule="auto"/>
    </w:pPr>
    <w:rPr>
      <w:szCs w:val="20"/>
    </w:rPr>
  </w:style>
  <w:style w:type="character" w:customStyle="1" w:styleId="CommentTextChar">
    <w:name w:val="Comment Text Char"/>
    <w:basedOn w:val="DefaultParagraphFont"/>
    <w:link w:val="CommentText"/>
    <w:rsid w:val="00937DD7"/>
    <w:rPr>
      <w:rFonts w:ascii="Noto Sans" w:hAnsi="Noto Sans" w:cs="Noto Sans"/>
      <w:sz w:val="20"/>
      <w:szCs w:val="20"/>
      <w:lang w:val="en-GB"/>
    </w:rPr>
  </w:style>
  <w:style w:type="paragraph" w:styleId="CommentSubject">
    <w:name w:val="annotation subject"/>
    <w:basedOn w:val="CommentText"/>
    <w:next w:val="CommentText"/>
    <w:link w:val="CommentSubjectChar"/>
    <w:uiPriority w:val="99"/>
    <w:semiHidden/>
    <w:unhideWhenUsed/>
    <w:rsid w:val="00937DD7"/>
    <w:rPr>
      <w:b/>
      <w:bCs/>
    </w:rPr>
  </w:style>
  <w:style w:type="character" w:customStyle="1" w:styleId="CommentSubjectChar">
    <w:name w:val="Comment Subject Char"/>
    <w:basedOn w:val="CommentTextChar"/>
    <w:link w:val="CommentSubject"/>
    <w:uiPriority w:val="99"/>
    <w:semiHidden/>
    <w:rsid w:val="00937DD7"/>
    <w:rPr>
      <w:rFonts w:ascii="Noto Sans" w:hAnsi="Noto Sans" w:cs="Noto Sans"/>
      <w:b/>
      <w:bCs/>
      <w:sz w:val="20"/>
      <w:szCs w:val="20"/>
      <w:lang w:val="en-GB"/>
    </w:rPr>
  </w:style>
  <w:style w:type="paragraph" w:customStyle="1" w:styleId="H3Indent">
    <w:name w:val="H3Indent"/>
    <w:basedOn w:val="Normal"/>
    <w:next w:val="ParaNum"/>
    <w:rsid w:val="00937DD7"/>
    <w:pPr>
      <w:keepNext/>
      <w:keepLines/>
      <w:tabs>
        <w:tab w:val="left" w:pos="680"/>
      </w:tabs>
      <w:spacing w:before="360" w:after="240" w:line="240" w:lineRule="auto"/>
      <w:ind w:left="680" w:right="2835" w:hanging="680"/>
      <w:outlineLvl w:val="2"/>
    </w:pPr>
    <w:rPr>
      <w:rFonts w:ascii="Arial" w:eastAsia="STKaiti" w:hAnsi="Arial" w:cs="Arial"/>
      <w:b/>
      <w:bCs/>
      <w:i/>
      <w:iCs/>
      <w:color w:val="000000"/>
      <w:sz w:val="24"/>
      <w:szCs w:val="26"/>
      <w:lang w:val="fr-FR"/>
    </w:rPr>
  </w:style>
  <w:style w:type="paragraph" w:customStyle="1" w:styleId="TableHeaderLeft0">
    <w:name w:val="TableHeaderLeft"/>
    <w:basedOn w:val="TableBody"/>
    <w:rsid w:val="00937DD7"/>
    <w:rPr>
      <w:b/>
    </w:rPr>
  </w:style>
  <w:style w:type="paragraph" w:customStyle="1" w:styleId="TableHeaderRight1">
    <w:name w:val="TableHeaderRight"/>
    <w:basedOn w:val="TableHeaderLeft0"/>
    <w:rsid w:val="00937DD7"/>
    <w:pPr>
      <w:jc w:val="right"/>
    </w:pPr>
  </w:style>
  <w:style w:type="paragraph" w:customStyle="1" w:styleId="TableNumber">
    <w:name w:val="TableNumber"/>
    <w:basedOn w:val="TableBody"/>
    <w:rsid w:val="00937DD7"/>
    <w:pPr>
      <w:jc w:val="right"/>
    </w:pPr>
  </w:style>
  <w:style w:type="paragraph" w:customStyle="1" w:styleId="Indent">
    <w:name w:val="Indent"/>
    <w:basedOn w:val="Normal"/>
    <w:qFormat/>
    <w:rsid w:val="00937DD7"/>
    <w:pPr>
      <w:spacing w:before="240" w:after="240" w:line="240" w:lineRule="auto"/>
      <w:ind w:left="1134" w:firstLine="454"/>
      <w:jc w:val="both"/>
    </w:pPr>
    <w:rPr>
      <w:rFonts w:ascii="Times New Roman" w:eastAsia="SimSun" w:hAnsi="Times New Roman" w:cs="Times New Roman"/>
      <w:color w:val="000000"/>
      <w:sz w:val="22"/>
      <w:szCs w:val="24"/>
      <w:lang w:val="fr-FR"/>
    </w:rPr>
  </w:style>
  <w:style w:type="paragraph" w:styleId="TOCHeading">
    <w:name w:val="TOC Heading"/>
    <w:basedOn w:val="Heading1"/>
    <w:next w:val="Normal"/>
    <w:uiPriority w:val="39"/>
    <w:unhideWhenUsed/>
    <w:qFormat/>
    <w:rsid w:val="00937DD7"/>
    <w:pPr>
      <w:spacing w:line="259" w:lineRule="auto"/>
      <w:outlineLvl w:val="9"/>
    </w:pPr>
    <w:rPr>
      <w:lang w:val="en-US"/>
    </w:rPr>
  </w:style>
  <w:style w:type="paragraph" w:styleId="NormalWeb">
    <w:name w:val="Normal (Web)"/>
    <w:basedOn w:val="Normal"/>
    <w:uiPriority w:val="99"/>
    <w:unhideWhenUsed/>
    <w:rsid w:val="00937DD7"/>
    <w:pPr>
      <w:spacing w:before="100" w:beforeAutospacing="1" w:after="100" w:afterAutospacing="1" w:line="240" w:lineRule="auto"/>
    </w:pPr>
    <w:rPr>
      <w:rFonts w:ascii="Times New Roman" w:eastAsiaTheme="minorEastAsia" w:hAnsi="Times New Roman" w:cs="Times New Roman"/>
      <w:sz w:val="24"/>
      <w:szCs w:val="24"/>
      <w:lang w:val="fr-CA" w:eastAsia="fr-FR"/>
    </w:rPr>
  </w:style>
  <w:style w:type="paragraph" w:styleId="Revision">
    <w:name w:val="Revision"/>
    <w:hidden/>
    <w:uiPriority w:val="99"/>
    <w:semiHidden/>
    <w:rsid w:val="00937DD7"/>
    <w:pPr>
      <w:spacing w:after="0" w:line="240" w:lineRule="auto"/>
    </w:pPr>
    <w:rPr>
      <w:rFonts w:ascii="Noto Sans" w:hAnsi="Noto Sans" w:cs="Noto Sans"/>
      <w:sz w:val="18"/>
      <w:szCs w:val="18"/>
      <w:lang w:val="en-GB"/>
    </w:rPr>
  </w:style>
  <w:style w:type="paragraph" w:styleId="Caption">
    <w:name w:val="caption"/>
    <w:basedOn w:val="Normal"/>
    <w:next w:val="Normal"/>
    <w:link w:val="CaptionChar"/>
    <w:qFormat/>
    <w:rsid w:val="00E626D3"/>
    <w:pPr>
      <w:keepNext/>
      <w:keepLines/>
      <w:numPr>
        <w:numId w:val="24"/>
      </w:numPr>
      <w:tabs>
        <w:tab w:val="left" w:pos="284"/>
        <w:tab w:val="decimal" w:pos="810"/>
        <w:tab w:val="left" w:pos="2790"/>
      </w:tabs>
      <w:spacing w:before="160" w:line="240" w:lineRule="auto"/>
    </w:pPr>
    <w:rPr>
      <w:b/>
      <w:bCs/>
      <w:color w:val="808080" w:themeColor="background1" w:themeShade="80"/>
    </w:rPr>
  </w:style>
  <w:style w:type="character" w:customStyle="1" w:styleId="CaptionChar">
    <w:name w:val="Caption Char"/>
    <w:link w:val="Caption"/>
    <w:rsid w:val="00E626D3"/>
    <w:rPr>
      <w:rFonts w:ascii="Noto Sans" w:hAnsi="Noto Sans" w:cs="Noto Sans"/>
      <w:b/>
      <w:bCs/>
      <w:color w:val="808080" w:themeColor="background1" w:themeShade="80"/>
      <w:sz w:val="20"/>
      <w:szCs w:val="18"/>
    </w:rPr>
  </w:style>
  <w:style w:type="paragraph" w:customStyle="1" w:styleId="Default">
    <w:name w:val="Default"/>
    <w:rsid w:val="00937DD7"/>
    <w:pPr>
      <w:autoSpaceDE w:val="0"/>
      <w:autoSpaceDN w:val="0"/>
      <w:adjustRightInd w:val="0"/>
      <w:spacing w:after="0" w:line="240" w:lineRule="auto"/>
    </w:pPr>
    <w:rPr>
      <w:rFonts w:ascii="Times New Roman" w:eastAsiaTheme="minorEastAsia" w:hAnsi="Times New Roman" w:cs="Times New Roman"/>
      <w:color w:val="000000"/>
      <w:sz w:val="24"/>
      <w:szCs w:val="24"/>
      <w:lang w:val="fr-CA" w:eastAsia="zh-CN"/>
    </w:rPr>
  </w:style>
  <w:style w:type="paragraph" w:customStyle="1" w:styleId="AppendixH1">
    <w:name w:val="AppendixH1"/>
    <w:next w:val="Normal"/>
    <w:rsid w:val="00937DD7"/>
    <w:pPr>
      <w:keepNext/>
      <w:keepLines/>
      <w:tabs>
        <w:tab w:val="left" w:pos="680"/>
      </w:tabs>
      <w:spacing w:before="480" w:after="240" w:line="240" w:lineRule="auto"/>
      <w:ind w:right="2835"/>
    </w:pPr>
    <w:rPr>
      <w:rFonts w:ascii="Arial" w:eastAsia="SimHei" w:hAnsi="Arial" w:cs="Arial"/>
      <w:b/>
      <w:bCs/>
      <w:sz w:val="28"/>
      <w:szCs w:val="30"/>
      <w:lang w:val="fr-FR"/>
    </w:rPr>
  </w:style>
  <w:style w:type="paragraph" w:customStyle="1" w:styleId="AppendixIndent">
    <w:name w:val="AppendixIndent"/>
    <w:basedOn w:val="Normal"/>
    <w:rsid w:val="00937DD7"/>
    <w:pPr>
      <w:spacing w:line="240" w:lineRule="auto"/>
      <w:ind w:left="1134" w:firstLine="454"/>
      <w:jc w:val="both"/>
    </w:pPr>
    <w:rPr>
      <w:rFonts w:ascii="Times New Roman" w:eastAsia="SimSun" w:hAnsi="Times New Roman" w:cs="Times New Roman"/>
      <w:color w:val="000000"/>
      <w:szCs w:val="22"/>
      <w:lang w:val="fr-FR"/>
    </w:rPr>
  </w:style>
  <w:style w:type="paragraph" w:customStyle="1" w:styleId="AppendixH2">
    <w:name w:val="AppendixH2"/>
    <w:next w:val="Normal"/>
    <w:rsid w:val="00937DD7"/>
    <w:pPr>
      <w:keepNext/>
      <w:keepLines/>
      <w:tabs>
        <w:tab w:val="left" w:pos="680"/>
      </w:tabs>
      <w:spacing w:before="360" w:after="240" w:line="240" w:lineRule="auto"/>
      <w:ind w:right="2835"/>
    </w:pPr>
    <w:rPr>
      <w:rFonts w:ascii="Arial" w:eastAsia="SimHei" w:hAnsi="Arial" w:cs="Arial"/>
      <w:b/>
      <w:bCs/>
      <w:color w:val="000000"/>
      <w:sz w:val="24"/>
      <w:szCs w:val="26"/>
      <w:lang w:val="fr-FR"/>
    </w:rPr>
  </w:style>
  <w:style w:type="paragraph" w:customStyle="1" w:styleId="AppendixIndent1">
    <w:name w:val="AppendixIndent1"/>
    <w:basedOn w:val="AppendixIndent"/>
    <w:rsid w:val="00937DD7"/>
    <w:pPr>
      <w:ind w:left="1588" w:hanging="454"/>
    </w:pPr>
  </w:style>
  <w:style w:type="paragraph" w:customStyle="1" w:styleId="AppendixH4">
    <w:name w:val="AppendixH4"/>
    <w:next w:val="Normal"/>
    <w:rsid w:val="00937DD7"/>
    <w:pPr>
      <w:keepNext/>
      <w:keepLines/>
      <w:tabs>
        <w:tab w:val="left" w:pos="680"/>
      </w:tabs>
      <w:spacing w:before="240" w:after="240" w:line="240" w:lineRule="auto"/>
      <w:ind w:right="2835"/>
    </w:pPr>
    <w:rPr>
      <w:rFonts w:ascii="Arial" w:eastAsia="SimSun" w:hAnsi="Arial" w:cs="Arial"/>
      <w:color w:val="000000"/>
      <w:lang w:val="fr-FR"/>
    </w:rPr>
  </w:style>
  <w:style w:type="paragraph" w:customStyle="1" w:styleId="Para">
    <w:name w:val="Para"/>
    <w:qFormat/>
    <w:rsid w:val="00937DD7"/>
    <w:pPr>
      <w:spacing w:before="240" w:after="240" w:line="240" w:lineRule="auto"/>
      <w:ind w:left="1134"/>
      <w:jc w:val="both"/>
    </w:pPr>
    <w:rPr>
      <w:rFonts w:ascii="Times New Roman" w:eastAsia="SimSun" w:hAnsi="Times New Roman" w:cs="Times New Roman"/>
      <w:color w:val="000000"/>
      <w:szCs w:val="24"/>
      <w:lang w:val="fr-FR"/>
    </w:rPr>
  </w:style>
  <w:style w:type="paragraph" w:customStyle="1" w:styleId="AgendaItem">
    <w:name w:val="AgendaItem"/>
    <w:basedOn w:val="Para"/>
    <w:rsid w:val="00937DD7"/>
    <w:pPr>
      <w:spacing w:before="480"/>
      <w:jc w:val="center"/>
    </w:pPr>
    <w:rPr>
      <w:rFonts w:eastAsia="SimHei"/>
      <w:b/>
      <w:bCs/>
      <w:sz w:val="24"/>
      <w:szCs w:val="26"/>
    </w:rPr>
  </w:style>
  <w:style w:type="paragraph" w:customStyle="1" w:styleId="AgendaSub1">
    <w:name w:val="AgendaSub1"/>
    <w:basedOn w:val="Para"/>
    <w:rsid w:val="00937DD7"/>
    <w:pPr>
      <w:keepNext/>
      <w:jc w:val="center"/>
    </w:pPr>
    <w:rPr>
      <w:rFonts w:eastAsia="STKaiti"/>
      <w:i/>
      <w:iCs/>
    </w:rPr>
  </w:style>
  <w:style w:type="paragraph" w:customStyle="1" w:styleId="AgendaTitle">
    <w:name w:val="AgendaTitle"/>
    <w:basedOn w:val="Para"/>
    <w:rsid w:val="00937DD7"/>
    <w:pPr>
      <w:jc w:val="center"/>
    </w:pPr>
    <w:rPr>
      <w:smallCaps/>
    </w:rPr>
  </w:style>
  <w:style w:type="paragraph" w:customStyle="1" w:styleId="Allegations">
    <w:name w:val="Allegations"/>
    <w:rsid w:val="00937DD7"/>
    <w:pPr>
      <w:keepNext/>
      <w:spacing w:before="240" w:after="0" w:line="240" w:lineRule="auto"/>
      <w:ind w:right="1418"/>
    </w:pPr>
    <w:rPr>
      <w:rFonts w:ascii="Times New Roman" w:eastAsia="SimHei" w:hAnsi="Times New Roman" w:cs="Times New Roman"/>
      <w:b/>
      <w:bCs/>
      <w:i/>
      <w:iCs/>
      <w:color w:val="000000"/>
      <w:sz w:val="26"/>
      <w:szCs w:val="28"/>
      <w:lang w:val="fr-FR"/>
    </w:rPr>
  </w:style>
  <w:style w:type="paragraph" w:customStyle="1" w:styleId="Appendix">
    <w:name w:val="Appendix"/>
    <w:rsid w:val="00937DD7"/>
    <w:pPr>
      <w:spacing w:before="120" w:after="120" w:line="240" w:lineRule="auto"/>
      <w:ind w:left="1134"/>
      <w:jc w:val="both"/>
    </w:pPr>
    <w:rPr>
      <w:rFonts w:ascii="Times New Roman" w:eastAsia="SimSun" w:hAnsi="Times New Roman" w:cs="Times New Roman"/>
      <w:color w:val="000000"/>
      <w:sz w:val="20"/>
      <w:lang w:val="fr-FR"/>
    </w:rPr>
  </w:style>
  <w:style w:type="paragraph" w:customStyle="1" w:styleId="AppendixH1Indent">
    <w:name w:val="AppendixH1Indent"/>
    <w:basedOn w:val="AppendixH1"/>
    <w:next w:val="Normal"/>
    <w:rsid w:val="00937DD7"/>
    <w:pPr>
      <w:ind w:left="680" w:hanging="680"/>
    </w:pPr>
  </w:style>
  <w:style w:type="paragraph" w:customStyle="1" w:styleId="AppendixH2Indent">
    <w:name w:val="AppendixH2Indent"/>
    <w:basedOn w:val="AppendixH2"/>
    <w:next w:val="Normal"/>
    <w:rsid w:val="00937DD7"/>
    <w:pPr>
      <w:ind w:left="680" w:hanging="680"/>
    </w:pPr>
  </w:style>
  <w:style w:type="paragraph" w:customStyle="1" w:styleId="AppendixH3">
    <w:name w:val="AppendixH3"/>
    <w:next w:val="Normal"/>
    <w:rsid w:val="00937DD7"/>
    <w:pPr>
      <w:keepNext/>
      <w:keepLines/>
      <w:tabs>
        <w:tab w:val="left" w:pos="680"/>
      </w:tabs>
      <w:spacing w:before="240" w:after="240" w:line="240" w:lineRule="auto"/>
      <w:ind w:right="2835"/>
    </w:pPr>
    <w:rPr>
      <w:rFonts w:ascii="Arial" w:eastAsia="STKaiti" w:hAnsi="Arial" w:cs="Arial"/>
      <w:b/>
      <w:bCs/>
      <w:i/>
      <w:iCs/>
      <w:color w:val="000000"/>
      <w:sz w:val="24"/>
      <w:szCs w:val="26"/>
      <w:lang w:val="fr-FR"/>
    </w:rPr>
  </w:style>
  <w:style w:type="paragraph" w:customStyle="1" w:styleId="AppendixH3Indent">
    <w:name w:val="AppendixH3Indent"/>
    <w:basedOn w:val="AppendixH3"/>
    <w:next w:val="Normal"/>
    <w:rsid w:val="00937DD7"/>
    <w:pPr>
      <w:ind w:left="680" w:hanging="680"/>
    </w:pPr>
  </w:style>
  <w:style w:type="paragraph" w:customStyle="1" w:styleId="AppendixH4Indent">
    <w:name w:val="AppendixH4Indent"/>
    <w:basedOn w:val="AppendixH4"/>
    <w:next w:val="Normal"/>
    <w:rsid w:val="00937DD7"/>
    <w:pPr>
      <w:ind w:left="680" w:hanging="680"/>
    </w:pPr>
  </w:style>
  <w:style w:type="paragraph" w:customStyle="1" w:styleId="AppendixIndent2">
    <w:name w:val="AppendixIndent2"/>
    <w:basedOn w:val="AppendixIndent"/>
    <w:rsid w:val="00937DD7"/>
    <w:pPr>
      <w:ind w:left="2042" w:hanging="454"/>
    </w:pPr>
  </w:style>
  <w:style w:type="paragraph" w:customStyle="1" w:styleId="AppendixIndent3">
    <w:name w:val="AppendixIndent3"/>
    <w:basedOn w:val="AppendixIndent"/>
    <w:rsid w:val="00937DD7"/>
    <w:pPr>
      <w:ind w:left="2495" w:hanging="454"/>
    </w:pPr>
  </w:style>
  <w:style w:type="paragraph" w:customStyle="1" w:styleId="AppendixNum">
    <w:name w:val="AppendixNum"/>
    <w:basedOn w:val="Appendix"/>
    <w:rsid w:val="00937DD7"/>
    <w:pPr>
      <w:ind w:hanging="340"/>
    </w:pPr>
  </w:style>
  <w:style w:type="paragraph" w:customStyle="1" w:styleId="AppendixQuotation">
    <w:name w:val="AppendixQuotation"/>
    <w:rsid w:val="00937DD7"/>
    <w:pPr>
      <w:spacing w:before="120" w:after="120" w:line="240" w:lineRule="auto"/>
      <w:ind w:left="1588" w:firstLine="454"/>
      <w:jc w:val="both"/>
    </w:pPr>
    <w:rPr>
      <w:rFonts w:ascii="Times New Roman" w:eastAsia="SimSun" w:hAnsi="Times New Roman" w:cs="Times New Roman"/>
      <w:color w:val="000000"/>
      <w:sz w:val="19"/>
      <w:szCs w:val="21"/>
      <w:lang w:val="fr-FR"/>
    </w:rPr>
  </w:style>
  <w:style w:type="paragraph" w:customStyle="1" w:styleId="AppendixQuotationIndent1">
    <w:name w:val="AppendixQuotationIndent1"/>
    <w:basedOn w:val="AppendixQuotation"/>
    <w:rsid w:val="00937DD7"/>
    <w:pPr>
      <w:ind w:left="2042" w:hanging="454"/>
    </w:pPr>
  </w:style>
  <w:style w:type="paragraph" w:customStyle="1" w:styleId="AppendixQuotationIndent2">
    <w:name w:val="AppendixQuotationIndent2"/>
    <w:basedOn w:val="AppendixQuotation"/>
    <w:rsid w:val="00937DD7"/>
    <w:pPr>
      <w:ind w:left="2495" w:hanging="454"/>
    </w:pPr>
  </w:style>
  <w:style w:type="paragraph" w:customStyle="1" w:styleId="AppendixQuotationNum">
    <w:name w:val="AppendixQuotationNum"/>
    <w:basedOn w:val="AppendixQuotation"/>
    <w:rsid w:val="00937DD7"/>
    <w:pPr>
      <w:numPr>
        <w:numId w:val="7"/>
      </w:numPr>
    </w:pPr>
  </w:style>
  <w:style w:type="paragraph" w:customStyle="1" w:styleId="AppendixQuotationTitle">
    <w:name w:val="AppendixQuotationTitle"/>
    <w:basedOn w:val="AppendixQuotation"/>
    <w:rsid w:val="00937DD7"/>
    <w:pPr>
      <w:ind w:firstLine="0"/>
    </w:pPr>
    <w:rPr>
      <w:i/>
    </w:rPr>
  </w:style>
  <w:style w:type="paragraph" w:customStyle="1" w:styleId="Article">
    <w:name w:val="Article"/>
    <w:rsid w:val="00937DD7"/>
    <w:pPr>
      <w:keepNext/>
      <w:keepLines/>
      <w:spacing w:before="360" w:after="240" w:line="240" w:lineRule="auto"/>
      <w:ind w:left="1134"/>
      <w:jc w:val="center"/>
    </w:pPr>
    <w:rPr>
      <w:rFonts w:ascii="Times New Roman" w:eastAsia="SimSun" w:hAnsi="Times New Roman" w:cs="Times New Roman"/>
      <w:i/>
      <w:iCs/>
      <w:color w:val="000000"/>
      <w:sz w:val="24"/>
      <w:szCs w:val="26"/>
      <w:lang w:val="fr-FR"/>
    </w:rPr>
  </w:style>
  <w:style w:type="paragraph" w:customStyle="1" w:styleId="ArticleSmCp">
    <w:name w:val="ArticleSmCp"/>
    <w:basedOn w:val="Article"/>
    <w:rsid w:val="00937DD7"/>
    <w:rPr>
      <w:i w:val="0"/>
      <w:iCs w:val="0"/>
      <w:smallCaps/>
    </w:rPr>
  </w:style>
  <w:style w:type="paragraph" w:customStyle="1" w:styleId="Box">
    <w:name w:val="Box"/>
    <w:rsid w:val="00937DD7"/>
    <w:pPr>
      <w:spacing w:before="120" w:after="120" w:line="240" w:lineRule="auto"/>
      <w:ind w:left="170" w:right="170"/>
      <w:jc w:val="both"/>
    </w:pPr>
    <w:rPr>
      <w:rFonts w:ascii="Arial Narrow" w:eastAsia="STKaiti" w:hAnsi="Arial Narrow" w:cs="Arial"/>
      <w:color w:val="000000"/>
      <w:sz w:val="19"/>
      <w:szCs w:val="20"/>
      <w:lang w:val="fr-FR"/>
    </w:rPr>
  </w:style>
  <w:style w:type="paragraph" w:customStyle="1" w:styleId="BoxIndent">
    <w:name w:val="BoxIndent"/>
    <w:basedOn w:val="Box"/>
    <w:rsid w:val="00937DD7"/>
    <w:pPr>
      <w:ind w:firstLine="340"/>
    </w:pPr>
  </w:style>
  <w:style w:type="paragraph" w:customStyle="1" w:styleId="BoxIndent1">
    <w:name w:val="BoxIndent1"/>
    <w:basedOn w:val="Box"/>
    <w:rsid w:val="00937DD7"/>
    <w:pPr>
      <w:ind w:left="510" w:hanging="340"/>
    </w:pPr>
  </w:style>
  <w:style w:type="paragraph" w:customStyle="1" w:styleId="BoxIndent2">
    <w:name w:val="BoxIndent2"/>
    <w:basedOn w:val="Box"/>
    <w:rsid w:val="00937DD7"/>
    <w:pPr>
      <w:ind w:left="850" w:hanging="340"/>
    </w:pPr>
  </w:style>
  <w:style w:type="paragraph" w:customStyle="1" w:styleId="BoxIndent3">
    <w:name w:val="BoxIndent3"/>
    <w:basedOn w:val="Box"/>
    <w:rsid w:val="00937DD7"/>
    <w:pPr>
      <w:ind w:left="1191" w:hanging="340"/>
    </w:pPr>
  </w:style>
  <w:style w:type="paragraph" w:customStyle="1" w:styleId="BoxIndent4">
    <w:name w:val="BoxIndent4"/>
    <w:basedOn w:val="Box"/>
    <w:rsid w:val="00937DD7"/>
    <w:pPr>
      <w:ind w:left="1531" w:hanging="340"/>
    </w:pPr>
  </w:style>
  <w:style w:type="paragraph" w:customStyle="1" w:styleId="BoxNoteSource">
    <w:name w:val="BoxNoteSource"/>
    <w:basedOn w:val="Box"/>
    <w:rsid w:val="00937DD7"/>
    <w:pPr>
      <w:spacing w:before="240"/>
    </w:pPr>
    <w:rPr>
      <w:sz w:val="17"/>
      <w:szCs w:val="18"/>
    </w:rPr>
  </w:style>
  <w:style w:type="paragraph" w:customStyle="1" w:styleId="BoxNum">
    <w:name w:val="BoxNum"/>
    <w:basedOn w:val="Box"/>
    <w:rsid w:val="00937DD7"/>
    <w:pPr>
      <w:numPr>
        <w:numId w:val="8"/>
      </w:numPr>
      <w:tabs>
        <w:tab w:val="left" w:pos="567"/>
      </w:tabs>
    </w:pPr>
  </w:style>
  <w:style w:type="paragraph" w:customStyle="1" w:styleId="BoxSubTitle">
    <w:name w:val="BoxSubTitle"/>
    <w:basedOn w:val="Box"/>
    <w:rsid w:val="00937DD7"/>
    <w:rPr>
      <w:b/>
    </w:rPr>
  </w:style>
  <w:style w:type="paragraph" w:customStyle="1" w:styleId="CaseNo">
    <w:name w:val="CaseNo"/>
    <w:rsid w:val="00937DD7"/>
    <w:pPr>
      <w:keepNext/>
      <w:spacing w:after="0" w:line="240" w:lineRule="auto"/>
    </w:pPr>
    <w:rPr>
      <w:rFonts w:ascii="Times New Roman" w:eastAsia="SimSun" w:hAnsi="Times New Roman" w:cs="Times New Roman"/>
      <w:smallCaps/>
      <w:color w:val="000000"/>
      <w:szCs w:val="24"/>
      <w:lang w:val="fr-FR"/>
    </w:rPr>
  </w:style>
  <w:style w:type="paragraph" w:customStyle="1" w:styleId="CaseNo2">
    <w:name w:val="CaseNo2"/>
    <w:basedOn w:val="CaseNo"/>
    <w:rsid w:val="00937DD7"/>
    <w:pPr>
      <w:spacing w:before="240"/>
    </w:pPr>
  </w:style>
  <w:style w:type="paragraph" w:customStyle="1" w:styleId="Complaint">
    <w:name w:val="Complaint"/>
    <w:rsid w:val="00937DD7"/>
    <w:pPr>
      <w:keepNext/>
      <w:spacing w:after="0" w:line="240" w:lineRule="auto"/>
      <w:ind w:left="312" w:hanging="312"/>
    </w:pPr>
    <w:rPr>
      <w:rFonts w:ascii="Times New Roman" w:eastAsia="SimHei" w:hAnsi="Times New Roman" w:cs="Times New Roman"/>
      <w:b/>
      <w:bCs/>
      <w:color w:val="000000"/>
      <w:sz w:val="26"/>
      <w:szCs w:val="28"/>
      <w:lang w:val="fr-FR"/>
    </w:rPr>
  </w:style>
  <w:style w:type="paragraph" w:customStyle="1" w:styleId="ComplaintTitle">
    <w:name w:val="ComplaintTitle"/>
    <w:rsid w:val="00937DD7"/>
    <w:pPr>
      <w:keepNext/>
      <w:spacing w:after="0" w:line="240" w:lineRule="auto"/>
      <w:ind w:right="1264"/>
    </w:pPr>
    <w:rPr>
      <w:rFonts w:ascii="Times New Roman" w:eastAsia="SimHei" w:hAnsi="Times New Roman" w:cs="Times New Roman"/>
      <w:b/>
      <w:bCs/>
      <w:color w:val="000000"/>
      <w:sz w:val="26"/>
      <w:szCs w:val="28"/>
      <w:lang w:val="fr-FR"/>
    </w:rPr>
  </w:style>
  <w:style w:type="paragraph" w:customStyle="1" w:styleId="Conclusions">
    <w:name w:val="Conclusions"/>
    <w:basedOn w:val="ParaNum"/>
    <w:rsid w:val="00937DD7"/>
    <w:pPr>
      <w:numPr>
        <w:numId w:val="0"/>
      </w:numPr>
      <w:tabs>
        <w:tab w:val="num" w:pos="1134"/>
      </w:tabs>
      <w:spacing w:before="240" w:after="240"/>
      <w:ind w:left="1134" w:hanging="113"/>
    </w:pPr>
    <w:rPr>
      <w:rFonts w:ascii="Times New Roman" w:eastAsia="SimSun" w:hAnsi="Times New Roman" w:cs="Times New Roman"/>
      <w:i/>
      <w:iCs/>
      <w:color w:val="000000"/>
      <w:sz w:val="22"/>
      <w:szCs w:val="24"/>
      <w:lang w:val="fr-FR"/>
    </w:rPr>
  </w:style>
  <w:style w:type="paragraph" w:customStyle="1" w:styleId="Contents">
    <w:name w:val="Contents"/>
    <w:rsid w:val="00937DD7"/>
    <w:pPr>
      <w:spacing w:before="360" w:after="120" w:line="240" w:lineRule="auto"/>
      <w:ind w:right="567"/>
    </w:pPr>
    <w:rPr>
      <w:rFonts w:ascii="Arial" w:eastAsia="SimSun" w:hAnsi="Arial" w:cs="Times New Roman"/>
      <w:b/>
      <w:bCs/>
      <w:i/>
      <w:iCs/>
      <w:color w:val="000000"/>
      <w:lang w:val="fr-FR"/>
    </w:rPr>
  </w:style>
  <w:style w:type="paragraph" w:customStyle="1" w:styleId="ContentsRef">
    <w:name w:val="ContentsRef"/>
    <w:rsid w:val="00937DD7"/>
    <w:pPr>
      <w:spacing w:before="360" w:after="120" w:line="240" w:lineRule="auto"/>
      <w:jc w:val="right"/>
    </w:pPr>
    <w:rPr>
      <w:rFonts w:ascii="Times New Roman" w:eastAsia="STKaiti" w:hAnsi="Times New Roman" w:cs="Times New Roman"/>
      <w:i/>
      <w:iCs/>
      <w:sz w:val="20"/>
      <w:lang w:val="fr-FR"/>
    </w:rPr>
  </w:style>
  <w:style w:type="paragraph" w:customStyle="1" w:styleId="Country">
    <w:name w:val="Country"/>
    <w:basedOn w:val="AgendaTitle"/>
    <w:rsid w:val="00937DD7"/>
    <w:rPr>
      <w:rFonts w:eastAsia="SimHei"/>
      <w:b/>
      <w:bCs/>
      <w:sz w:val="24"/>
      <w:szCs w:val="26"/>
    </w:rPr>
  </w:style>
  <w:style w:type="character" w:customStyle="1" w:styleId="DecisionType">
    <w:name w:val="DecisionType"/>
    <w:basedOn w:val="DefaultParagraphFont"/>
    <w:rsid w:val="00937DD7"/>
    <w:rPr>
      <w:b/>
      <w:i/>
      <w:sz w:val="24"/>
      <w:lang w:val="fr-FR"/>
    </w:rPr>
  </w:style>
  <w:style w:type="paragraph" w:customStyle="1" w:styleId="DocTitle">
    <w:name w:val="DocTitle"/>
    <w:next w:val="Normal"/>
    <w:rsid w:val="00937DD7"/>
    <w:pPr>
      <w:spacing w:before="300" w:after="360" w:line="240" w:lineRule="auto"/>
      <w:ind w:right="2835"/>
    </w:pPr>
    <w:rPr>
      <w:rFonts w:ascii="Arial" w:eastAsia="SimHei" w:hAnsi="Arial" w:cs="Arial"/>
      <w:b/>
      <w:bCs/>
      <w:sz w:val="32"/>
      <w:szCs w:val="34"/>
      <w:lang w:val="fr-FR"/>
    </w:rPr>
  </w:style>
  <w:style w:type="paragraph" w:customStyle="1" w:styleId="ParaTable">
    <w:name w:val="ParaTable"/>
    <w:basedOn w:val="Para"/>
    <w:rsid w:val="00937DD7"/>
    <w:pPr>
      <w:spacing w:before="0" w:after="0"/>
      <w:ind w:left="0"/>
      <w:jc w:val="left"/>
    </w:pPr>
  </w:style>
  <w:style w:type="paragraph" w:customStyle="1" w:styleId="FirstLevel">
    <w:name w:val="FirstLevel"/>
    <w:basedOn w:val="ParaTable"/>
    <w:rsid w:val="00937DD7"/>
    <w:pPr>
      <w:ind w:left="454" w:hanging="454"/>
    </w:pPr>
    <w:rPr>
      <w:rFonts w:eastAsia="Times New Roman"/>
      <w:color w:val="auto"/>
      <w:szCs w:val="20"/>
    </w:rPr>
  </w:style>
  <w:style w:type="paragraph" w:customStyle="1" w:styleId="FirstLevelSub1">
    <w:name w:val="FirstLevelSub1"/>
    <w:basedOn w:val="FirstLevel"/>
    <w:rsid w:val="00937DD7"/>
    <w:pPr>
      <w:ind w:left="908"/>
    </w:pPr>
  </w:style>
  <w:style w:type="paragraph" w:customStyle="1" w:styleId="FirstLevelSub2">
    <w:name w:val="FirstLevelSub2"/>
    <w:basedOn w:val="FirstLevelSub1"/>
    <w:rsid w:val="00937DD7"/>
    <w:pPr>
      <w:ind w:left="1361"/>
    </w:pPr>
  </w:style>
  <w:style w:type="paragraph" w:customStyle="1" w:styleId="H1Indent">
    <w:name w:val="H1Indent"/>
    <w:basedOn w:val="H1"/>
    <w:next w:val="Normal"/>
    <w:rsid w:val="00937DD7"/>
    <w:pPr>
      <w:ind w:left="680" w:hanging="680"/>
    </w:pPr>
  </w:style>
  <w:style w:type="paragraph" w:customStyle="1" w:styleId="H1Instrument">
    <w:name w:val="H1Instrument"/>
    <w:next w:val="Normal"/>
    <w:rsid w:val="00937DD7"/>
    <w:pPr>
      <w:spacing w:before="480" w:after="240" w:line="240" w:lineRule="auto"/>
      <w:jc w:val="center"/>
      <w:outlineLvl w:val="0"/>
    </w:pPr>
    <w:rPr>
      <w:rFonts w:ascii="Times New Roman" w:eastAsia="SimSun" w:hAnsi="Times New Roman" w:cs="Times New Roman"/>
      <w:b/>
      <w:bCs/>
      <w:color w:val="000000"/>
      <w:sz w:val="28"/>
      <w:szCs w:val="30"/>
      <w:lang w:val="fr-FR"/>
    </w:rPr>
  </w:style>
  <w:style w:type="paragraph" w:customStyle="1" w:styleId="H2">
    <w:name w:val="H2"/>
    <w:next w:val="ParaNum"/>
    <w:qFormat/>
    <w:rsid w:val="00937DD7"/>
    <w:pPr>
      <w:keepNext/>
      <w:keepLines/>
      <w:tabs>
        <w:tab w:val="left" w:pos="680"/>
      </w:tabs>
      <w:spacing w:before="480" w:after="240" w:line="240" w:lineRule="auto"/>
      <w:ind w:right="2835"/>
      <w:outlineLvl w:val="1"/>
    </w:pPr>
    <w:rPr>
      <w:rFonts w:ascii="Arial" w:eastAsia="SimHei" w:hAnsi="Arial" w:cs="Arial"/>
      <w:b/>
      <w:bCs/>
      <w:color w:val="000000"/>
      <w:sz w:val="24"/>
      <w:szCs w:val="28"/>
      <w:lang w:val="fr-FR"/>
    </w:rPr>
  </w:style>
  <w:style w:type="paragraph" w:customStyle="1" w:styleId="H2Indent">
    <w:name w:val="H2Indent"/>
    <w:basedOn w:val="H2"/>
    <w:next w:val="ParaNum"/>
    <w:rsid w:val="00937DD7"/>
    <w:pPr>
      <w:ind w:left="680" w:hanging="680"/>
    </w:pPr>
  </w:style>
  <w:style w:type="paragraph" w:customStyle="1" w:styleId="H2Instrument">
    <w:name w:val="H2Instrument"/>
    <w:basedOn w:val="H1Instrument"/>
    <w:next w:val="Normal"/>
    <w:rsid w:val="00937DD7"/>
    <w:pPr>
      <w:spacing w:before="360"/>
    </w:pPr>
    <w:rPr>
      <w:sz w:val="24"/>
      <w:szCs w:val="26"/>
    </w:rPr>
  </w:style>
  <w:style w:type="paragraph" w:customStyle="1" w:styleId="H3">
    <w:name w:val="H3"/>
    <w:next w:val="ParaNum"/>
    <w:qFormat/>
    <w:rsid w:val="00937DD7"/>
    <w:pPr>
      <w:keepNext/>
      <w:keepLines/>
      <w:tabs>
        <w:tab w:val="left" w:pos="680"/>
      </w:tabs>
      <w:spacing w:before="360" w:after="240" w:line="240" w:lineRule="auto"/>
      <w:ind w:right="2835"/>
      <w:outlineLvl w:val="2"/>
    </w:pPr>
    <w:rPr>
      <w:rFonts w:ascii="Arial" w:eastAsia="STKaiti" w:hAnsi="Arial" w:cs="Arial"/>
      <w:b/>
      <w:bCs/>
      <w:i/>
      <w:iCs/>
      <w:color w:val="000000"/>
      <w:sz w:val="24"/>
      <w:szCs w:val="26"/>
      <w:lang w:val="fr-FR"/>
    </w:rPr>
  </w:style>
  <w:style w:type="paragraph" w:customStyle="1" w:styleId="H4">
    <w:name w:val="H4"/>
    <w:next w:val="ParaNum"/>
    <w:qFormat/>
    <w:rsid w:val="00937DD7"/>
    <w:pPr>
      <w:keepNext/>
      <w:keepLines/>
      <w:tabs>
        <w:tab w:val="left" w:pos="680"/>
      </w:tabs>
      <w:spacing w:before="240" w:after="240" w:line="240" w:lineRule="auto"/>
      <w:ind w:right="2835"/>
      <w:outlineLvl w:val="3"/>
    </w:pPr>
    <w:rPr>
      <w:rFonts w:ascii="Arial" w:eastAsia="Times New Roman" w:hAnsi="Arial" w:cs="Arial"/>
      <w:color w:val="000000"/>
      <w:szCs w:val="24"/>
      <w:lang w:val="fr-FR"/>
    </w:rPr>
  </w:style>
  <w:style w:type="paragraph" w:customStyle="1" w:styleId="H4Indent">
    <w:name w:val="H4Indent"/>
    <w:basedOn w:val="H4"/>
    <w:next w:val="ParaNum"/>
    <w:rsid w:val="00937DD7"/>
    <w:pPr>
      <w:ind w:left="680" w:hanging="680"/>
    </w:pPr>
  </w:style>
  <w:style w:type="paragraph" w:customStyle="1" w:styleId="H5">
    <w:name w:val="H5"/>
    <w:next w:val="ParaNum"/>
    <w:rsid w:val="00937DD7"/>
    <w:pPr>
      <w:keepNext/>
      <w:keepLines/>
      <w:tabs>
        <w:tab w:val="left" w:pos="680"/>
      </w:tabs>
      <w:spacing w:before="120" w:after="60" w:line="240" w:lineRule="auto"/>
      <w:ind w:right="2835"/>
      <w:outlineLvl w:val="4"/>
    </w:pPr>
    <w:rPr>
      <w:rFonts w:ascii="Arial" w:eastAsia="STKaiti" w:hAnsi="Arial" w:cs="Arial"/>
      <w:i/>
      <w:iCs/>
      <w:color w:val="000000"/>
      <w:szCs w:val="24"/>
      <w:lang w:val="fr-FR"/>
    </w:rPr>
  </w:style>
  <w:style w:type="paragraph" w:customStyle="1" w:styleId="H5Indent">
    <w:name w:val="H5Indent"/>
    <w:basedOn w:val="H5"/>
    <w:next w:val="ParaNum"/>
    <w:rsid w:val="00937DD7"/>
    <w:pPr>
      <w:ind w:left="680" w:hanging="680"/>
    </w:pPr>
  </w:style>
  <w:style w:type="paragraph" w:customStyle="1" w:styleId="Indent10">
    <w:name w:val="Indent1"/>
    <w:basedOn w:val="Indent"/>
    <w:qFormat/>
    <w:rsid w:val="00937DD7"/>
    <w:pPr>
      <w:ind w:left="1588" w:hanging="454"/>
    </w:pPr>
  </w:style>
  <w:style w:type="paragraph" w:customStyle="1" w:styleId="Indent1Table">
    <w:name w:val="Indent1Table"/>
    <w:basedOn w:val="Indent10"/>
    <w:rsid w:val="00937DD7"/>
    <w:pPr>
      <w:spacing w:before="0" w:after="0"/>
      <w:ind w:left="454"/>
      <w:jc w:val="left"/>
    </w:pPr>
  </w:style>
  <w:style w:type="paragraph" w:customStyle="1" w:styleId="Indent20">
    <w:name w:val="Indent2"/>
    <w:basedOn w:val="Indent"/>
    <w:qFormat/>
    <w:rsid w:val="00937DD7"/>
    <w:pPr>
      <w:ind w:left="2042" w:hanging="454"/>
    </w:pPr>
  </w:style>
  <w:style w:type="paragraph" w:customStyle="1" w:styleId="Indent2Table">
    <w:name w:val="Indent2Table"/>
    <w:basedOn w:val="Indent20"/>
    <w:rsid w:val="00937DD7"/>
    <w:pPr>
      <w:spacing w:before="0" w:after="0"/>
      <w:ind w:left="908"/>
      <w:jc w:val="left"/>
    </w:pPr>
  </w:style>
  <w:style w:type="paragraph" w:customStyle="1" w:styleId="Indent3">
    <w:name w:val="Indent3"/>
    <w:basedOn w:val="Indent"/>
    <w:qFormat/>
    <w:rsid w:val="00937DD7"/>
    <w:pPr>
      <w:ind w:left="2495" w:hanging="454"/>
    </w:pPr>
  </w:style>
  <w:style w:type="paragraph" w:customStyle="1" w:styleId="Indent3Table">
    <w:name w:val="Indent3Table"/>
    <w:basedOn w:val="Indent3"/>
    <w:rsid w:val="00937DD7"/>
    <w:pPr>
      <w:spacing w:before="0" w:after="0"/>
      <w:ind w:left="1361"/>
      <w:jc w:val="left"/>
    </w:pPr>
  </w:style>
  <w:style w:type="paragraph" w:customStyle="1" w:styleId="IndentItalic">
    <w:name w:val="IndentItalic"/>
    <w:basedOn w:val="Indent"/>
    <w:rsid w:val="00937DD7"/>
    <w:rPr>
      <w:i/>
    </w:rPr>
  </w:style>
  <w:style w:type="paragraph" w:customStyle="1" w:styleId="IndentTable">
    <w:name w:val="IndentTable"/>
    <w:basedOn w:val="Indent"/>
    <w:rsid w:val="00937DD7"/>
    <w:pPr>
      <w:spacing w:before="0" w:after="0"/>
      <w:ind w:left="0"/>
      <w:jc w:val="left"/>
    </w:pPr>
  </w:style>
  <w:style w:type="paragraph" w:customStyle="1" w:styleId="InstrumentC1">
    <w:name w:val="InstrumentC1"/>
    <w:basedOn w:val="Appendix"/>
    <w:rsid w:val="00937DD7"/>
    <w:pPr>
      <w:ind w:left="1644" w:hanging="510"/>
    </w:pPr>
  </w:style>
  <w:style w:type="paragraph" w:customStyle="1" w:styleId="InstrumentC2">
    <w:name w:val="InstrumentC2"/>
    <w:basedOn w:val="InstrumentC1"/>
    <w:rsid w:val="00937DD7"/>
    <w:pPr>
      <w:ind w:left="2324" w:hanging="680"/>
    </w:pPr>
  </w:style>
  <w:style w:type="paragraph" w:customStyle="1" w:styleId="InstrumentC3">
    <w:name w:val="InstrumentC3"/>
    <w:basedOn w:val="InstrumentC2"/>
    <w:rsid w:val="00937DD7"/>
    <w:pPr>
      <w:ind w:left="3176" w:hanging="851"/>
    </w:pPr>
  </w:style>
  <w:style w:type="paragraph" w:customStyle="1" w:styleId="InstrumentCsub">
    <w:name w:val="InstrumentCsub"/>
    <w:basedOn w:val="Appendix"/>
    <w:rsid w:val="00937DD7"/>
    <w:pPr>
      <w:ind w:left="2098" w:hanging="454"/>
    </w:pPr>
  </w:style>
  <w:style w:type="paragraph" w:customStyle="1" w:styleId="Officers">
    <w:name w:val="Officers"/>
    <w:rsid w:val="00937DD7"/>
    <w:pPr>
      <w:spacing w:before="120" w:after="120" w:line="240" w:lineRule="auto"/>
      <w:ind w:left="3062" w:hanging="1928"/>
    </w:pPr>
    <w:rPr>
      <w:rFonts w:ascii="Times New Roman" w:eastAsia="SimSun" w:hAnsi="Times New Roman" w:cs="Times New Roman"/>
      <w:color w:val="000000"/>
      <w:szCs w:val="24"/>
      <w:lang w:val="fr-FR"/>
    </w:rPr>
  </w:style>
  <w:style w:type="paragraph" w:customStyle="1" w:styleId="ParaInstrument">
    <w:name w:val="ParaInstrument"/>
    <w:rsid w:val="00937DD7"/>
    <w:pPr>
      <w:spacing w:before="80" w:after="80" w:line="240" w:lineRule="auto"/>
      <w:ind w:left="2155" w:right="851" w:hanging="567"/>
      <w:jc w:val="both"/>
    </w:pPr>
    <w:rPr>
      <w:rFonts w:ascii="Times New Roman" w:eastAsia="SimSun" w:hAnsi="Times New Roman" w:cs="Times New Roman"/>
      <w:color w:val="000000"/>
      <w:szCs w:val="24"/>
      <w:lang w:val="fr-FR"/>
    </w:rPr>
  </w:style>
  <w:style w:type="paragraph" w:customStyle="1" w:styleId="Participants">
    <w:name w:val="Participants"/>
    <w:basedOn w:val="Para"/>
    <w:rsid w:val="00937DD7"/>
    <w:pPr>
      <w:ind w:left="0"/>
    </w:pPr>
    <w:rPr>
      <w:sz w:val="24"/>
    </w:rPr>
  </w:style>
  <w:style w:type="paragraph" w:customStyle="1" w:styleId="QuotationIndent1">
    <w:name w:val="QuotationIndent1"/>
    <w:basedOn w:val="Quotation"/>
    <w:rsid w:val="00937DD7"/>
    <w:pPr>
      <w:ind w:left="2042" w:hanging="454"/>
    </w:pPr>
  </w:style>
  <w:style w:type="paragraph" w:customStyle="1" w:styleId="QuotationIndent2">
    <w:name w:val="QuotationIndent2"/>
    <w:basedOn w:val="Quotation"/>
    <w:rsid w:val="00937DD7"/>
    <w:pPr>
      <w:ind w:left="2495" w:hanging="454"/>
    </w:pPr>
  </w:style>
  <w:style w:type="paragraph" w:customStyle="1" w:styleId="QuotationNum">
    <w:name w:val="QuotationNum"/>
    <w:basedOn w:val="Quotation"/>
    <w:rsid w:val="00937DD7"/>
    <w:pPr>
      <w:numPr>
        <w:numId w:val="9"/>
      </w:numPr>
    </w:pPr>
  </w:style>
  <w:style w:type="paragraph" w:customStyle="1" w:styleId="QuotationPointDecision">
    <w:name w:val="QuotationPointDecision"/>
    <w:basedOn w:val="Quotation"/>
    <w:rsid w:val="00937DD7"/>
    <w:pPr>
      <w:ind w:left="2042" w:hanging="454"/>
    </w:pPr>
    <w:rPr>
      <w:b/>
      <w:i/>
    </w:rPr>
  </w:style>
  <w:style w:type="paragraph" w:customStyle="1" w:styleId="QuotationTitle">
    <w:name w:val="QuotationTitle"/>
    <w:basedOn w:val="Quotation"/>
    <w:rsid w:val="00937DD7"/>
    <w:pPr>
      <w:ind w:firstLine="0"/>
      <w:jc w:val="left"/>
    </w:pPr>
    <w:rPr>
      <w:i/>
    </w:rPr>
  </w:style>
  <w:style w:type="paragraph" w:customStyle="1" w:styleId="ReportIndent">
    <w:name w:val="ReportIndent"/>
    <w:basedOn w:val="ParaTable"/>
    <w:rsid w:val="00937DD7"/>
    <w:pPr>
      <w:ind w:left="1361" w:hanging="1361"/>
    </w:pPr>
  </w:style>
  <w:style w:type="paragraph" w:customStyle="1" w:styleId="ReportTitle">
    <w:name w:val="ReportTitle"/>
    <w:basedOn w:val="DocTitle"/>
    <w:next w:val="Para"/>
    <w:rsid w:val="00937DD7"/>
    <w:pPr>
      <w:spacing w:before="120" w:after="240"/>
    </w:pPr>
    <w:rPr>
      <w:color w:val="000000"/>
      <w:sz w:val="30"/>
      <w:szCs w:val="30"/>
    </w:rPr>
  </w:style>
  <w:style w:type="paragraph" w:customStyle="1" w:styleId="SittingDate">
    <w:name w:val="SittingDate"/>
    <w:basedOn w:val="Para"/>
    <w:rsid w:val="00937DD7"/>
    <w:pPr>
      <w:keepNext/>
      <w:spacing w:before="360" w:after="360"/>
      <w:jc w:val="center"/>
    </w:pPr>
  </w:style>
  <w:style w:type="paragraph" w:customStyle="1" w:styleId="SittingTitle">
    <w:name w:val="SittingTitle"/>
    <w:basedOn w:val="AgendaItem"/>
    <w:rsid w:val="00937DD7"/>
  </w:style>
  <w:style w:type="paragraph" w:customStyle="1" w:styleId="TableHeaderCender">
    <w:name w:val="TableHeaderCender"/>
    <w:basedOn w:val="TableBody"/>
    <w:rsid w:val="00937DD7"/>
    <w:pPr>
      <w:jc w:val="center"/>
    </w:pPr>
  </w:style>
  <w:style w:type="paragraph" w:customStyle="1" w:styleId="TableHeaderCenter">
    <w:name w:val="TableHeaderCenter"/>
    <w:basedOn w:val="TableHeaderLeft0"/>
    <w:rsid w:val="00937DD7"/>
    <w:pPr>
      <w:jc w:val="center"/>
    </w:pPr>
  </w:style>
  <w:style w:type="paragraph" w:customStyle="1" w:styleId="TableNoteSource">
    <w:name w:val="TableNoteSource"/>
    <w:basedOn w:val="TableBody"/>
    <w:rsid w:val="00937DD7"/>
    <w:pPr>
      <w:spacing w:before="60"/>
      <w:jc w:val="both"/>
    </w:pPr>
    <w:rPr>
      <w:sz w:val="17"/>
      <w:szCs w:val="18"/>
    </w:rPr>
  </w:style>
  <w:style w:type="paragraph" w:customStyle="1" w:styleId="TableText">
    <w:name w:val="TableText"/>
    <w:basedOn w:val="TableBody"/>
    <w:rsid w:val="00937DD7"/>
    <w:pPr>
      <w:spacing w:before="60" w:after="60"/>
    </w:pPr>
  </w:style>
  <w:style w:type="paragraph" w:customStyle="1" w:styleId="TableTextIndent1">
    <w:name w:val="TableTextIndent1"/>
    <w:basedOn w:val="TableText"/>
    <w:rsid w:val="00937DD7"/>
    <w:pPr>
      <w:ind w:left="227" w:hanging="227"/>
    </w:pPr>
  </w:style>
  <w:style w:type="paragraph" w:customStyle="1" w:styleId="TableTextIndent2">
    <w:name w:val="TableTextIndent2"/>
    <w:basedOn w:val="TableText"/>
    <w:rsid w:val="00937DD7"/>
    <w:pPr>
      <w:ind w:left="454" w:hanging="227"/>
    </w:pPr>
  </w:style>
  <w:style w:type="paragraph" w:styleId="TOC4">
    <w:name w:val="toc 4"/>
    <w:next w:val="Normal"/>
    <w:uiPriority w:val="39"/>
    <w:rsid w:val="00937DD7"/>
    <w:pPr>
      <w:tabs>
        <w:tab w:val="right" w:leader="dot" w:pos="8618"/>
        <w:tab w:val="right" w:pos="9185"/>
      </w:tabs>
      <w:spacing w:before="60" w:after="60" w:line="240" w:lineRule="auto"/>
      <w:ind w:left="1701"/>
    </w:pPr>
    <w:rPr>
      <w:rFonts w:ascii="Times New Roman" w:eastAsia="SimSun" w:hAnsi="Times New Roman" w:cs="Times New Roman"/>
      <w:color w:val="000000"/>
      <w:lang w:val="fr-FR"/>
    </w:rPr>
  </w:style>
  <w:style w:type="paragraph" w:styleId="TOC5">
    <w:name w:val="toc 5"/>
    <w:next w:val="Normal"/>
    <w:uiPriority w:val="39"/>
    <w:rsid w:val="00937DD7"/>
    <w:pPr>
      <w:tabs>
        <w:tab w:val="right" w:leader="dot" w:pos="8618"/>
        <w:tab w:val="right" w:pos="9185"/>
      </w:tabs>
      <w:spacing w:before="60" w:after="60" w:line="240" w:lineRule="auto"/>
      <w:ind w:left="2268"/>
    </w:pPr>
    <w:rPr>
      <w:rFonts w:ascii="Times New Roman" w:eastAsia="SimSun" w:hAnsi="Times New Roman" w:cs="Times New Roman"/>
      <w:color w:val="000000"/>
      <w:lang w:val="fr-FR"/>
    </w:rPr>
  </w:style>
  <w:style w:type="paragraph" w:customStyle="1" w:styleId="TWPHeading">
    <w:name w:val="TWPHeading"/>
    <w:rsid w:val="00937DD7"/>
    <w:pPr>
      <w:keepLines/>
      <w:tabs>
        <w:tab w:val="left" w:pos="680"/>
      </w:tabs>
      <w:spacing w:before="360" w:after="240" w:line="240" w:lineRule="auto"/>
      <w:ind w:right="2835"/>
    </w:pPr>
    <w:rPr>
      <w:rFonts w:ascii="Arial" w:eastAsia="SimHei" w:hAnsi="Arial" w:cs="Arial"/>
      <w:b/>
      <w:bCs/>
      <w:color w:val="000000"/>
      <w:kern w:val="32"/>
      <w:sz w:val="24"/>
      <w:szCs w:val="26"/>
      <w:lang w:val="fr-FR"/>
    </w:rPr>
  </w:style>
  <w:style w:type="paragraph" w:styleId="NoSpacing">
    <w:name w:val="No Spacing"/>
    <w:uiPriority w:val="1"/>
    <w:qFormat/>
    <w:rsid w:val="00937DD7"/>
    <w:pPr>
      <w:spacing w:after="0" w:line="240" w:lineRule="auto"/>
    </w:pPr>
    <w:rPr>
      <w:rFonts w:ascii="Times New Roman" w:eastAsia="SimSun" w:hAnsi="Times New Roman" w:cs="Times New Roman"/>
      <w:color w:val="000000"/>
      <w:sz w:val="24"/>
      <w:szCs w:val="24"/>
      <w:lang w:val="fr-FR"/>
    </w:rPr>
  </w:style>
  <w:style w:type="paragraph" w:customStyle="1" w:styleId="PointDecision">
    <w:name w:val="PointDecision"/>
    <w:basedOn w:val="ParaNum"/>
    <w:qFormat/>
    <w:rsid w:val="00937DD7"/>
    <w:pPr>
      <w:numPr>
        <w:numId w:val="0"/>
      </w:numPr>
      <w:tabs>
        <w:tab w:val="num" w:pos="1134"/>
      </w:tabs>
      <w:spacing w:before="240" w:after="240"/>
      <w:ind w:left="1134" w:hanging="113"/>
    </w:pPr>
    <w:rPr>
      <w:rFonts w:ascii="Times New Roman" w:eastAsia="SimSun" w:hAnsi="Times New Roman" w:cs="Times New Roman"/>
      <w:b/>
      <w:i/>
      <w:color w:val="000000"/>
      <w:sz w:val="24"/>
      <w:szCs w:val="24"/>
      <w:lang w:val="fr-FR"/>
    </w:rPr>
  </w:style>
  <w:style w:type="paragraph" w:customStyle="1" w:styleId="Numbered">
    <w:name w:val="Numbered"/>
    <w:rsid w:val="00937DD7"/>
    <w:pPr>
      <w:numPr>
        <w:numId w:val="18"/>
      </w:numPr>
      <w:spacing w:before="240" w:after="240" w:line="240" w:lineRule="auto"/>
      <w:jc w:val="both"/>
    </w:pPr>
    <w:rPr>
      <w:rFonts w:ascii="Times New Roman" w:eastAsia="Times New Roman" w:hAnsi="Times New Roman" w:cs="Times New Roman"/>
      <w:szCs w:val="20"/>
      <w:lang w:val="en-US"/>
    </w:rPr>
  </w:style>
  <w:style w:type="paragraph" w:customStyle="1" w:styleId="Indent4">
    <w:name w:val="Indent4"/>
    <w:basedOn w:val="Indent3"/>
    <w:rsid w:val="00937DD7"/>
    <w:pPr>
      <w:ind w:left="2949"/>
    </w:pPr>
    <w:rPr>
      <w:rFonts w:eastAsia="Times New Roman"/>
      <w:color w:val="auto"/>
      <w:szCs w:val="20"/>
      <w:lang w:val="en-US"/>
    </w:rPr>
  </w:style>
  <w:style w:type="paragraph" w:customStyle="1" w:styleId="Indent5">
    <w:name w:val="Indent5"/>
    <w:basedOn w:val="Indent4"/>
    <w:rsid w:val="00937DD7"/>
    <w:pPr>
      <w:ind w:left="3402"/>
    </w:pPr>
  </w:style>
  <w:style w:type="paragraph" w:customStyle="1" w:styleId="QuestionTitle">
    <w:name w:val="QuestionTitle"/>
    <w:rsid w:val="00937DD7"/>
    <w:pPr>
      <w:spacing w:after="0" w:line="240" w:lineRule="auto"/>
    </w:pPr>
    <w:rPr>
      <w:rFonts w:ascii="Arial" w:eastAsia="Times New Roman" w:hAnsi="Arial" w:cs="Arial"/>
      <w:sz w:val="24"/>
      <w:szCs w:val="20"/>
      <w:lang w:val="en-US"/>
    </w:rPr>
  </w:style>
  <w:style w:type="paragraph" w:customStyle="1" w:styleId="Questiontitre">
    <w:name w:val="Question titre"/>
    <w:rsid w:val="00937DD7"/>
    <w:pPr>
      <w:spacing w:after="0" w:line="240" w:lineRule="auto"/>
    </w:pPr>
    <w:rPr>
      <w:rFonts w:ascii="Arial" w:eastAsia="Times New Roman" w:hAnsi="Arial" w:cs="Arial"/>
      <w:sz w:val="24"/>
      <w:szCs w:val="20"/>
      <w:lang w:val="en-US"/>
    </w:rPr>
  </w:style>
  <w:style w:type="paragraph" w:customStyle="1" w:styleId="PointDecision0">
    <w:name w:val="Point Decision"/>
    <w:basedOn w:val="Numbered"/>
    <w:rsid w:val="00937DD7"/>
    <w:rPr>
      <w:b/>
      <w:bCs/>
      <w:i/>
      <w:iCs/>
      <w:sz w:val="24"/>
    </w:rPr>
  </w:style>
  <w:style w:type="paragraph" w:styleId="TableofFigures">
    <w:name w:val="table of figures"/>
    <w:next w:val="Normal"/>
    <w:uiPriority w:val="99"/>
    <w:rsid w:val="00937DD7"/>
    <w:pPr>
      <w:tabs>
        <w:tab w:val="left" w:pos="960"/>
        <w:tab w:val="right" w:leader="dot" w:pos="8618"/>
        <w:tab w:val="right" w:pos="9185"/>
      </w:tabs>
      <w:spacing w:after="0" w:line="240" w:lineRule="auto"/>
      <w:ind w:left="958" w:right="567" w:hanging="958"/>
    </w:pPr>
    <w:rPr>
      <w:rFonts w:ascii="Times New Roman" w:eastAsia="Times New Roman" w:hAnsi="Times New Roman" w:cs="Times New Roman"/>
      <w:bCs/>
      <w:noProof/>
      <w:szCs w:val="24"/>
      <w:lang w:val="en-US"/>
    </w:rPr>
  </w:style>
  <w:style w:type="paragraph" w:styleId="Title">
    <w:name w:val="Title"/>
    <w:link w:val="TitleChar"/>
    <w:qFormat/>
    <w:rsid w:val="00937DD7"/>
    <w:pPr>
      <w:spacing w:before="300" w:after="360" w:line="240" w:lineRule="auto"/>
      <w:ind w:right="2835"/>
    </w:pPr>
    <w:rPr>
      <w:rFonts w:ascii="Arial" w:eastAsia="Times New Roman" w:hAnsi="Arial" w:cs="Arial"/>
      <w:b/>
      <w:bCs/>
      <w:kern w:val="28"/>
      <w:sz w:val="32"/>
      <w:szCs w:val="32"/>
      <w:lang w:val="en-US"/>
    </w:rPr>
  </w:style>
  <w:style w:type="character" w:customStyle="1" w:styleId="TitleChar">
    <w:name w:val="Title Char"/>
    <w:basedOn w:val="DefaultParagraphFont"/>
    <w:link w:val="Title"/>
    <w:rsid w:val="00937DD7"/>
    <w:rPr>
      <w:rFonts w:ascii="Arial" w:eastAsia="Times New Roman" w:hAnsi="Arial" w:cs="Arial"/>
      <w:b/>
      <w:bCs/>
      <w:kern w:val="28"/>
      <w:sz w:val="32"/>
      <w:szCs w:val="32"/>
      <w:lang w:val="en-US"/>
    </w:rPr>
  </w:style>
  <w:style w:type="paragraph" w:styleId="TOC6">
    <w:name w:val="toc 6"/>
    <w:basedOn w:val="Normal"/>
    <w:next w:val="Normal"/>
    <w:uiPriority w:val="39"/>
    <w:rsid w:val="00937DD7"/>
    <w:pPr>
      <w:spacing w:line="240" w:lineRule="auto"/>
      <w:ind w:left="1200"/>
    </w:pPr>
    <w:rPr>
      <w:rFonts w:ascii="Times New Roman" w:eastAsia="Times New Roman" w:hAnsi="Times New Roman" w:cs="Times New Roman"/>
      <w:sz w:val="24"/>
      <w:szCs w:val="21"/>
      <w:lang w:val="en-US"/>
    </w:rPr>
  </w:style>
  <w:style w:type="paragraph" w:styleId="TOC7">
    <w:name w:val="toc 7"/>
    <w:basedOn w:val="Normal"/>
    <w:next w:val="Normal"/>
    <w:uiPriority w:val="39"/>
    <w:rsid w:val="00937DD7"/>
    <w:pPr>
      <w:spacing w:line="240" w:lineRule="auto"/>
      <w:ind w:left="1440"/>
    </w:pPr>
    <w:rPr>
      <w:rFonts w:ascii="Times New Roman" w:eastAsia="Times New Roman" w:hAnsi="Times New Roman" w:cs="Times New Roman"/>
      <w:sz w:val="24"/>
      <w:szCs w:val="21"/>
      <w:lang w:val="en-US"/>
    </w:rPr>
  </w:style>
  <w:style w:type="paragraph" w:styleId="TOC8">
    <w:name w:val="toc 8"/>
    <w:basedOn w:val="Normal"/>
    <w:next w:val="Normal"/>
    <w:uiPriority w:val="39"/>
    <w:rsid w:val="00937DD7"/>
    <w:pPr>
      <w:spacing w:line="240" w:lineRule="auto"/>
      <w:ind w:left="1680"/>
    </w:pPr>
    <w:rPr>
      <w:rFonts w:ascii="Times New Roman" w:eastAsia="Times New Roman" w:hAnsi="Times New Roman" w:cs="Times New Roman"/>
      <w:sz w:val="24"/>
      <w:szCs w:val="21"/>
      <w:lang w:val="en-US"/>
    </w:rPr>
  </w:style>
  <w:style w:type="paragraph" w:styleId="TOC9">
    <w:name w:val="toc 9"/>
    <w:basedOn w:val="Normal"/>
    <w:next w:val="Normal"/>
    <w:uiPriority w:val="39"/>
    <w:rsid w:val="00937DD7"/>
    <w:pPr>
      <w:spacing w:line="240" w:lineRule="auto"/>
      <w:ind w:left="1920"/>
    </w:pPr>
    <w:rPr>
      <w:rFonts w:ascii="Times New Roman" w:eastAsia="Times New Roman" w:hAnsi="Times New Roman" w:cs="Times New Roman"/>
      <w:sz w:val="24"/>
      <w:szCs w:val="21"/>
      <w:lang w:val="en-US"/>
    </w:rPr>
  </w:style>
  <w:style w:type="paragraph" w:customStyle="1" w:styleId="ContentRef">
    <w:name w:val="Content Ref"/>
    <w:basedOn w:val="Normal"/>
    <w:rsid w:val="00937DD7"/>
    <w:pPr>
      <w:tabs>
        <w:tab w:val="right" w:leader="dot" w:pos="7370"/>
        <w:tab w:val="right" w:pos="9071"/>
      </w:tabs>
      <w:spacing w:before="360" w:line="240" w:lineRule="auto"/>
      <w:jc w:val="right"/>
    </w:pPr>
    <w:rPr>
      <w:rFonts w:ascii="Times New Roman" w:eastAsia="Times New Roman" w:hAnsi="Times New Roman" w:cs="Times New Roman"/>
      <w:i/>
      <w:iCs/>
      <w:szCs w:val="22"/>
      <w:lang w:val="en-US"/>
    </w:rPr>
  </w:style>
  <w:style w:type="paragraph" w:customStyle="1" w:styleId="Content">
    <w:name w:val="Content"/>
    <w:rsid w:val="00937DD7"/>
    <w:pPr>
      <w:spacing w:before="360" w:after="120" w:line="240" w:lineRule="auto"/>
      <w:ind w:right="567"/>
    </w:pPr>
    <w:rPr>
      <w:rFonts w:ascii="Arial" w:eastAsia="Times New Roman" w:hAnsi="Arial" w:cs="Times New Roman"/>
      <w:b/>
      <w:bCs/>
      <w:i/>
      <w:iCs/>
      <w:szCs w:val="24"/>
      <w:lang w:val="en-US"/>
    </w:rPr>
  </w:style>
  <w:style w:type="paragraph" w:styleId="BlockText">
    <w:name w:val="Block Text"/>
    <w:basedOn w:val="Normal"/>
    <w:rsid w:val="00937DD7"/>
    <w:pPr>
      <w:spacing w:line="240" w:lineRule="auto"/>
      <w:ind w:left="1440" w:right="1440"/>
    </w:pPr>
    <w:rPr>
      <w:rFonts w:ascii="Times New Roman" w:eastAsia="Times New Roman" w:hAnsi="Times New Roman" w:cs="Times New Roman"/>
      <w:sz w:val="24"/>
      <w:szCs w:val="24"/>
      <w:lang w:val="en-US"/>
    </w:rPr>
  </w:style>
  <w:style w:type="paragraph" w:customStyle="1" w:styleId="TableHeader">
    <w:name w:val="TableHeader"/>
    <w:basedOn w:val="TableBody"/>
    <w:rsid w:val="00937DD7"/>
    <w:rPr>
      <w:rFonts w:eastAsia="Times New Roman" w:cs="Times New Roman"/>
      <w:b/>
      <w:szCs w:val="22"/>
      <w:lang w:val="en-US"/>
    </w:rPr>
  </w:style>
  <w:style w:type="paragraph" w:customStyle="1" w:styleId="ReportTitle0">
    <w:name w:val="Report Title"/>
    <w:basedOn w:val="Title"/>
    <w:rsid w:val="00937DD7"/>
    <w:pPr>
      <w:spacing w:before="240" w:after="240"/>
    </w:pPr>
    <w:rPr>
      <w:bCs w:val="0"/>
      <w:sz w:val="28"/>
    </w:rPr>
  </w:style>
  <w:style w:type="paragraph" w:customStyle="1" w:styleId="QuestionTitle0">
    <w:name w:val="Question Title"/>
    <w:rsid w:val="00937DD7"/>
    <w:pPr>
      <w:spacing w:after="0" w:line="240" w:lineRule="auto"/>
    </w:pPr>
    <w:rPr>
      <w:rFonts w:ascii="Arial" w:eastAsia="Times New Roman" w:hAnsi="Arial" w:cs="Arial"/>
      <w:sz w:val="24"/>
      <w:szCs w:val="20"/>
      <w:lang w:val="en-US"/>
    </w:rPr>
  </w:style>
  <w:style w:type="paragraph" w:customStyle="1" w:styleId="IndentNonNumbered">
    <w:name w:val="IndentNonNumbered"/>
    <w:basedOn w:val="NonNumbered"/>
    <w:rsid w:val="00937DD7"/>
    <w:pPr>
      <w:ind w:firstLine="454"/>
    </w:pPr>
    <w:rPr>
      <w:rFonts w:eastAsia="Times New Roman"/>
      <w:lang w:val="en-US"/>
    </w:rPr>
  </w:style>
  <w:style w:type="paragraph" w:customStyle="1" w:styleId="AppendixIndent4">
    <w:name w:val="AppendixIndent4"/>
    <w:basedOn w:val="AppendixIndent3"/>
    <w:rsid w:val="00937DD7"/>
    <w:pPr>
      <w:spacing w:before="240" w:after="240"/>
      <w:ind w:left="2949"/>
    </w:pPr>
    <w:rPr>
      <w:rFonts w:eastAsia="Times New Roman"/>
      <w:color w:val="auto"/>
      <w:szCs w:val="20"/>
      <w:lang w:val="en-US"/>
    </w:rPr>
  </w:style>
  <w:style w:type="paragraph" w:customStyle="1" w:styleId="AppendixIndent5">
    <w:name w:val="AppendixIndent5"/>
    <w:basedOn w:val="AppendixIndent4"/>
    <w:rsid w:val="00937DD7"/>
    <w:pPr>
      <w:ind w:left="3402"/>
    </w:pPr>
  </w:style>
  <w:style w:type="paragraph" w:customStyle="1" w:styleId="AppendixIndentNonNumbered">
    <w:name w:val="AppendixIndentNonNumbered"/>
    <w:basedOn w:val="NonNumbered"/>
    <w:rsid w:val="00937DD7"/>
    <w:pPr>
      <w:ind w:firstLine="454"/>
    </w:pPr>
    <w:rPr>
      <w:rFonts w:eastAsia="Times New Roman"/>
      <w:sz w:val="20"/>
      <w:szCs w:val="22"/>
      <w:lang w:val="en-US"/>
    </w:rPr>
  </w:style>
  <w:style w:type="paragraph" w:customStyle="1" w:styleId="AppendixQuotationNumbered">
    <w:name w:val="AppendixQuotationNumbered"/>
    <w:basedOn w:val="AppendixQuotation"/>
    <w:rsid w:val="00937DD7"/>
    <w:pPr>
      <w:spacing w:before="240" w:after="240"/>
      <w:ind w:left="2042" w:hanging="454"/>
    </w:pPr>
    <w:rPr>
      <w:rFonts w:eastAsia="Times New Roman" w:cs="Arial"/>
      <w:bCs/>
      <w:color w:val="auto"/>
      <w:sz w:val="18"/>
      <w:szCs w:val="22"/>
      <w:lang w:val="en-US"/>
    </w:rPr>
  </w:style>
  <w:style w:type="paragraph" w:customStyle="1" w:styleId="AppendixQuotationTitle2">
    <w:name w:val="AppendixQuotationTitle2"/>
    <w:basedOn w:val="QuotationTitle2"/>
    <w:rsid w:val="00937DD7"/>
    <w:rPr>
      <w:szCs w:val="20"/>
    </w:rPr>
  </w:style>
  <w:style w:type="paragraph" w:customStyle="1" w:styleId="QuotationTitle2">
    <w:name w:val="QuotationTitle2"/>
    <w:basedOn w:val="QuotationTitle"/>
    <w:rsid w:val="00937DD7"/>
    <w:pPr>
      <w:jc w:val="center"/>
    </w:pPr>
    <w:rPr>
      <w:rFonts w:eastAsia="Times New Roman" w:cs="Arial"/>
      <w:color w:val="auto"/>
      <w:lang w:val="en-US"/>
    </w:rPr>
  </w:style>
  <w:style w:type="paragraph" w:customStyle="1" w:styleId="AppendixNonNumbered">
    <w:name w:val="AppendixNonNumbered"/>
    <w:basedOn w:val="NonNumbered"/>
    <w:rsid w:val="00937DD7"/>
    <w:rPr>
      <w:rFonts w:eastAsia="Times New Roman"/>
      <w:sz w:val="20"/>
      <w:lang w:val="en-US"/>
    </w:rPr>
  </w:style>
  <w:style w:type="paragraph" w:customStyle="1" w:styleId="AppendixNumbered">
    <w:name w:val="AppendixNumbered"/>
    <w:basedOn w:val="Numbered"/>
    <w:rsid w:val="00937DD7"/>
    <w:pPr>
      <w:numPr>
        <w:numId w:val="0"/>
      </w:numPr>
      <w:tabs>
        <w:tab w:val="left" w:pos="1134"/>
      </w:tabs>
      <w:ind w:left="1134" w:hanging="340"/>
    </w:pPr>
    <w:rPr>
      <w:sz w:val="20"/>
    </w:rPr>
  </w:style>
  <w:style w:type="paragraph" w:customStyle="1" w:styleId="AppendixHeading1">
    <w:name w:val="AppendixHeading1"/>
    <w:basedOn w:val="Heading1"/>
    <w:next w:val="AppendixIndentNonNumbered"/>
    <w:rsid w:val="00937DD7"/>
    <w:pPr>
      <w:keepLines w:val="0"/>
      <w:tabs>
        <w:tab w:val="left" w:pos="680"/>
      </w:tabs>
      <w:spacing w:after="240"/>
      <w:ind w:right="2835"/>
      <w:outlineLvl w:val="9"/>
    </w:pPr>
    <w:rPr>
      <w:rFonts w:ascii="Arial" w:eastAsia="Times New Roman" w:hAnsi="Arial" w:cs="Arial"/>
      <w:b w:val="0"/>
      <w:bCs w:val="0"/>
      <w:color w:val="auto"/>
      <w:kern w:val="32"/>
      <w:sz w:val="28"/>
      <w:lang w:val="en-US"/>
    </w:rPr>
  </w:style>
  <w:style w:type="paragraph" w:customStyle="1" w:styleId="AppendixHeading2">
    <w:name w:val="AppendixHeading2"/>
    <w:basedOn w:val="AppendixHeading1"/>
    <w:next w:val="AppendixIndentNonNumbered"/>
    <w:rsid w:val="00937DD7"/>
    <w:pPr>
      <w:spacing w:before="360"/>
    </w:pPr>
    <w:rPr>
      <w:sz w:val="24"/>
    </w:rPr>
  </w:style>
  <w:style w:type="paragraph" w:customStyle="1" w:styleId="AppendixHeading3">
    <w:name w:val="AppendixHeading3"/>
    <w:basedOn w:val="AppendixHeading2"/>
    <w:next w:val="AppendixIndentNonNumbered"/>
    <w:rsid w:val="00937DD7"/>
    <w:pPr>
      <w:spacing w:before="240"/>
    </w:pPr>
    <w:rPr>
      <w:i/>
    </w:rPr>
  </w:style>
  <w:style w:type="paragraph" w:customStyle="1" w:styleId="AppendixHeading4">
    <w:name w:val="AppendixHeading4"/>
    <w:basedOn w:val="AppendixHeading3"/>
    <w:next w:val="AppendixIndentNonNumbered"/>
    <w:rsid w:val="00937DD7"/>
    <w:rPr>
      <w:b/>
      <w:i w:val="0"/>
      <w:sz w:val="22"/>
    </w:rPr>
  </w:style>
  <w:style w:type="paragraph" w:customStyle="1" w:styleId="QuotationNumbered">
    <w:name w:val="QuotationNumbered"/>
    <w:basedOn w:val="Quotation"/>
    <w:rsid w:val="00937DD7"/>
    <w:pPr>
      <w:spacing w:before="240" w:after="240"/>
      <w:ind w:left="2042" w:right="454" w:hanging="454"/>
    </w:pPr>
    <w:rPr>
      <w:rFonts w:ascii="Arial" w:eastAsia="Times New Roman" w:hAnsi="Arial" w:cs="Arial"/>
      <w:color w:val="auto"/>
      <w:lang w:val="en-US"/>
    </w:rPr>
  </w:style>
  <w:style w:type="paragraph" w:customStyle="1" w:styleId="BoxIndent5">
    <w:name w:val="BoxIndent5"/>
    <w:basedOn w:val="BoxIndent4"/>
    <w:rsid w:val="00937DD7"/>
    <w:pPr>
      <w:ind w:left="2268"/>
    </w:pPr>
    <w:rPr>
      <w:rFonts w:eastAsia="Times New Roman" w:cs="Times New Roman"/>
      <w:color w:val="auto"/>
      <w:lang w:val="en-US"/>
    </w:rPr>
  </w:style>
  <w:style w:type="paragraph" w:customStyle="1" w:styleId="BoxIndentNonNumbered">
    <w:name w:val="BoxIndentNonNumbered"/>
    <w:basedOn w:val="IndentNonNumbered"/>
    <w:rsid w:val="00937DD7"/>
    <w:pPr>
      <w:spacing w:before="120" w:after="120"/>
      <w:ind w:left="170" w:right="170" w:firstLine="397"/>
    </w:pPr>
    <w:rPr>
      <w:rFonts w:ascii="Arial Narrow" w:hAnsi="Arial Narrow"/>
      <w:sz w:val="19"/>
    </w:rPr>
  </w:style>
  <w:style w:type="paragraph" w:customStyle="1" w:styleId="BoxNonNumbered">
    <w:name w:val="BoxNonNumbered"/>
    <w:basedOn w:val="NonNumbered"/>
    <w:rsid w:val="00937DD7"/>
    <w:pPr>
      <w:spacing w:before="120" w:after="120"/>
      <w:ind w:left="567" w:right="170"/>
    </w:pPr>
    <w:rPr>
      <w:rFonts w:ascii="Arial Narrow" w:eastAsia="Times New Roman" w:hAnsi="Arial Narrow"/>
      <w:sz w:val="19"/>
      <w:lang w:val="en-US"/>
    </w:rPr>
  </w:style>
  <w:style w:type="paragraph" w:customStyle="1" w:styleId="BoxNote">
    <w:name w:val="BoxNote"/>
    <w:basedOn w:val="TableNoteSource"/>
    <w:rsid w:val="00937DD7"/>
    <w:pPr>
      <w:spacing w:before="240" w:after="120"/>
      <w:ind w:left="170" w:right="170"/>
    </w:pPr>
    <w:rPr>
      <w:rFonts w:eastAsia="Times New Roman" w:cs="Times New Roman"/>
      <w:szCs w:val="22"/>
      <w:lang w:val="en-US"/>
    </w:rPr>
  </w:style>
  <w:style w:type="paragraph" w:customStyle="1" w:styleId="BoxNumbered">
    <w:name w:val="BoxNumbered"/>
    <w:basedOn w:val="Numbered"/>
    <w:rsid w:val="00937DD7"/>
    <w:pPr>
      <w:numPr>
        <w:numId w:val="0"/>
      </w:numPr>
      <w:spacing w:before="120" w:after="120"/>
      <w:ind w:left="567" w:right="170" w:hanging="397"/>
    </w:pPr>
    <w:rPr>
      <w:rFonts w:ascii="Arial Narrow" w:hAnsi="Arial Narrow"/>
      <w:sz w:val="19"/>
    </w:rPr>
  </w:style>
  <w:style w:type="paragraph" w:customStyle="1" w:styleId="HeadingIndent1">
    <w:name w:val="HeadingIndent1"/>
    <w:basedOn w:val="Heading1"/>
    <w:next w:val="Numbered"/>
    <w:rsid w:val="00937DD7"/>
    <w:pPr>
      <w:keepLines w:val="0"/>
      <w:tabs>
        <w:tab w:val="left" w:pos="680"/>
      </w:tabs>
      <w:spacing w:after="240"/>
      <w:ind w:left="680" w:right="2835" w:hanging="680"/>
    </w:pPr>
    <w:rPr>
      <w:rFonts w:ascii="Arial" w:eastAsia="Times New Roman" w:hAnsi="Arial" w:cs="Arial"/>
      <w:b w:val="0"/>
      <w:bCs w:val="0"/>
      <w:color w:val="auto"/>
      <w:kern w:val="32"/>
      <w:sz w:val="28"/>
      <w:lang w:val="en-US"/>
    </w:rPr>
  </w:style>
  <w:style w:type="paragraph" w:customStyle="1" w:styleId="HeadingIndent2">
    <w:name w:val="HeadingIndent2"/>
    <w:basedOn w:val="HeadingIndent1"/>
    <w:next w:val="Numbered"/>
    <w:rsid w:val="00937DD7"/>
    <w:pPr>
      <w:outlineLvl w:val="1"/>
    </w:pPr>
    <w:rPr>
      <w:sz w:val="24"/>
    </w:rPr>
  </w:style>
  <w:style w:type="paragraph" w:customStyle="1" w:styleId="HeadingIndent3">
    <w:name w:val="HeadingIndent3"/>
    <w:basedOn w:val="HeadingIndent2"/>
    <w:next w:val="Numbered"/>
    <w:rsid w:val="00937DD7"/>
    <w:pPr>
      <w:spacing w:before="360"/>
      <w:outlineLvl w:val="2"/>
    </w:pPr>
    <w:rPr>
      <w:i/>
    </w:rPr>
  </w:style>
  <w:style w:type="paragraph" w:customStyle="1" w:styleId="HeadingIndent4">
    <w:name w:val="HeadingIndent4"/>
    <w:basedOn w:val="HeadingIndent3"/>
    <w:next w:val="Numbered"/>
    <w:rsid w:val="00937DD7"/>
    <w:pPr>
      <w:spacing w:before="240"/>
      <w:outlineLvl w:val="3"/>
    </w:pPr>
    <w:rPr>
      <w:b/>
      <w:i w:val="0"/>
      <w:sz w:val="22"/>
    </w:rPr>
  </w:style>
  <w:style w:type="paragraph" w:customStyle="1" w:styleId="HeadingIndent5">
    <w:name w:val="HeadingIndent5"/>
    <w:basedOn w:val="HeadingIndent4"/>
    <w:next w:val="Numbered"/>
    <w:rsid w:val="00663C88"/>
    <w:pPr>
      <w:spacing w:before="120" w:after="60"/>
      <w:outlineLvl w:val="4"/>
    </w:pPr>
    <w:rPr>
      <w:rFonts w:ascii="Overpass" w:hAnsi="Overpass"/>
      <w:i/>
    </w:rPr>
  </w:style>
  <w:style w:type="paragraph" w:customStyle="1" w:styleId="AppendixHeadingIndent1">
    <w:name w:val="AppendixHeadingIndent1"/>
    <w:next w:val="AppendixIndentNonNumbered"/>
    <w:rsid w:val="00937DD7"/>
    <w:pPr>
      <w:keepNext/>
      <w:spacing w:before="480" w:after="240" w:line="240" w:lineRule="auto"/>
      <w:ind w:left="680" w:right="2835" w:hanging="680"/>
    </w:pPr>
    <w:rPr>
      <w:rFonts w:ascii="Arial" w:eastAsia="Times New Roman" w:hAnsi="Arial" w:cs="Times New Roman"/>
      <w:b/>
      <w:sz w:val="28"/>
      <w:szCs w:val="20"/>
      <w:lang w:val="en-US"/>
    </w:rPr>
  </w:style>
  <w:style w:type="paragraph" w:customStyle="1" w:styleId="AppendixHeadingIndent2">
    <w:name w:val="AppendixHeadingIndent2"/>
    <w:basedOn w:val="AppendixHeadingIndent1"/>
    <w:next w:val="AppendixIndentNonNumbered"/>
    <w:rsid w:val="00937DD7"/>
    <w:pPr>
      <w:spacing w:before="360"/>
    </w:pPr>
    <w:rPr>
      <w:sz w:val="24"/>
    </w:rPr>
  </w:style>
  <w:style w:type="paragraph" w:customStyle="1" w:styleId="AppendixHeadingIndent3">
    <w:name w:val="AppendixHeadingIndent3"/>
    <w:basedOn w:val="AppendixHeadingIndent2"/>
    <w:next w:val="AppendixIndentNonNumbered"/>
    <w:rsid w:val="00937DD7"/>
    <w:pPr>
      <w:spacing w:before="240"/>
    </w:pPr>
    <w:rPr>
      <w:i/>
    </w:rPr>
  </w:style>
  <w:style w:type="paragraph" w:customStyle="1" w:styleId="AppendixHeadingIndent4">
    <w:name w:val="AppendixHeadingIndent4"/>
    <w:basedOn w:val="AppendixHeadingIndent3"/>
    <w:next w:val="AppendixIndentNonNumbered"/>
    <w:rsid w:val="00937DD7"/>
    <w:rPr>
      <w:b w:val="0"/>
      <w:i w:val="0"/>
      <w:sz w:val="22"/>
    </w:rPr>
  </w:style>
  <w:style w:type="paragraph" w:customStyle="1" w:styleId="TableHeaderNumber">
    <w:name w:val="TableHeaderNumber"/>
    <w:basedOn w:val="TableHeader"/>
    <w:rsid w:val="00937DD7"/>
    <w:pPr>
      <w:jc w:val="right"/>
    </w:pPr>
  </w:style>
  <w:style w:type="paragraph" w:customStyle="1" w:styleId="TableBodyIndent1">
    <w:name w:val="TableBodyIndent1"/>
    <w:basedOn w:val="TableBody"/>
    <w:rsid w:val="00937DD7"/>
    <w:pPr>
      <w:spacing w:before="60" w:after="60"/>
      <w:ind w:left="227" w:hanging="227"/>
    </w:pPr>
    <w:rPr>
      <w:rFonts w:eastAsia="Times New Roman" w:cs="Times New Roman"/>
      <w:szCs w:val="22"/>
      <w:lang w:val="en-US"/>
    </w:rPr>
  </w:style>
  <w:style w:type="paragraph" w:customStyle="1" w:styleId="TableBodyIndent2">
    <w:name w:val="TableBodyIndent2"/>
    <w:basedOn w:val="TableBodyIndent1"/>
    <w:rsid w:val="00937DD7"/>
    <w:pPr>
      <w:ind w:left="454"/>
    </w:pPr>
  </w:style>
  <w:style w:type="paragraph" w:styleId="BodyText">
    <w:name w:val="Body Text"/>
    <w:basedOn w:val="Normal"/>
    <w:link w:val="BodyTextChar"/>
    <w:rsid w:val="00937DD7"/>
    <w:pPr>
      <w:spacing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rsid w:val="00937DD7"/>
    <w:rPr>
      <w:rFonts w:ascii="Times New Roman" w:eastAsia="Times New Roman" w:hAnsi="Times New Roman" w:cs="Times New Roman"/>
      <w:sz w:val="24"/>
      <w:szCs w:val="24"/>
      <w:lang w:val="en-US"/>
    </w:rPr>
  </w:style>
  <w:style w:type="paragraph" w:styleId="BodyText2">
    <w:name w:val="Body Text 2"/>
    <w:basedOn w:val="Normal"/>
    <w:link w:val="BodyText2Char"/>
    <w:rsid w:val="00937DD7"/>
    <w:pPr>
      <w:spacing w:line="480" w:lineRule="auto"/>
    </w:pPr>
    <w:rPr>
      <w:rFonts w:ascii="Times New Roman" w:eastAsia="Times New Roman" w:hAnsi="Times New Roman" w:cs="Times New Roman"/>
      <w:sz w:val="24"/>
      <w:szCs w:val="24"/>
      <w:lang w:val="en-US"/>
    </w:rPr>
  </w:style>
  <w:style w:type="character" w:customStyle="1" w:styleId="BodyText2Char">
    <w:name w:val="Body Text 2 Char"/>
    <w:basedOn w:val="DefaultParagraphFont"/>
    <w:link w:val="BodyText2"/>
    <w:rsid w:val="00937DD7"/>
    <w:rPr>
      <w:rFonts w:ascii="Times New Roman" w:eastAsia="Times New Roman" w:hAnsi="Times New Roman" w:cs="Times New Roman"/>
      <w:sz w:val="24"/>
      <w:szCs w:val="24"/>
      <w:lang w:val="en-US"/>
    </w:rPr>
  </w:style>
  <w:style w:type="paragraph" w:styleId="BodyText3">
    <w:name w:val="Body Text 3"/>
    <w:basedOn w:val="Normal"/>
    <w:link w:val="BodyText3Char"/>
    <w:rsid w:val="00937DD7"/>
    <w:pPr>
      <w:spacing w:line="240" w:lineRule="auto"/>
    </w:pPr>
    <w:rPr>
      <w:rFonts w:ascii="Times New Roman" w:eastAsia="Times New Roman" w:hAnsi="Times New Roman" w:cs="Times New Roman"/>
      <w:szCs w:val="16"/>
      <w:lang w:val="en-US"/>
    </w:rPr>
  </w:style>
  <w:style w:type="character" w:customStyle="1" w:styleId="BodyText3Char">
    <w:name w:val="Body Text 3 Char"/>
    <w:basedOn w:val="DefaultParagraphFont"/>
    <w:link w:val="BodyText3"/>
    <w:rsid w:val="00937DD7"/>
    <w:rPr>
      <w:rFonts w:ascii="Times New Roman" w:eastAsia="Times New Roman" w:hAnsi="Times New Roman" w:cs="Times New Roman"/>
      <w:sz w:val="16"/>
      <w:szCs w:val="16"/>
      <w:lang w:val="en-US"/>
    </w:rPr>
  </w:style>
  <w:style w:type="paragraph" w:styleId="BodyTextFirstIndent">
    <w:name w:val="Body Text First Indent"/>
    <w:basedOn w:val="BodyText"/>
    <w:link w:val="BodyTextFirstIndentChar"/>
    <w:rsid w:val="00937DD7"/>
    <w:pPr>
      <w:ind w:firstLine="210"/>
    </w:pPr>
  </w:style>
  <w:style w:type="character" w:customStyle="1" w:styleId="BodyTextFirstIndentChar">
    <w:name w:val="Body Text First Indent Char"/>
    <w:basedOn w:val="BodyTextChar"/>
    <w:link w:val="BodyTextFirstIndent"/>
    <w:rsid w:val="00937DD7"/>
    <w:rPr>
      <w:rFonts w:ascii="Times New Roman" w:eastAsia="Times New Roman" w:hAnsi="Times New Roman" w:cs="Times New Roman"/>
      <w:sz w:val="24"/>
      <w:szCs w:val="24"/>
      <w:lang w:val="en-US"/>
    </w:rPr>
  </w:style>
  <w:style w:type="paragraph" w:styleId="BodyTextIndent">
    <w:name w:val="Body Text Indent"/>
    <w:basedOn w:val="Normal"/>
    <w:link w:val="BodyTextIndentChar"/>
    <w:uiPriority w:val="99"/>
    <w:rsid w:val="00937DD7"/>
    <w:pPr>
      <w:spacing w:line="240" w:lineRule="auto"/>
      <w:ind w:left="283"/>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uiPriority w:val="99"/>
    <w:rsid w:val="00937DD7"/>
    <w:rPr>
      <w:rFonts w:ascii="Times New Roman" w:eastAsia="Times New Roman" w:hAnsi="Times New Roman" w:cs="Times New Roman"/>
      <w:sz w:val="24"/>
      <w:szCs w:val="24"/>
      <w:lang w:val="en-US"/>
    </w:rPr>
  </w:style>
  <w:style w:type="paragraph" w:styleId="BodyTextFirstIndent2">
    <w:name w:val="Body Text First Indent 2"/>
    <w:basedOn w:val="BodyTextIndent"/>
    <w:link w:val="BodyTextFirstIndent2Char"/>
    <w:rsid w:val="00937DD7"/>
    <w:pPr>
      <w:ind w:firstLine="210"/>
    </w:pPr>
  </w:style>
  <w:style w:type="character" w:customStyle="1" w:styleId="BodyTextFirstIndent2Char">
    <w:name w:val="Body Text First Indent 2 Char"/>
    <w:basedOn w:val="BodyTextIndentChar"/>
    <w:link w:val="BodyTextFirstIndent2"/>
    <w:rsid w:val="00937DD7"/>
    <w:rPr>
      <w:rFonts w:ascii="Times New Roman" w:eastAsia="Times New Roman" w:hAnsi="Times New Roman" w:cs="Times New Roman"/>
      <w:sz w:val="24"/>
      <w:szCs w:val="24"/>
      <w:lang w:val="en-US"/>
    </w:rPr>
  </w:style>
  <w:style w:type="paragraph" w:styleId="BodyTextIndent2">
    <w:name w:val="Body Text Indent 2"/>
    <w:basedOn w:val="Normal"/>
    <w:link w:val="BodyTextIndent2Char"/>
    <w:rsid w:val="00937DD7"/>
    <w:pPr>
      <w:spacing w:line="480" w:lineRule="auto"/>
      <w:ind w:left="283"/>
    </w:pPr>
    <w:rPr>
      <w:rFonts w:ascii="Times New Roman" w:eastAsia="Times New Roman" w:hAnsi="Times New Roman" w:cs="Times New Roman"/>
      <w:sz w:val="24"/>
      <w:szCs w:val="24"/>
      <w:lang w:val="en-US"/>
    </w:rPr>
  </w:style>
  <w:style w:type="character" w:customStyle="1" w:styleId="BodyTextIndent2Char">
    <w:name w:val="Body Text Indent 2 Char"/>
    <w:basedOn w:val="DefaultParagraphFont"/>
    <w:link w:val="BodyTextIndent2"/>
    <w:rsid w:val="00937DD7"/>
    <w:rPr>
      <w:rFonts w:ascii="Times New Roman" w:eastAsia="Times New Roman" w:hAnsi="Times New Roman" w:cs="Times New Roman"/>
      <w:sz w:val="24"/>
      <w:szCs w:val="24"/>
      <w:lang w:val="en-US"/>
    </w:rPr>
  </w:style>
  <w:style w:type="paragraph" w:styleId="BodyTextIndent3">
    <w:name w:val="Body Text Indent 3"/>
    <w:basedOn w:val="Normal"/>
    <w:link w:val="BodyTextIndent3Char"/>
    <w:rsid w:val="00937DD7"/>
    <w:pPr>
      <w:spacing w:line="240" w:lineRule="auto"/>
      <w:ind w:left="283"/>
    </w:pPr>
    <w:rPr>
      <w:rFonts w:ascii="Times New Roman" w:eastAsia="Times New Roman" w:hAnsi="Times New Roman" w:cs="Times New Roman"/>
      <w:szCs w:val="16"/>
      <w:lang w:val="en-US"/>
    </w:rPr>
  </w:style>
  <w:style w:type="character" w:customStyle="1" w:styleId="BodyTextIndent3Char">
    <w:name w:val="Body Text Indent 3 Char"/>
    <w:basedOn w:val="DefaultParagraphFont"/>
    <w:link w:val="BodyTextIndent3"/>
    <w:rsid w:val="00937DD7"/>
    <w:rPr>
      <w:rFonts w:ascii="Times New Roman" w:eastAsia="Times New Roman" w:hAnsi="Times New Roman" w:cs="Times New Roman"/>
      <w:sz w:val="16"/>
      <w:szCs w:val="16"/>
      <w:lang w:val="en-US"/>
    </w:rPr>
  </w:style>
  <w:style w:type="paragraph" w:styleId="Closing">
    <w:name w:val="Closing"/>
    <w:basedOn w:val="Normal"/>
    <w:link w:val="ClosingChar"/>
    <w:rsid w:val="00937DD7"/>
    <w:pPr>
      <w:spacing w:line="240" w:lineRule="auto"/>
      <w:ind w:left="4252"/>
    </w:pPr>
    <w:rPr>
      <w:rFonts w:ascii="Times New Roman" w:eastAsia="Times New Roman" w:hAnsi="Times New Roman" w:cs="Times New Roman"/>
      <w:sz w:val="24"/>
      <w:szCs w:val="24"/>
      <w:lang w:val="en-US"/>
    </w:rPr>
  </w:style>
  <w:style w:type="character" w:customStyle="1" w:styleId="ClosingChar">
    <w:name w:val="Closing Char"/>
    <w:basedOn w:val="DefaultParagraphFont"/>
    <w:link w:val="Closing"/>
    <w:rsid w:val="00937DD7"/>
    <w:rPr>
      <w:rFonts w:ascii="Times New Roman" w:eastAsia="Times New Roman" w:hAnsi="Times New Roman" w:cs="Times New Roman"/>
      <w:sz w:val="24"/>
      <w:szCs w:val="24"/>
      <w:lang w:val="en-US"/>
    </w:rPr>
  </w:style>
  <w:style w:type="paragraph" w:styleId="Date">
    <w:name w:val="Date"/>
    <w:basedOn w:val="Normal"/>
    <w:next w:val="Normal"/>
    <w:link w:val="DateChar"/>
    <w:rsid w:val="00937DD7"/>
    <w:pPr>
      <w:spacing w:line="240" w:lineRule="auto"/>
    </w:pPr>
    <w:rPr>
      <w:rFonts w:ascii="Times New Roman" w:eastAsia="Times New Roman" w:hAnsi="Times New Roman" w:cs="Times New Roman"/>
      <w:sz w:val="24"/>
      <w:szCs w:val="24"/>
      <w:lang w:val="en-US"/>
    </w:rPr>
  </w:style>
  <w:style w:type="character" w:customStyle="1" w:styleId="DateChar">
    <w:name w:val="Date Char"/>
    <w:basedOn w:val="DefaultParagraphFont"/>
    <w:link w:val="Date"/>
    <w:rsid w:val="00937DD7"/>
    <w:rPr>
      <w:rFonts w:ascii="Times New Roman" w:eastAsia="Times New Roman" w:hAnsi="Times New Roman" w:cs="Times New Roman"/>
      <w:sz w:val="24"/>
      <w:szCs w:val="24"/>
      <w:lang w:val="en-US"/>
    </w:rPr>
  </w:style>
  <w:style w:type="paragraph" w:styleId="DocumentMap">
    <w:name w:val="Document Map"/>
    <w:basedOn w:val="Normal"/>
    <w:link w:val="DocumentMapChar"/>
    <w:semiHidden/>
    <w:rsid w:val="00937DD7"/>
    <w:pPr>
      <w:shd w:val="clear" w:color="auto" w:fill="000080"/>
      <w:spacing w:line="240" w:lineRule="auto"/>
    </w:pPr>
    <w:rPr>
      <w:rFonts w:ascii="Tahoma" w:eastAsia="Times New Roman" w:hAnsi="Tahoma" w:cs="Tahoma"/>
      <w:sz w:val="24"/>
      <w:szCs w:val="24"/>
      <w:lang w:val="en-US"/>
    </w:rPr>
  </w:style>
  <w:style w:type="character" w:customStyle="1" w:styleId="DocumentMapChar">
    <w:name w:val="Document Map Char"/>
    <w:basedOn w:val="DefaultParagraphFont"/>
    <w:link w:val="DocumentMap"/>
    <w:semiHidden/>
    <w:rsid w:val="00937DD7"/>
    <w:rPr>
      <w:rFonts w:ascii="Tahoma" w:eastAsia="Times New Roman" w:hAnsi="Tahoma" w:cs="Tahoma"/>
      <w:sz w:val="24"/>
      <w:szCs w:val="24"/>
      <w:shd w:val="clear" w:color="auto" w:fill="000080"/>
      <w:lang w:val="en-US"/>
    </w:rPr>
  </w:style>
  <w:style w:type="paragraph" w:customStyle="1" w:styleId="SignatureE-mail">
    <w:name w:val="Signature E-mail"/>
    <w:basedOn w:val="Normal"/>
    <w:rsid w:val="00937DD7"/>
    <w:pPr>
      <w:spacing w:line="240" w:lineRule="auto"/>
    </w:pPr>
    <w:rPr>
      <w:rFonts w:ascii="Times New Roman" w:eastAsia="Times New Roman" w:hAnsi="Times New Roman" w:cs="Times New Roman"/>
      <w:sz w:val="24"/>
      <w:szCs w:val="24"/>
      <w:lang w:val="en-US"/>
    </w:rPr>
  </w:style>
  <w:style w:type="character" w:styleId="Emphasis">
    <w:name w:val="Emphasis"/>
    <w:basedOn w:val="DefaultParagraphFont"/>
    <w:qFormat/>
    <w:rsid w:val="00937DD7"/>
    <w:rPr>
      <w:i/>
      <w:iCs/>
      <w:lang w:val="en-US"/>
    </w:rPr>
  </w:style>
  <w:style w:type="character" w:styleId="EndnoteReference">
    <w:name w:val="endnote reference"/>
    <w:basedOn w:val="DefaultParagraphFont"/>
    <w:semiHidden/>
    <w:rsid w:val="00937DD7"/>
    <w:rPr>
      <w:vertAlign w:val="superscript"/>
      <w:lang w:val="en-US"/>
    </w:rPr>
  </w:style>
  <w:style w:type="paragraph" w:styleId="EndnoteText">
    <w:name w:val="endnote text"/>
    <w:basedOn w:val="Normal"/>
    <w:link w:val="EndnoteTextChar"/>
    <w:semiHidden/>
    <w:rsid w:val="00937DD7"/>
    <w:pPr>
      <w:spacing w:line="240" w:lineRule="auto"/>
    </w:pPr>
    <w:rPr>
      <w:rFonts w:ascii="Times New Roman" w:eastAsia="Times New Roman" w:hAnsi="Times New Roman" w:cs="Times New Roman"/>
      <w:szCs w:val="20"/>
      <w:lang w:val="en-US"/>
    </w:rPr>
  </w:style>
  <w:style w:type="character" w:customStyle="1" w:styleId="EndnoteTextChar">
    <w:name w:val="Endnote Text Char"/>
    <w:basedOn w:val="DefaultParagraphFont"/>
    <w:link w:val="EndnoteText"/>
    <w:semiHidden/>
    <w:rsid w:val="00937DD7"/>
    <w:rPr>
      <w:rFonts w:ascii="Times New Roman" w:eastAsia="Times New Roman" w:hAnsi="Times New Roman" w:cs="Times New Roman"/>
      <w:sz w:val="20"/>
      <w:szCs w:val="20"/>
      <w:lang w:val="en-US"/>
    </w:rPr>
  </w:style>
  <w:style w:type="paragraph" w:styleId="EnvelopeAddress">
    <w:name w:val="envelope address"/>
    <w:basedOn w:val="Normal"/>
    <w:rsid w:val="00937DD7"/>
    <w:pPr>
      <w:framePr w:w="7920" w:h="1980" w:hRule="exact" w:hSpace="180" w:wrap="auto" w:hAnchor="page" w:xAlign="center" w:yAlign="bottom"/>
      <w:spacing w:line="240" w:lineRule="auto"/>
      <w:ind w:left="2880"/>
    </w:pPr>
    <w:rPr>
      <w:rFonts w:ascii="Arial" w:eastAsia="Times New Roman" w:hAnsi="Arial" w:cs="Arial"/>
      <w:sz w:val="24"/>
      <w:szCs w:val="24"/>
      <w:lang w:val="en-US"/>
    </w:rPr>
  </w:style>
  <w:style w:type="paragraph" w:styleId="EnvelopeReturn">
    <w:name w:val="envelope return"/>
    <w:basedOn w:val="Normal"/>
    <w:rsid w:val="00937DD7"/>
    <w:pPr>
      <w:spacing w:line="240" w:lineRule="auto"/>
    </w:pPr>
    <w:rPr>
      <w:rFonts w:ascii="Arial" w:eastAsia="Times New Roman" w:hAnsi="Arial" w:cs="Arial"/>
      <w:szCs w:val="20"/>
      <w:lang w:val="en-US"/>
    </w:rPr>
  </w:style>
  <w:style w:type="character" w:styleId="FollowedHyperlink">
    <w:name w:val="FollowedHyperlink"/>
    <w:basedOn w:val="DefaultParagraphFont"/>
    <w:rsid w:val="00937DD7"/>
    <w:rPr>
      <w:color w:val="800080"/>
      <w:u w:val="single"/>
      <w:lang w:val="en-US"/>
    </w:rPr>
  </w:style>
  <w:style w:type="character" w:styleId="HTMLAcronym">
    <w:name w:val="HTML Acronym"/>
    <w:basedOn w:val="DefaultParagraphFont"/>
    <w:rsid w:val="00937DD7"/>
    <w:rPr>
      <w:lang w:val="en-US"/>
    </w:rPr>
  </w:style>
  <w:style w:type="paragraph" w:styleId="HTMLAddress">
    <w:name w:val="HTML Address"/>
    <w:basedOn w:val="Normal"/>
    <w:link w:val="HTMLAddressChar"/>
    <w:rsid w:val="00937DD7"/>
    <w:pPr>
      <w:spacing w:line="240" w:lineRule="auto"/>
    </w:pPr>
    <w:rPr>
      <w:rFonts w:ascii="Times New Roman" w:eastAsia="Times New Roman" w:hAnsi="Times New Roman" w:cs="Times New Roman"/>
      <w:i/>
      <w:iCs/>
      <w:sz w:val="24"/>
      <w:szCs w:val="24"/>
      <w:lang w:val="en-US"/>
    </w:rPr>
  </w:style>
  <w:style w:type="character" w:customStyle="1" w:styleId="HTMLAddressChar">
    <w:name w:val="HTML Address Char"/>
    <w:basedOn w:val="DefaultParagraphFont"/>
    <w:link w:val="HTMLAddress"/>
    <w:rsid w:val="00937DD7"/>
    <w:rPr>
      <w:rFonts w:ascii="Times New Roman" w:eastAsia="Times New Roman" w:hAnsi="Times New Roman" w:cs="Times New Roman"/>
      <w:i/>
      <w:iCs/>
      <w:sz w:val="24"/>
      <w:szCs w:val="24"/>
      <w:lang w:val="en-US"/>
    </w:rPr>
  </w:style>
  <w:style w:type="character" w:styleId="HTMLCite">
    <w:name w:val="HTML Cite"/>
    <w:basedOn w:val="DefaultParagraphFont"/>
    <w:rsid w:val="00937DD7"/>
    <w:rPr>
      <w:i/>
      <w:iCs/>
      <w:lang w:val="en-US"/>
    </w:rPr>
  </w:style>
  <w:style w:type="character" w:styleId="HTMLCode">
    <w:name w:val="HTML Code"/>
    <w:basedOn w:val="DefaultParagraphFont"/>
    <w:rsid w:val="00937DD7"/>
    <w:rPr>
      <w:rFonts w:ascii="Courier New" w:hAnsi="Courier New"/>
      <w:sz w:val="20"/>
      <w:szCs w:val="20"/>
      <w:lang w:val="en-US"/>
    </w:rPr>
  </w:style>
  <w:style w:type="character" w:styleId="HTMLDefinition">
    <w:name w:val="HTML Definition"/>
    <w:basedOn w:val="DefaultParagraphFont"/>
    <w:rsid w:val="00937DD7"/>
    <w:rPr>
      <w:i/>
      <w:iCs/>
      <w:lang w:val="en-US"/>
    </w:rPr>
  </w:style>
  <w:style w:type="character" w:styleId="HTMLKeyboard">
    <w:name w:val="HTML Keyboard"/>
    <w:basedOn w:val="DefaultParagraphFont"/>
    <w:rsid w:val="00937DD7"/>
    <w:rPr>
      <w:rFonts w:ascii="Courier New" w:hAnsi="Courier New"/>
      <w:sz w:val="20"/>
      <w:szCs w:val="20"/>
      <w:lang w:val="en-US"/>
    </w:rPr>
  </w:style>
  <w:style w:type="paragraph" w:styleId="HTMLPreformatted">
    <w:name w:val="HTML Preformatted"/>
    <w:basedOn w:val="Normal"/>
    <w:link w:val="HTMLPreformattedChar"/>
    <w:rsid w:val="00937DD7"/>
    <w:pPr>
      <w:spacing w:line="240" w:lineRule="auto"/>
    </w:pPr>
    <w:rPr>
      <w:rFonts w:ascii="Courier New" w:eastAsia="Times New Roman" w:hAnsi="Courier New" w:cs="Courier New"/>
      <w:szCs w:val="20"/>
      <w:lang w:val="en-US"/>
    </w:rPr>
  </w:style>
  <w:style w:type="character" w:customStyle="1" w:styleId="HTMLPreformattedChar">
    <w:name w:val="HTML Preformatted Char"/>
    <w:basedOn w:val="DefaultParagraphFont"/>
    <w:link w:val="HTMLPreformatted"/>
    <w:rsid w:val="00937DD7"/>
    <w:rPr>
      <w:rFonts w:ascii="Courier New" w:eastAsia="Times New Roman" w:hAnsi="Courier New" w:cs="Courier New"/>
      <w:sz w:val="20"/>
      <w:szCs w:val="20"/>
      <w:lang w:val="en-US"/>
    </w:rPr>
  </w:style>
  <w:style w:type="character" w:styleId="HTMLSample">
    <w:name w:val="HTML Sample"/>
    <w:basedOn w:val="DefaultParagraphFont"/>
    <w:rsid w:val="00937DD7"/>
    <w:rPr>
      <w:rFonts w:ascii="Courier New" w:hAnsi="Courier New"/>
      <w:lang w:val="en-US"/>
    </w:rPr>
  </w:style>
  <w:style w:type="character" w:styleId="HTMLTypewriter">
    <w:name w:val="HTML Typewriter"/>
    <w:basedOn w:val="DefaultParagraphFont"/>
    <w:rsid w:val="00937DD7"/>
    <w:rPr>
      <w:rFonts w:ascii="Courier New" w:hAnsi="Courier New"/>
      <w:sz w:val="20"/>
      <w:szCs w:val="20"/>
      <w:lang w:val="en-US"/>
    </w:rPr>
  </w:style>
  <w:style w:type="character" w:styleId="HTMLVariable">
    <w:name w:val="HTML Variable"/>
    <w:basedOn w:val="DefaultParagraphFont"/>
    <w:rsid w:val="00937DD7"/>
    <w:rPr>
      <w:i/>
      <w:iCs/>
      <w:lang w:val="en-US"/>
    </w:rPr>
  </w:style>
  <w:style w:type="paragraph" w:styleId="Index1">
    <w:name w:val="index 1"/>
    <w:basedOn w:val="Normal"/>
    <w:next w:val="Normal"/>
    <w:semiHidden/>
    <w:rsid w:val="00937DD7"/>
    <w:pPr>
      <w:spacing w:line="240" w:lineRule="auto"/>
      <w:ind w:left="240" w:hanging="240"/>
    </w:pPr>
    <w:rPr>
      <w:rFonts w:ascii="Times New Roman" w:eastAsia="Times New Roman" w:hAnsi="Times New Roman" w:cs="Times New Roman"/>
      <w:sz w:val="24"/>
      <w:szCs w:val="24"/>
      <w:lang w:val="en-US"/>
    </w:rPr>
  </w:style>
  <w:style w:type="paragraph" w:styleId="Index2">
    <w:name w:val="index 2"/>
    <w:basedOn w:val="Normal"/>
    <w:next w:val="Normal"/>
    <w:semiHidden/>
    <w:rsid w:val="00937DD7"/>
    <w:pPr>
      <w:spacing w:line="240" w:lineRule="auto"/>
      <w:ind w:left="480" w:hanging="240"/>
    </w:pPr>
    <w:rPr>
      <w:rFonts w:ascii="Times New Roman" w:eastAsia="Times New Roman" w:hAnsi="Times New Roman" w:cs="Times New Roman"/>
      <w:sz w:val="24"/>
      <w:szCs w:val="24"/>
      <w:lang w:val="en-US"/>
    </w:rPr>
  </w:style>
  <w:style w:type="paragraph" w:styleId="Index3">
    <w:name w:val="index 3"/>
    <w:basedOn w:val="Normal"/>
    <w:next w:val="Normal"/>
    <w:semiHidden/>
    <w:rsid w:val="00937DD7"/>
    <w:pPr>
      <w:spacing w:line="240" w:lineRule="auto"/>
      <w:ind w:left="720" w:hanging="240"/>
    </w:pPr>
    <w:rPr>
      <w:rFonts w:ascii="Times New Roman" w:eastAsia="Times New Roman" w:hAnsi="Times New Roman" w:cs="Times New Roman"/>
      <w:sz w:val="24"/>
      <w:szCs w:val="24"/>
      <w:lang w:val="en-US"/>
    </w:rPr>
  </w:style>
  <w:style w:type="paragraph" w:styleId="Index4">
    <w:name w:val="index 4"/>
    <w:basedOn w:val="Normal"/>
    <w:next w:val="Normal"/>
    <w:semiHidden/>
    <w:rsid w:val="00937DD7"/>
    <w:pPr>
      <w:spacing w:line="240" w:lineRule="auto"/>
      <w:ind w:left="960" w:hanging="240"/>
    </w:pPr>
    <w:rPr>
      <w:rFonts w:ascii="Times New Roman" w:eastAsia="Times New Roman" w:hAnsi="Times New Roman" w:cs="Times New Roman"/>
      <w:sz w:val="24"/>
      <w:szCs w:val="24"/>
      <w:lang w:val="en-US"/>
    </w:rPr>
  </w:style>
  <w:style w:type="paragraph" w:styleId="Index5">
    <w:name w:val="index 5"/>
    <w:basedOn w:val="Normal"/>
    <w:next w:val="Normal"/>
    <w:semiHidden/>
    <w:rsid w:val="00937DD7"/>
    <w:pPr>
      <w:spacing w:line="240" w:lineRule="auto"/>
      <w:ind w:left="1200" w:hanging="240"/>
    </w:pPr>
    <w:rPr>
      <w:rFonts w:ascii="Times New Roman" w:eastAsia="Times New Roman" w:hAnsi="Times New Roman" w:cs="Times New Roman"/>
      <w:sz w:val="24"/>
      <w:szCs w:val="24"/>
      <w:lang w:val="en-US"/>
    </w:rPr>
  </w:style>
  <w:style w:type="paragraph" w:styleId="Index6">
    <w:name w:val="index 6"/>
    <w:basedOn w:val="Normal"/>
    <w:next w:val="Normal"/>
    <w:semiHidden/>
    <w:rsid w:val="00937DD7"/>
    <w:pPr>
      <w:spacing w:line="240" w:lineRule="auto"/>
      <w:ind w:left="1440" w:hanging="240"/>
    </w:pPr>
    <w:rPr>
      <w:rFonts w:ascii="Times New Roman" w:eastAsia="Times New Roman" w:hAnsi="Times New Roman" w:cs="Times New Roman"/>
      <w:sz w:val="24"/>
      <w:szCs w:val="24"/>
      <w:lang w:val="en-US"/>
    </w:rPr>
  </w:style>
  <w:style w:type="paragraph" w:styleId="Index7">
    <w:name w:val="index 7"/>
    <w:basedOn w:val="Normal"/>
    <w:next w:val="Normal"/>
    <w:semiHidden/>
    <w:rsid w:val="00937DD7"/>
    <w:pPr>
      <w:spacing w:line="240" w:lineRule="auto"/>
      <w:ind w:left="1680" w:hanging="240"/>
    </w:pPr>
    <w:rPr>
      <w:rFonts w:ascii="Times New Roman" w:eastAsia="Times New Roman" w:hAnsi="Times New Roman" w:cs="Times New Roman"/>
      <w:sz w:val="24"/>
      <w:szCs w:val="24"/>
      <w:lang w:val="en-US"/>
    </w:rPr>
  </w:style>
  <w:style w:type="paragraph" w:styleId="Index8">
    <w:name w:val="index 8"/>
    <w:basedOn w:val="Normal"/>
    <w:next w:val="Normal"/>
    <w:semiHidden/>
    <w:rsid w:val="00937DD7"/>
    <w:pPr>
      <w:spacing w:line="240" w:lineRule="auto"/>
      <w:ind w:left="1920" w:hanging="240"/>
    </w:pPr>
    <w:rPr>
      <w:rFonts w:ascii="Times New Roman" w:eastAsia="Times New Roman" w:hAnsi="Times New Roman" w:cs="Times New Roman"/>
      <w:sz w:val="24"/>
      <w:szCs w:val="24"/>
      <w:lang w:val="en-US"/>
    </w:rPr>
  </w:style>
  <w:style w:type="paragraph" w:styleId="Index9">
    <w:name w:val="index 9"/>
    <w:basedOn w:val="Normal"/>
    <w:next w:val="Normal"/>
    <w:semiHidden/>
    <w:rsid w:val="00937DD7"/>
    <w:pPr>
      <w:spacing w:line="240" w:lineRule="auto"/>
      <w:ind w:left="2160" w:hanging="240"/>
    </w:pPr>
    <w:rPr>
      <w:rFonts w:ascii="Times New Roman" w:eastAsia="Times New Roman" w:hAnsi="Times New Roman" w:cs="Times New Roman"/>
      <w:sz w:val="24"/>
      <w:szCs w:val="24"/>
      <w:lang w:val="en-US"/>
    </w:rPr>
  </w:style>
  <w:style w:type="paragraph" w:styleId="IndexHeading">
    <w:name w:val="index heading"/>
    <w:basedOn w:val="Normal"/>
    <w:next w:val="Index1"/>
    <w:semiHidden/>
    <w:rsid w:val="00937DD7"/>
    <w:pPr>
      <w:spacing w:line="240" w:lineRule="auto"/>
    </w:pPr>
    <w:rPr>
      <w:rFonts w:ascii="Arial" w:eastAsia="Times New Roman" w:hAnsi="Arial" w:cs="Arial"/>
      <w:b/>
      <w:bCs/>
      <w:sz w:val="24"/>
      <w:szCs w:val="24"/>
      <w:lang w:val="en-US"/>
    </w:rPr>
  </w:style>
  <w:style w:type="character" w:styleId="LineNumber">
    <w:name w:val="line number"/>
    <w:basedOn w:val="DefaultParagraphFont"/>
    <w:rsid w:val="00937DD7"/>
    <w:rPr>
      <w:lang w:val="en-US"/>
    </w:rPr>
  </w:style>
  <w:style w:type="paragraph" w:styleId="List">
    <w:name w:val="List"/>
    <w:basedOn w:val="Normal"/>
    <w:rsid w:val="00937DD7"/>
    <w:pPr>
      <w:spacing w:line="240" w:lineRule="auto"/>
      <w:ind w:left="283" w:hanging="283"/>
    </w:pPr>
    <w:rPr>
      <w:rFonts w:ascii="Times New Roman" w:eastAsia="Times New Roman" w:hAnsi="Times New Roman" w:cs="Times New Roman"/>
      <w:sz w:val="24"/>
      <w:szCs w:val="24"/>
      <w:lang w:val="en-US"/>
    </w:rPr>
  </w:style>
  <w:style w:type="paragraph" w:styleId="List2">
    <w:name w:val="List 2"/>
    <w:basedOn w:val="Normal"/>
    <w:rsid w:val="00937DD7"/>
    <w:pPr>
      <w:spacing w:line="240" w:lineRule="auto"/>
      <w:ind w:left="566" w:hanging="283"/>
    </w:pPr>
    <w:rPr>
      <w:rFonts w:ascii="Times New Roman" w:eastAsia="Times New Roman" w:hAnsi="Times New Roman" w:cs="Times New Roman"/>
      <w:sz w:val="24"/>
      <w:szCs w:val="24"/>
      <w:lang w:val="en-US"/>
    </w:rPr>
  </w:style>
  <w:style w:type="paragraph" w:styleId="List3">
    <w:name w:val="List 3"/>
    <w:basedOn w:val="Normal"/>
    <w:rsid w:val="00937DD7"/>
    <w:pPr>
      <w:spacing w:line="240" w:lineRule="auto"/>
      <w:ind w:left="849" w:hanging="283"/>
    </w:pPr>
    <w:rPr>
      <w:rFonts w:ascii="Times New Roman" w:eastAsia="Times New Roman" w:hAnsi="Times New Roman" w:cs="Times New Roman"/>
      <w:sz w:val="24"/>
      <w:szCs w:val="24"/>
      <w:lang w:val="en-US"/>
    </w:rPr>
  </w:style>
  <w:style w:type="paragraph" w:styleId="List4">
    <w:name w:val="List 4"/>
    <w:basedOn w:val="Normal"/>
    <w:rsid w:val="00937DD7"/>
    <w:pPr>
      <w:spacing w:line="240" w:lineRule="auto"/>
      <w:ind w:left="1132" w:hanging="283"/>
    </w:pPr>
    <w:rPr>
      <w:rFonts w:ascii="Times New Roman" w:eastAsia="Times New Roman" w:hAnsi="Times New Roman" w:cs="Times New Roman"/>
      <w:sz w:val="24"/>
      <w:szCs w:val="24"/>
      <w:lang w:val="en-US"/>
    </w:rPr>
  </w:style>
  <w:style w:type="paragraph" w:styleId="List5">
    <w:name w:val="List 5"/>
    <w:basedOn w:val="Normal"/>
    <w:rsid w:val="00937DD7"/>
    <w:pPr>
      <w:spacing w:line="240" w:lineRule="auto"/>
      <w:ind w:left="1415" w:hanging="283"/>
    </w:pPr>
    <w:rPr>
      <w:rFonts w:ascii="Times New Roman" w:eastAsia="Times New Roman" w:hAnsi="Times New Roman" w:cs="Times New Roman"/>
      <w:sz w:val="24"/>
      <w:szCs w:val="24"/>
      <w:lang w:val="en-US"/>
    </w:rPr>
  </w:style>
  <w:style w:type="paragraph" w:styleId="ListBullet">
    <w:name w:val="List Bullet"/>
    <w:basedOn w:val="Normal"/>
    <w:rsid w:val="00937DD7"/>
    <w:pPr>
      <w:numPr>
        <w:numId w:val="10"/>
      </w:numPr>
      <w:spacing w:line="240" w:lineRule="auto"/>
    </w:pPr>
    <w:rPr>
      <w:rFonts w:ascii="Times New Roman" w:eastAsia="Times New Roman" w:hAnsi="Times New Roman" w:cs="Times New Roman"/>
      <w:sz w:val="24"/>
      <w:szCs w:val="24"/>
      <w:lang w:val="en-US"/>
    </w:rPr>
  </w:style>
  <w:style w:type="paragraph" w:styleId="ListBullet2">
    <w:name w:val="List Bullet 2"/>
    <w:basedOn w:val="Normal"/>
    <w:rsid w:val="00937DD7"/>
    <w:pPr>
      <w:numPr>
        <w:numId w:val="11"/>
      </w:numPr>
      <w:spacing w:line="240" w:lineRule="auto"/>
    </w:pPr>
    <w:rPr>
      <w:rFonts w:ascii="Times New Roman" w:eastAsia="Times New Roman" w:hAnsi="Times New Roman" w:cs="Times New Roman"/>
      <w:sz w:val="24"/>
      <w:szCs w:val="24"/>
      <w:lang w:val="en-US"/>
    </w:rPr>
  </w:style>
  <w:style w:type="paragraph" w:styleId="ListBullet3">
    <w:name w:val="List Bullet 3"/>
    <w:basedOn w:val="Normal"/>
    <w:rsid w:val="00937DD7"/>
    <w:pPr>
      <w:numPr>
        <w:numId w:val="12"/>
      </w:numPr>
      <w:spacing w:line="240" w:lineRule="auto"/>
    </w:pPr>
    <w:rPr>
      <w:rFonts w:ascii="Times New Roman" w:eastAsia="Times New Roman" w:hAnsi="Times New Roman" w:cs="Times New Roman"/>
      <w:sz w:val="24"/>
      <w:szCs w:val="24"/>
      <w:lang w:val="en-US"/>
    </w:rPr>
  </w:style>
  <w:style w:type="paragraph" w:styleId="ListBullet4">
    <w:name w:val="List Bullet 4"/>
    <w:basedOn w:val="Normal"/>
    <w:rsid w:val="00937DD7"/>
    <w:pPr>
      <w:numPr>
        <w:numId w:val="13"/>
      </w:numPr>
      <w:spacing w:line="240" w:lineRule="auto"/>
    </w:pPr>
    <w:rPr>
      <w:rFonts w:ascii="Times New Roman" w:eastAsia="Times New Roman" w:hAnsi="Times New Roman" w:cs="Times New Roman"/>
      <w:sz w:val="24"/>
      <w:szCs w:val="24"/>
      <w:lang w:val="en-US"/>
    </w:rPr>
  </w:style>
  <w:style w:type="paragraph" w:styleId="ListBullet5">
    <w:name w:val="List Bullet 5"/>
    <w:basedOn w:val="Normal"/>
    <w:rsid w:val="00937DD7"/>
    <w:pPr>
      <w:numPr>
        <w:numId w:val="14"/>
      </w:numPr>
      <w:spacing w:line="240" w:lineRule="auto"/>
    </w:pPr>
    <w:rPr>
      <w:rFonts w:ascii="Times New Roman" w:eastAsia="Times New Roman" w:hAnsi="Times New Roman" w:cs="Times New Roman"/>
      <w:sz w:val="24"/>
      <w:szCs w:val="24"/>
      <w:lang w:val="en-US"/>
    </w:rPr>
  </w:style>
  <w:style w:type="paragraph" w:styleId="ListContinue">
    <w:name w:val="List Continue"/>
    <w:basedOn w:val="Normal"/>
    <w:rsid w:val="00937DD7"/>
    <w:pPr>
      <w:spacing w:line="240" w:lineRule="auto"/>
      <w:ind w:left="283"/>
    </w:pPr>
    <w:rPr>
      <w:rFonts w:ascii="Times New Roman" w:eastAsia="Times New Roman" w:hAnsi="Times New Roman" w:cs="Times New Roman"/>
      <w:sz w:val="24"/>
      <w:szCs w:val="24"/>
      <w:lang w:val="en-US"/>
    </w:rPr>
  </w:style>
  <w:style w:type="paragraph" w:styleId="ListContinue2">
    <w:name w:val="List Continue 2"/>
    <w:basedOn w:val="Normal"/>
    <w:rsid w:val="00937DD7"/>
    <w:pPr>
      <w:spacing w:line="240" w:lineRule="auto"/>
      <w:ind w:left="566"/>
    </w:pPr>
    <w:rPr>
      <w:rFonts w:ascii="Times New Roman" w:eastAsia="Times New Roman" w:hAnsi="Times New Roman" w:cs="Times New Roman"/>
      <w:sz w:val="24"/>
      <w:szCs w:val="24"/>
      <w:lang w:val="en-US"/>
    </w:rPr>
  </w:style>
  <w:style w:type="paragraph" w:styleId="ListContinue3">
    <w:name w:val="List Continue 3"/>
    <w:basedOn w:val="Normal"/>
    <w:rsid w:val="00937DD7"/>
    <w:pPr>
      <w:spacing w:line="240" w:lineRule="auto"/>
      <w:ind w:left="849"/>
    </w:pPr>
    <w:rPr>
      <w:rFonts w:ascii="Times New Roman" w:eastAsia="Times New Roman" w:hAnsi="Times New Roman" w:cs="Times New Roman"/>
      <w:sz w:val="24"/>
      <w:szCs w:val="24"/>
      <w:lang w:val="en-US"/>
    </w:rPr>
  </w:style>
  <w:style w:type="paragraph" w:styleId="ListContinue4">
    <w:name w:val="List Continue 4"/>
    <w:basedOn w:val="Normal"/>
    <w:rsid w:val="00937DD7"/>
    <w:pPr>
      <w:spacing w:line="240" w:lineRule="auto"/>
      <w:ind w:left="1132"/>
    </w:pPr>
    <w:rPr>
      <w:rFonts w:ascii="Times New Roman" w:eastAsia="Times New Roman" w:hAnsi="Times New Roman" w:cs="Times New Roman"/>
      <w:sz w:val="24"/>
      <w:szCs w:val="24"/>
      <w:lang w:val="en-US"/>
    </w:rPr>
  </w:style>
  <w:style w:type="paragraph" w:styleId="ListContinue5">
    <w:name w:val="List Continue 5"/>
    <w:basedOn w:val="Normal"/>
    <w:rsid w:val="00937DD7"/>
    <w:pPr>
      <w:spacing w:line="240" w:lineRule="auto"/>
      <w:ind w:left="1415"/>
    </w:pPr>
    <w:rPr>
      <w:rFonts w:ascii="Times New Roman" w:eastAsia="Times New Roman" w:hAnsi="Times New Roman" w:cs="Times New Roman"/>
      <w:sz w:val="24"/>
      <w:szCs w:val="24"/>
      <w:lang w:val="en-US"/>
    </w:rPr>
  </w:style>
  <w:style w:type="paragraph" w:styleId="ListNumber">
    <w:name w:val="List Number"/>
    <w:basedOn w:val="Normal"/>
    <w:rsid w:val="00937DD7"/>
    <w:pPr>
      <w:tabs>
        <w:tab w:val="num" w:pos="360"/>
      </w:tabs>
      <w:spacing w:line="240" w:lineRule="auto"/>
      <w:ind w:left="360" w:hanging="360"/>
    </w:pPr>
    <w:rPr>
      <w:rFonts w:ascii="Times New Roman" w:eastAsia="Times New Roman" w:hAnsi="Times New Roman" w:cs="Times New Roman"/>
      <w:sz w:val="24"/>
      <w:szCs w:val="24"/>
      <w:lang w:val="en-US"/>
    </w:rPr>
  </w:style>
  <w:style w:type="paragraph" w:styleId="ListNumber3">
    <w:name w:val="List Number 3"/>
    <w:basedOn w:val="Normal"/>
    <w:rsid w:val="00937DD7"/>
    <w:pPr>
      <w:numPr>
        <w:numId w:val="15"/>
      </w:numPr>
      <w:spacing w:line="240" w:lineRule="auto"/>
    </w:pPr>
    <w:rPr>
      <w:rFonts w:ascii="Times New Roman" w:eastAsia="Times New Roman" w:hAnsi="Times New Roman" w:cs="Times New Roman"/>
      <w:sz w:val="24"/>
      <w:szCs w:val="24"/>
      <w:lang w:val="en-US"/>
    </w:rPr>
  </w:style>
  <w:style w:type="paragraph" w:styleId="ListNumber4">
    <w:name w:val="List Number 4"/>
    <w:basedOn w:val="Normal"/>
    <w:rsid w:val="00937DD7"/>
    <w:pPr>
      <w:numPr>
        <w:numId w:val="16"/>
      </w:numPr>
      <w:spacing w:line="240" w:lineRule="auto"/>
    </w:pPr>
    <w:rPr>
      <w:rFonts w:ascii="Times New Roman" w:eastAsia="Times New Roman" w:hAnsi="Times New Roman" w:cs="Times New Roman"/>
      <w:sz w:val="24"/>
      <w:szCs w:val="24"/>
      <w:lang w:val="en-US"/>
    </w:rPr>
  </w:style>
  <w:style w:type="paragraph" w:styleId="ListNumber5">
    <w:name w:val="List Number 5"/>
    <w:basedOn w:val="Normal"/>
    <w:rsid w:val="00937DD7"/>
    <w:pPr>
      <w:numPr>
        <w:numId w:val="17"/>
      </w:numPr>
      <w:spacing w:line="240" w:lineRule="auto"/>
    </w:pPr>
    <w:rPr>
      <w:rFonts w:ascii="Times New Roman" w:eastAsia="Times New Roman" w:hAnsi="Times New Roman" w:cs="Times New Roman"/>
      <w:sz w:val="24"/>
      <w:szCs w:val="24"/>
      <w:lang w:val="en-US"/>
    </w:rPr>
  </w:style>
  <w:style w:type="paragraph" w:styleId="MacroText">
    <w:name w:val="macro"/>
    <w:link w:val="MacroTextChar"/>
    <w:semiHidden/>
    <w:rsid w:val="00937DD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US"/>
    </w:rPr>
  </w:style>
  <w:style w:type="character" w:customStyle="1" w:styleId="MacroTextChar">
    <w:name w:val="Macro Text Char"/>
    <w:basedOn w:val="DefaultParagraphFont"/>
    <w:link w:val="MacroText"/>
    <w:semiHidden/>
    <w:rsid w:val="00937DD7"/>
    <w:rPr>
      <w:rFonts w:ascii="Courier New" w:eastAsia="Times New Roman" w:hAnsi="Courier New" w:cs="Courier New"/>
      <w:sz w:val="20"/>
      <w:szCs w:val="20"/>
      <w:lang w:val="en-US"/>
    </w:rPr>
  </w:style>
  <w:style w:type="paragraph" w:styleId="MessageHeader">
    <w:name w:val="Message Header"/>
    <w:basedOn w:val="Normal"/>
    <w:link w:val="MessageHeaderChar"/>
    <w:rsid w:val="00937DD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Arial" w:eastAsia="Times New Roman" w:hAnsi="Arial" w:cs="Arial"/>
      <w:sz w:val="24"/>
      <w:szCs w:val="24"/>
      <w:lang w:val="en-US"/>
    </w:rPr>
  </w:style>
  <w:style w:type="character" w:customStyle="1" w:styleId="MessageHeaderChar">
    <w:name w:val="Message Header Char"/>
    <w:basedOn w:val="DefaultParagraphFont"/>
    <w:link w:val="MessageHeader"/>
    <w:rsid w:val="00937DD7"/>
    <w:rPr>
      <w:rFonts w:ascii="Arial" w:eastAsia="Times New Roman" w:hAnsi="Arial" w:cs="Arial"/>
      <w:sz w:val="24"/>
      <w:szCs w:val="24"/>
      <w:shd w:val="pct20" w:color="auto" w:fill="auto"/>
      <w:lang w:val="en-US"/>
    </w:rPr>
  </w:style>
  <w:style w:type="paragraph" w:styleId="NormalIndent">
    <w:name w:val="Normal Indent"/>
    <w:basedOn w:val="Normal"/>
    <w:rsid w:val="00937DD7"/>
    <w:pPr>
      <w:spacing w:line="240" w:lineRule="auto"/>
      <w:ind w:left="720"/>
    </w:pPr>
    <w:rPr>
      <w:rFonts w:ascii="Times New Roman" w:eastAsia="Times New Roman" w:hAnsi="Times New Roman" w:cs="Times New Roman"/>
      <w:sz w:val="24"/>
      <w:szCs w:val="24"/>
      <w:lang w:val="en-US"/>
    </w:rPr>
  </w:style>
  <w:style w:type="paragraph" w:styleId="NoteHeading">
    <w:name w:val="Note Heading"/>
    <w:basedOn w:val="Normal"/>
    <w:next w:val="Normal"/>
    <w:link w:val="NoteHeadingChar"/>
    <w:rsid w:val="00937DD7"/>
    <w:pPr>
      <w:spacing w:line="240" w:lineRule="auto"/>
    </w:pPr>
    <w:rPr>
      <w:rFonts w:ascii="Times New Roman" w:eastAsia="Times New Roman" w:hAnsi="Times New Roman" w:cs="Times New Roman"/>
      <w:sz w:val="24"/>
      <w:szCs w:val="24"/>
      <w:lang w:val="en-US"/>
    </w:rPr>
  </w:style>
  <w:style w:type="character" w:customStyle="1" w:styleId="NoteHeadingChar">
    <w:name w:val="Note Heading Char"/>
    <w:basedOn w:val="DefaultParagraphFont"/>
    <w:link w:val="NoteHeading"/>
    <w:rsid w:val="00937DD7"/>
    <w:rPr>
      <w:rFonts w:ascii="Times New Roman" w:eastAsia="Times New Roman" w:hAnsi="Times New Roman" w:cs="Times New Roman"/>
      <w:sz w:val="24"/>
      <w:szCs w:val="24"/>
      <w:lang w:val="en-US"/>
    </w:rPr>
  </w:style>
  <w:style w:type="paragraph" w:styleId="Salutation">
    <w:name w:val="Salutation"/>
    <w:basedOn w:val="Normal"/>
    <w:next w:val="Normal"/>
    <w:link w:val="SalutationChar"/>
    <w:rsid w:val="00937DD7"/>
    <w:pPr>
      <w:spacing w:line="240" w:lineRule="auto"/>
    </w:pPr>
    <w:rPr>
      <w:rFonts w:ascii="Times New Roman" w:eastAsia="Times New Roman" w:hAnsi="Times New Roman" w:cs="Times New Roman"/>
      <w:sz w:val="24"/>
      <w:szCs w:val="24"/>
      <w:lang w:val="en-US"/>
    </w:rPr>
  </w:style>
  <w:style w:type="character" w:customStyle="1" w:styleId="SalutationChar">
    <w:name w:val="Salutation Char"/>
    <w:basedOn w:val="DefaultParagraphFont"/>
    <w:link w:val="Salutation"/>
    <w:rsid w:val="00937DD7"/>
    <w:rPr>
      <w:rFonts w:ascii="Times New Roman" w:eastAsia="Times New Roman" w:hAnsi="Times New Roman" w:cs="Times New Roman"/>
      <w:sz w:val="24"/>
      <w:szCs w:val="24"/>
      <w:lang w:val="en-US"/>
    </w:rPr>
  </w:style>
  <w:style w:type="paragraph" w:styleId="Signature">
    <w:name w:val="Signature"/>
    <w:basedOn w:val="Normal"/>
    <w:link w:val="SignatureChar"/>
    <w:rsid w:val="00937DD7"/>
    <w:pPr>
      <w:spacing w:line="240" w:lineRule="auto"/>
      <w:ind w:left="4252"/>
    </w:pPr>
    <w:rPr>
      <w:rFonts w:ascii="Times New Roman" w:eastAsia="Times New Roman" w:hAnsi="Times New Roman" w:cs="Times New Roman"/>
      <w:sz w:val="24"/>
      <w:szCs w:val="24"/>
      <w:lang w:val="en-US"/>
    </w:rPr>
  </w:style>
  <w:style w:type="character" w:customStyle="1" w:styleId="SignatureChar">
    <w:name w:val="Signature Char"/>
    <w:basedOn w:val="DefaultParagraphFont"/>
    <w:link w:val="Signature"/>
    <w:rsid w:val="00937DD7"/>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37DD7"/>
    <w:rPr>
      <w:b/>
      <w:bCs/>
      <w:lang w:val="en-US"/>
    </w:rPr>
  </w:style>
  <w:style w:type="paragraph" w:styleId="Subtitle">
    <w:name w:val="Subtitle"/>
    <w:basedOn w:val="Normal"/>
    <w:link w:val="SubtitleChar"/>
    <w:qFormat/>
    <w:rsid w:val="00937DD7"/>
    <w:pPr>
      <w:spacing w:after="60" w:line="240" w:lineRule="auto"/>
      <w:jc w:val="center"/>
      <w:outlineLvl w:val="1"/>
    </w:pPr>
    <w:rPr>
      <w:rFonts w:ascii="Arial" w:eastAsia="Times New Roman" w:hAnsi="Arial" w:cs="Arial"/>
      <w:sz w:val="24"/>
      <w:szCs w:val="24"/>
      <w:lang w:val="en-US"/>
    </w:rPr>
  </w:style>
  <w:style w:type="character" w:customStyle="1" w:styleId="SubtitleChar">
    <w:name w:val="Subtitle Char"/>
    <w:basedOn w:val="DefaultParagraphFont"/>
    <w:link w:val="Subtitle"/>
    <w:rsid w:val="00937DD7"/>
    <w:rPr>
      <w:rFonts w:ascii="Arial" w:eastAsia="Times New Roman" w:hAnsi="Arial" w:cs="Arial"/>
      <w:sz w:val="24"/>
      <w:szCs w:val="24"/>
      <w:lang w:val="en-US"/>
    </w:rPr>
  </w:style>
  <w:style w:type="paragraph" w:styleId="TableofAuthorities">
    <w:name w:val="table of authorities"/>
    <w:basedOn w:val="Normal"/>
    <w:next w:val="Normal"/>
    <w:semiHidden/>
    <w:rsid w:val="00937DD7"/>
    <w:pPr>
      <w:spacing w:line="240" w:lineRule="auto"/>
      <w:ind w:left="240" w:hanging="240"/>
    </w:pPr>
    <w:rPr>
      <w:rFonts w:ascii="Times New Roman" w:eastAsia="Times New Roman" w:hAnsi="Times New Roman" w:cs="Times New Roman"/>
      <w:sz w:val="24"/>
      <w:szCs w:val="24"/>
      <w:lang w:val="en-US"/>
    </w:rPr>
  </w:style>
  <w:style w:type="paragraph" w:styleId="TOAHeading">
    <w:name w:val="toa heading"/>
    <w:basedOn w:val="Normal"/>
    <w:next w:val="Normal"/>
    <w:semiHidden/>
    <w:rsid w:val="00937DD7"/>
    <w:pPr>
      <w:spacing w:line="240" w:lineRule="auto"/>
    </w:pPr>
    <w:rPr>
      <w:rFonts w:ascii="Arial" w:eastAsia="Times New Roman" w:hAnsi="Arial" w:cs="Arial"/>
      <w:b/>
      <w:bCs/>
      <w:sz w:val="24"/>
      <w:szCs w:val="24"/>
      <w:lang w:val="en-US"/>
    </w:rPr>
  </w:style>
  <w:style w:type="paragraph" w:styleId="Bibliography">
    <w:name w:val="Bibliography"/>
    <w:basedOn w:val="Normal"/>
    <w:next w:val="Normal"/>
    <w:uiPriority w:val="37"/>
    <w:semiHidden/>
    <w:unhideWhenUsed/>
    <w:rsid w:val="00937DD7"/>
    <w:pPr>
      <w:spacing w:line="240" w:lineRule="auto"/>
    </w:pPr>
    <w:rPr>
      <w:rFonts w:ascii="Times New Roman" w:eastAsia="Times New Roman" w:hAnsi="Times New Roman" w:cs="Times New Roman"/>
      <w:sz w:val="24"/>
      <w:szCs w:val="24"/>
      <w:lang w:val="en-US"/>
    </w:rPr>
  </w:style>
  <w:style w:type="character" w:styleId="BookTitle">
    <w:name w:val="Book Title"/>
    <w:basedOn w:val="DefaultParagraphFont"/>
    <w:uiPriority w:val="33"/>
    <w:qFormat/>
    <w:rsid w:val="00937DD7"/>
    <w:rPr>
      <w:b/>
      <w:bCs/>
      <w:smallCaps/>
      <w:spacing w:val="5"/>
      <w:lang w:val="en-US"/>
    </w:rPr>
  </w:style>
  <w:style w:type="table" w:styleId="ColorfulGrid">
    <w:name w:val="Colorful Grid"/>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character" w:styleId="IntenseEmphasis">
    <w:name w:val="Intense Emphasis"/>
    <w:basedOn w:val="DefaultParagraphFont"/>
    <w:uiPriority w:val="21"/>
    <w:qFormat/>
    <w:rsid w:val="00937DD7"/>
    <w:rPr>
      <w:b/>
      <w:bCs/>
      <w:i/>
      <w:iCs/>
      <w:color w:val="5B9BD5" w:themeColor="accent1"/>
      <w:lang w:val="en-US"/>
    </w:rPr>
  </w:style>
  <w:style w:type="paragraph" w:styleId="IntenseQuote">
    <w:name w:val="Intense Quote"/>
    <w:basedOn w:val="Normal"/>
    <w:next w:val="Normal"/>
    <w:link w:val="IntenseQuoteChar"/>
    <w:uiPriority w:val="30"/>
    <w:qFormat/>
    <w:rsid w:val="00937DD7"/>
    <w:pPr>
      <w:pBdr>
        <w:bottom w:val="single" w:sz="4" w:space="4" w:color="5B9BD5" w:themeColor="accent1"/>
      </w:pBdr>
      <w:spacing w:before="200" w:after="280" w:line="240" w:lineRule="auto"/>
      <w:ind w:left="936" w:right="936"/>
    </w:pPr>
    <w:rPr>
      <w:rFonts w:ascii="Times New Roman" w:eastAsia="Times New Roman" w:hAnsi="Times New Roman" w:cs="Times New Roman"/>
      <w:b/>
      <w:bCs/>
      <w:i/>
      <w:iCs/>
      <w:color w:val="5B9BD5" w:themeColor="accent1"/>
      <w:sz w:val="24"/>
      <w:szCs w:val="24"/>
      <w:lang w:val="en-US"/>
    </w:rPr>
  </w:style>
  <w:style w:type="character" w:customStyle="1" w:styleId="IntenseQuoteChar">
    <w:name w:val="Intense Quote Char"/>
    <w:basedOn w:val="DefaultParagraphFont"/>
    <w:link w:val="IntenseQuote"/>
    <w:uiPriority w:val="30"/>
    <w:rsid w:val="00937DD7"/>
    <w:rPr>
      <w:rFonts w:ascii="Times New Roman" w:eastAsia="Times New Roman" w:hAnsi="Times New Roman" w:cs="Times New Roman"/>
      <w:b/>
      <w:bCs/>
      <w:i/>
      <w:iCs/>
      <w:color w:val="5B9BD5" w:themeColor="accent1"/>
      <w:sz w:val="24"/>
      <w:szCs w:val="24"/>
      <w:lang w:val="en-US"/>
    </w:rPr>
  </w:style>
  <w:style w:type="character" w:styleId="IntenseReference">
    <w:name w:val="Intense Reference"/>
    <w:basedOn w:val="DefaultParagraphFont"/>
    <w:uiPriority w:val="32"/>
    <w:qFormat/>
    <w:rsid w:val="00937DD7"/>
    <w:rPr>
      <w:b/>
      <w:bCs/>
      <w:smallCaps/>
      <w:color w:val="ED7D31" w:themeColor="accent2"/>
      <w:spacing w:val="5"/>
      <w:u w:val="single"/>
      <w:lang w:val="en-US"/>
    </w:rPr>
  </w:style>
  <w:style w:type="table" w:styleId="LightGrid">
    <w:name w:val="Light Grid"/>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rsid w:val="00937DD7"/>
    <w:pPr>
      <w:spacing w:after="0" w:line="240" w:lineRule="auto"/>
    </w:pPr>
    <w:rPr>
      <w:rFonts w:ascii="Times New Roman" w:eastAsia="Times New Roman" w:hAnsi="Times New Roman" w:cs="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MediumGrid1">
    <w:name w:val="Medium Grid 1"/>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
    <w:name w:val="Medium Grid 1 Accent"/>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customStyle="1" w:styleId="MediumGrid2Accent">
    <w:name w:val="Medium Grid 2 Accent"/>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customStyle="1" w:styleId="MediumGrid3Accent">
    <w:name w:val="Medium Grid 3 Accent"/>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
    <w:name w:val="Medium List 1 Accent"/>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
    <w:name w:val="Medium List 2 Accent"/>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
    <w:name w:val="Medium Shading 1 Accent"/>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
    <w:name w:val="Medium Shading 2 Accent"/>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qFormat/>
    <w:rsid w:val="00937DD7"/>
    <w:pPr>
      <w:spacing w:line="240" w:lineRule="auto"/>
    </w:pPr>
    <w:rPr>
      <w:rFonts w:ascii="Times New Roman" w:eastAsia="Times New Roman" w:hAnsi="Times New Roman" w:cs="Times New Roman"/>
      <w:i/>
      <w:iCs/>
      <w:color w:val="000000" w:themeColor="text1"/>
      <w:sz w:val="24"/>
      <w:szCs w:val="24"/>
      <w:lang w:val="en-US"/>
    </w:rPr>
  </w:style>
  <w:style w:type="character" w:customStyle="1" w:styleId="QuoteChar">
    <w:name w:val="Quote Char"/>
    <w:basedOn w:val="DefaultParagraphFont"/>
    <w:link w:val="Quote"/>
    <w:uiPriority w:val="29"/>
    <w:rsid w:val="00937DD7"/>
    <w:rPr>
      <w:rFonts w:ascii="Times New Roman" w:eastAsia="Times New Roman" w:hAnsi="Times New Roman" w:cs="Times New Roman"/>
      <w:i/>
      <w:iCs/>
      <w:color w:val="000000" w:themeColor="text1"/>
      <w:sz w:val="24"/>
      <w:szCs w:val="24"/>
      <w:lang w:val="en-US"/>
    </w:rPr>
  </w:style>
  <w:style w:type="character" w:styleId="SubtleEmphasis">
    <w:name w:val="Subtle Emphasis"/>
    <w:basedOn w:val="DefaultParagraphFont"/>
    <w:uiPriority w:val="19"/>
    <w:qFormat/>
    <w:rsid w:val="00937DD7"/>
    <w:rPr>
      <w:i/>
      <w:iCs/>
      <w:color w:val="808080" w:themeColor="text1" w:themeTint="7F"/>
      <w:lang w:val="en-US"/>
    </w:rPr>
  </w:style>
  <w:style w:type="character" w:styleId="SubtleReference">
    <w:name w:val="Subtle Reference"/>
    <w:basedOn w:val="DefaultParagraphFont"/>
    <w:uiPriority w:val="31"/>
    <w:qFormat/>
    <w:rsid w:val="00937DD7"/>
    <w:rPr>
      <w:smallCaps/>
      <w:color w:val="ED7D31" w:themeColor="accent2"/>
      <w:u w:val="single"/>
      <w:lang w:val="en-US"/>
    </w:rPr>
  </w:style>
  <w:style w:type="table" w:styleId="Table3Deffects1">
    <w:name w:val="Table 3D effects 1"/>
    <w:basedOn w:val="TableNormal"/>
    <w:rsid w:val="00937DD7"/>
    <w:pPr>
      <w:spacing w:after="0" w:line="240" w:lineRule="auto"/>
    </w:pPr>
    <w:rPr>
      <w:rFonts w:ascii="Times New Roman" w:eastAsia="Times New Roman" w:hAnsi="Times New Roman" w:cs="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937DD7"/>
    <w:pPr>
      <w:spacing w:after="0" w:line="240" w:lineRule="auto"/>
    </w:pPr>
    <w:rPr>
      <w:rFonts w:ascii="Times New Roman" w:eastAsia="Times New Roman" w:hAnsi="Times New Roman" w:cs="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937DD7"/>
    <w:pPr>
      <w:spacing w:after="0" w:line="240" w:lineRule="auto"/>
    </w:pPr>
    <w:rPr>
      <w:rFonts w:ascii="Times New Roman" w:eastAsia="Times New Roman" w:hAnsi="Times New Roman" w:cs="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937DD7"/>
    <w:pPr>
      <w:spacing w:after="0" w:line="240" w:lineRule="auto"/>
    </w:pPr>
    <w:rPr>
      <w:rFonts w:ascii="Times New Roman" w:eastAsia="Times New Roman" w:hAnsi="Times New Roman" w:cs="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937DD7"/>
    <w:pPr>
      <w:spacing w:after="0" w:line="240" w:lineRule="auto"/>
    </w:pPr>
    <w:rPr>
      <w:rFonts w:ascii="Times New Roman" w:eastAsia="Times New Roman" w:hAnsi="Times New Roman" w:cs="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37DD7"/>
    <w:pPr>
      <w:spacing w:after="0" w:line="240" w:lineRule="auto"/>
    </w:pPr>
    <w:rPr>
      <w:rFonts w:ascii="Times New Roman" w:eastAsia="Times New Roman" w:hAnsi="Times New Roman" w:cs="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937DD7"/>
    <w:pPr>
      <w:spacing w:after="0" w:line="240" w:lineRule="auto"/>
    </w:pPr>
    <w:rPr>
      <w:rFonts w:ascii="Times New Roman" w:eastAsia="Times New Roman" w:hAnsi="Times New Roman" w:cs="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937DD7"/>
    <w:pPr>
      <w:spacing w:after="0" w:line="240" w:lineRule="auto"/>
    </w:pPr>
    <w:rPr>
      <w:rFonts w:ascii="Times New Roman" w:eastAsia="Times New Roman" w:hAnsi="Times New Roman" w:cs="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937DD7"/>
    <w:pPr>
      <w:spacing w:after="0" w:line="240" w:lineRule="auto"/>
    </w:pPr>
    <w:rPr>
      <w:rFonts w:ascii="Times New Roman" w:eastAsia="Times New Roman" w:hAnsi="Times New Roman" w:cs="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937DD7"/>
    <w:pPr>
      <w:spacing w:after="0" w:line="240" w:lineRule="auto"/>
    </w:pPr>
    <w:rPr>
      <w:rFonts w:ascii="Times New Roman" w:eastAsia="Times New Roman" w:hAnsi="Times New Roman" w:cs="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937DD7"/>
    <w:pPr>
      <w:spacing w:after="0" w:line="240" w:lineRule="auto"/>
    </w:pPr>
    <w:rPr>
      <w:rFonts w:ascii="Times New Roman" w:eastAsia="Times New Roman" w:hAnsi="Times New Roman" w:cs="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937DD7"/>
    <w:pPr>
      <w:spacing w:after="0" w:line="240" w:lineRule="auto"/>
    </w:pPr>
    <w:rPr>
      <w:rFonts w:ascii="Times New Roman" w:eastAsia="Times New Roman" w:hAnsi="Times New Roman" w:cs="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937DD7"/>
    <w:pPr>
      <w:spacing w:after="0" w:line="240" w:lineRule="auto"/>
    </w:pPr>
    <w:rPr>
      <w:rFonts w:ascii="Times New Roman" w:eastAsia="Times New Roman" w:hAnsi="Times New Roman" w:cs="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937DD7"/>
    <w:pPr>
      <w:spacing w:after="0" w:line="240" w:lineRule="auto"/>
    </w:pPr>
    <w:rPr>
      <w:rFonts w:ascii="Times New Roman" w:eastAsia="Times New Roman" w:hAnsi="Times New Roman" w:cs="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937DD7"/>
    <w:pPr>
      <w:spacing w:after="0" w:line="240" w:lineRule="auto"/>
    </w:pPr>
    <w:rPr>
      <w:rFonts w:ascii="Times New Roman" w:eastAsia="Times New Roman" w:hAnsi="Times New Roman" w:cs="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937DD7"/>
    <w:pPr>
      <w:spacing w:after="0" w:line="240" w:lineRule="auto"/>
    </w:pPr>
    <w:rPr>
      <w:rFonts w:ascii="Times New Roman" w:eastAsia="Times New Roman" w:hAnsi="Times New Roman" w:cs="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937DD7"/>
    <w:pPr>
      <w:spacing w:after="0" w:line="240" w:lineRule="auto"/>
    </w:pPr>
    <w:rPr>
      <w:rFonts w:ascii="Times New Roman" w:eastAsia="Times New Roman" w:hAnsi="Times New Roman" w:cs="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937DD7"/>
    <w:pPr>
      <w:spacing w:after="0" w:line="240" w:lineRule="auto"/>
    </w:pPr>
    <w:rPr>
      <w:rFonts w:ascii="Times New Roman" w:eastAsia="Times New Roman" w:hAnsi="Times New Roman" w:cs="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937DD7"/>
    <w:pPr>
      <w:spacing w:after="0" w:line="240" w:lineRule="auto"/>
    </w:pPr>
    <w:rPr>
      <w:rFonts w:ascii="Times New Roman" w:eastAsia="Times New Roman" w:hAnsi="Times New Roman" w:cs="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WW8Num26z1">
    <w:name w:val="WW8Num26z1"/>
    <w:rsid w:val="00937DD7"/>
    <w:rPr>
      <w:rFonts w:ascii="Courier New" w:hAnsi="Courier New" w:cs="Courier New"/>
      <w:lang w:val="en-US"/>
    </w:rPr>
  </w:style>
  <w:style w:type="table" w:styleId="GridTable1Light">
    <w:name w:val="Grid Table 1 Light"/>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
    <w:name w:val="Grid Table 1 Light Accent"/>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
    <w:name w:val="Grid Table 2 Accent"/>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6">
    <w:name w:val="Grid Table 2 Accent 6"/>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
    <w:name w:val="Grid Table 3 Accent"/>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3-Accent6">
    <w:name w:val="Grid Table 3 Accent 6"/>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
    <w:name w:val="Grid Table 4 Accent"/>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
    <w:name w:val="Grid Table 5 Dark Accent"/>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6">
    <w:name w:val="Grid Table 5 Dark Accent 6"/>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6ColorfulAccent">
    <w:name w:val="Grid Table 6 Colorful Accent"/>
    <w:basedOn w:val="TableNormal"/>
    <w:uiPriority w:val="51"/>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7Colorful-Accent6">
    <w:name w:val="Grid Table 7 Colorful Accent 6"/>
    <w:basedOn w:val="TableNormal"/>
    <w:uiPriority w:val="52"/>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ListTable1Light">
    <w:name w:val="List Table 1 Light"/>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
    <w:name w:val="List Table 1 Light Accent"/>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1Light-Accent6">
    <w:name w:val="List Table 1 Light Accent 6"/>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2Accent">
    <w:name w:val="List Table 2 Accent"/>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2-Accent6">
    <w:name w:val="List Table 2 Accent 6"/>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ListTable3Accent">
    <w:name w:val="List Table 3 Accent"/>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3-Accent6">
    <w:name w:val="List Table 3 Accent 6"/>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
    <w:name w:val="List Table 4 Accent"/>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6">
    <w:name w:val="List Table 4 Accent 6"/>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
    <w:name w:val="List Table 5 Dark Accent"/>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6ColorfulAccent">
    <w:name w:val="List Table 6 Colorful Accent"/>
    <w:basedOn w:val="TableNormal"/>
    <w:uiPriority w:val="51"/>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937DD7"/>
    <w:pPr>
      <w:spacing w:after="0" w:line="240" w:lineRule="auto"/>
    </w:pPr>
    <w:rPr>
      <w:rFonts w:ascii="Times New Roman" w:eastAsia="Times New Roman" w:hAnsi="Times New Roman" w:cs="Times New Roman"/>
      <w:sz w:val="20"/>
      <w:szCs w:val="20"/>
      <w:lang w:eastAsia="zh-C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aractredenotebaspage">
    <w:name w:val="Caractère de note bas page"/>
    <w:rsid w:val="00937DD7"/>
    <w:rPr>
      <w:vertAlign w:val="superscript"/>
    </w:rPr>
  </w:style>
  <w:style w:type="character" w:customStyle="1" w:styleId="ui-provider">
    <w:name w:val="ui-provider"/>
    <w:basedOn w:val="DefaultParagraphFont"/>
    <w:rsid w:val="008F0005"/>
  </w:style>
  <w:style w:type="table" w:customStyle="1" w:styleId="ColorfulGrid1">
    <w:name w:val="Colorful Grid1"/>
    <w:basedOn w:val="TableNormal"/>
    <w:next w:val="ColorfulGrid"/>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Grid-Accent11">
    <w:name w:val="Colorful Grid - Accent 11"/>
    <w:basedOn w:val="TableNormal"/>
    <w:next w:val="ColorfulGrid-Accent1"/>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ColorfulGrid-Accent21">
    <w:name w:val="Colorful Grid - Accent 21"/>
    <w:basedOn w:val="TableNormal"/>
    <w:next w:val="ColorfulGrid-Accent2"/>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customStyle="1" w:styleId="ColorfulGrid-Accent31">
    <w:name w:val="Colorful Grid - Accent 31"/>
    <w:basedOn w:val="TableNormal"/>
    <w:next w:val="ColorfulGrid-Accent3"/>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ColorfulGrid-Accent41">
    <w:name w:val="Colorful Grid - Accent 41"/>
    <w:basedOn w:val="TableNormal"/>
    <w:next w:val="ColorfulGrid-Accent4"/>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customStyle="1" w:styleId="ColorfulGrid-Accent51">
    <w:name w:val="Colorful Grid - Accent 51"/>
    <w:basedOn w:val="TableNormal"/>
    <w:next w:val="ColorfulGrid-Accent5"/>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customStyle="1" w:styleId="ColorfulGrid-Accent61">
    <w:name w:val="Colorful Grid - Accent 61"/>
    <w:basedOn w:val="TableNormal"/>
    <w:next w:val="ColorfulGrid-Accent6"/>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ColorfulList1">
    <w:name w:val="Colorful List1"/>
    <w:basedOn w:val="TableNormal"/>
    <w:next w:val="ColorfulList"/>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List-Accent11">
    <w:name w:val="Colorful List - Accent 11"/>
    <w:basedOn w:val="TableNormal"/>
    <w:next w:val="ColorfulList-Accent1"/>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customStyle="1" w:styleId="ColorfulList-Accent21">
    <w:name w:val="Colorful List - Accent 21"/>
    <w:basedOn w:val="TableNormal"/>
    <w:next w:val="ColorfulList-Accent2"/>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customStyle="1" w:styleId="ColorfulList-Accent31">
    <w:name w:val="Colorful List - Accent 31"/>
    <w:basedOn w:val="TableNormal"/>
    <w:next w:val="ColorfulList-Accent3"/>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customStyle="1" w:styleId="ColorfulList-Accent41">
    <w:name w:val="Colorful List - Accent 41"/>
    <w:basedOn w:val="TableNormal"/>
    <w:next w:val="ColorfulList-Accent4"/>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customStyle="1" w:styleId="ColorfulList-Accent51">
    <w:name w:val="Colorful List - Accent 51"/>
    <w:basedOn w:val="TableNormal"/>
    <w:next w:val="ColorfulList-Accent5"/>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customStyle="1" w:styleId="ColorfulList-Accent61">
    <w:name w:val="Colorful List - Accent 61"/>
    <w:basedOn w:val="TableNormal"/>
    <w:next w:val="ColorfulList-Accent6"/>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customStyle="1" w:styleId="ColorfulShading1">
    <w:name w:val="Colorful Shading1"/>
    <w:basedOn w:val="TableNormal"/>
    <w:next w:val="ColorfulShading"/>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Shading-Accent11">
    <w:name w:val="Colorful Shading - Accent 11"/>
    <w:basedOn w:val="TableNormal"/>
    <w:next w:val="ColorfulShading-Accent1"/>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customStyle="1" w:styleId="ColorfulShading-Accent21">
    <w:name w:val="Colorful Shading - Accent 21"/>
    <w:basedOn w:val="TableNormal"/>
    <w:next w:val="ColorfulShading-Accent2"/>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customStyle="1" w:styleId="ColorfulShading-Accent31">
    <w:name w:val="Colorful Shading - Accent 31"/>
    <w:basedOn w:val="TableNormal"/>
    <w:next w:val="ColorfulShading-Accent3"/>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customStyle="1" w:styleId="ColorfulShading-Accent41">
    <w:name w:val="Colorful Shading - Accent 41"/>
    <w:basedOn w:val="TableNormal"/>
    <w:next w:val="ColorfulShading-Accent4"/>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customStyle="1" w:styleId="ColorfulShading-Accent51">
    <w:name w:val="Colorful Shading - Accent 51"/>
    <w:basedOn w:val="TableNormal"/>
    <w:next w:val="ColorfulShading-Accent5"/>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customStyle="1" w:styleId="ColorfulShading-Accent61">
    <w:name w:val="Colorful Shading - Accent 61"/>
    <w:basedOn w:val="TableNormal"/>
    <w:next w:val="ColorfulShading-Accent6"/>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next w:val="DarkList"/>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DarkList-Accent11">
    <w:name w:val="Dark List - Accent 11"/>
    <w:basedOn w:val="TableNormal"/>
    <w:next w:val="DarkList-Accent1"/>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customStyle="1" w:styleId="DarkList-Accent21">
    <w:name w:val="Dark List - Accent 21"/>
    <w:basedOn w:val="TableNormal"/>
    <w:next w:val="DarkList-Accent2"/>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customStyle="1" w:styleId="DarkList-Accent31">
    <w:name w:val="Dark List - Accent 31"/>
    <w:basedOn w:val="TableNormal"/>
    <w:next w:val="DarkList-Accent3"/>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customStyle="1" w:styleId="DarkList-Accent41">
    <w:name w:val="Dark List - Accent 41"/>
    <w:basedOn w:val="TableNormal"/>
    <w:next w:val="DarkList-Accent4"/>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customStyle="1" w:styleId="DarkList-Accent51">
    <w:name w:val="Dark List - Accent 51"/>
    <w:basedOn w:val="TableNormal"/>
    <w:next w:val="DarkList-Accent5"/>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customStyle="1" w:styleId="DarkList-Accent61">
    <w:name w:val="Dark List - Accent 61"/>
    <w:basedOn w:val="TableNormal"/>
    <w:next w:val="DarkList-Accent6"/>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customStyle="1" w:styleId="LightGrid1">
    <w:name w:val="Light Grid1"/>
    <w:basedOn w:val="TableNormal"/>
    <w:next w:val="LightGrid"/>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next w:val="LightGrid-Accent1"/>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21">
    <w:name w:val="Light Grid - Accent 21"/>
    <w:basedOn w:val="TableNormal"/>
    <w:next w:val="LightGrid-Accent2"/>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customStyle="1" w:styleId="LightGrid-Accent31">
    <w:name w:val="Light Grid - Accent 31"/>
    <w:basedOn w:val="TableNormal"/>
    <w:next w:val="LightGrid-Accent3"/>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customStyle="1" w:styleId="LightGrid-Accent41">
    <w:name w:val="Light Grid - Accent 41"/>
    <w:basedOn w:val="TableNormal"/>
    <w:next w:val="LightGrid-Accent4"/>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customStyle="1" w:styleId="LightGrid-Accent51">
    <w:name w:val="Light Grid - Accent 51"/>
    <w:basedOn w:val="TableNormal"/>
    <w:next w:val="LightGrid-Accent5"/>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61">
    <w:name w:val="Light Grid - Accent 61"/>
    <w:basedOn w:val="TableNormal"/>
    <w:next w:val="LightGrid-Accent6"/>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customStyle="1" w:styleId="LightList1">
    <w:name w:val="Light List1"/>
    <w:basedOn w:val="TableNormal"/>
    <w:next w:val="LightList"/>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next w:val="LightList-Accent1"/>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List-Accent21">
    <w:name w:val="Light List - Accent 21"/>
    <w:basedOn w:val="TableNormal"/>
    <w:next w:val="LightList-Accent2"/>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customStyle="1" w:styleId="LightList-Accent31">
    <w:name w:val="Light List - Accent 31"/>
    <w:basedOn w:val="TableNormal"/>
    <w:next w:val="LightList-Accent3"/>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customStyle="1" w:styleId="LightList-Accent41">
    <w:name w:val="Light List - Accent 41"/>
    <w:basedOn w:val="TableNormal"/>
    <w:next w:val="LightList-Accent4"/>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customStyle="1" w:styleId="LightList-Accent51">
    <w:name w:val="Light List - Accent 51"/>
    <w:basedOn w:val="TableNormal"/>
    <w:next w:val="LightList-Accent5"/>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61">
    <w:name w:val="Light List - Accent 61"/>
    <w:basedOn w:val="TableNormal"/>
    <w:next w:val="LightList-Accent6"/>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LightShading1">
    <w:name w:val="Light Shading1"/>
    <w:basedOn w:val="TableNormal"/>
    <w:next w:val="LightShading"/>
    <w:uiPriority w:val="60"/>
    <w:rsid w:val="00937DD7"/>
    <w:pPr>
      <w:spacing w:after="0" w:line="240" w:lineRule="auto"/>
    </w:pPr>
    <w:rPr>
      <w:rFonts w:ascii="Times New Roman" w:eastAsia="Times New Roman" w:hAnsi="Times New Roman" w:cs="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next w:val="LightShading-Accent1"/>
    <w:uiPriority w:val="60"/>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21">
    <w:name w:val="Light Shading - Accent 21"/>
    <w:basedOn w:val="TableNormal"/>
    <w:next w:val="LightShading-Accent2"/>
    <w:uiPriority w:val="60"/>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31">
    <w:name w:val="Light Shading - Accent 31"/>
    <w:basedOn w:val="TableNormal"/>
    <w:next w:val="LightShading-Accent3"/>
    <w:uiPriority w:val="60"/>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customStyle="1" w:styleId="LightShading-Accent41">
    <w:name w:val="Light Shading - Accent 41"/>
    <w:basedOn w:val="TableNormal"/>
    <w:next w:val="LightShading-Accent4"/>
    <w:uiPriority w:val="60"/>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customStyle="1" w:styleId="LightShading-Accent51">
    <w:name w:val="Light Shading - Accent 51"/>
    <w:basedOn w:val="TableNormal"/>
    <w:next w:val="LightShading-Accent5"/>
    <w:uiPriority w:val="60"/>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customStyle="1" w:styleId="LightShading-Accent61">
    <w:name w:val="Light Shading - Accent 61"/>
    <w:basedOn w:val="TableNormal"/>
    <w:next w:val="LightShading-Accent6"/>
    <w:uiPriority w:val="60"/>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customStyle="1" w:styleId="MediumGrid11">
    <w:name w:val="Medium Grid 11"/>
    <w:basedOn w:val="TableNormal"/>
    <w:next w:val="MediumGrid1"/>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21">
    <w:name w:val="Medium Grid 1 - Accent 21"/>
    <w:basedOn w:val="TableNormal"/>
    <w:next w:val="MediumGrid1-Accent2"/>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customStyle="1" w:styleId="MediumGrid1-Accent31">
    <w:name w:val="Medium Grid 1 - Accent 31"/>
    <w:basedOn w:val="TableNormal"/>
    <w:next w:val="MediumGrid1-Accent3"/>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MediumGrid1-Accent41">
    <w:name w:val="Medium Grid 1 - Accent 41"/>
    <w:basedOn w:val="TableNormal"/>
    <w:next w:val="MediumGrid1-Accent4"/>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customStyle="1" w:styleId="MediumGrid1-Accent51">
    <w:name w:val="Medium Grid 1 - Accent 51"/>
    <w:basedOn w:val="TableNormal"/>
    <w:next w:val="MediumGrid1-Accent5"/>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customStyle="1" w:styleId="MediumGrid1-Accent61">
    <w:name w:val="Medium Grid 1 - Accent 61"/>
    <w:basedOn w:val="TableNormal"/>
    <w:next w:val="MediumGrid1-Accent6"/>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MediumGrid21">
    <w:name w:val="Medium Grid 21"/>
    <w:basedOn w:val="TableNormal"/>
    <w:next w:val="MediumGrid2"/>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2-Accent11">
    <w:name w:val="Medium Grid 2 - Accent 11"/>
    <w:basedOn w:val="TableNormal"/>
    <w:next w:val="MediumGrid2-Accent1"/>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customStyle="1" w:styleId="MediumGrid2-Accent31">
    <w:name w:val="Medium Grid 2 - Accent 31"/>
    <w:basedOn w:val="TableNormal"/>
    <w:next w:val="MediumGrid2-Accent3"/>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customStyle="1" w:styleId="MediumGrid2-Accent41">
    <w:name w:val="Medium Grid 2 - Accent 41"/>
    <w:basedOn w:val="TableNormal"/>
    <w:next w:val="MediumGrid2-Accent4"/>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customStyle="1" w:styleId="MediumGrid2-Accent51">
    <w:name w:val="Medium Grid 2 - Accent 51"/>
    <w:basedOn w:val="TableNormal"/>
    <w:next w:val="MediumGrid2-Accent5"/>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customStyle="1" w:styleId="MediumGrid2-Accent61">
    <w:name w:val="Medium Grid 2 - Accent 61"/>
    <w:basedOn w:val="TableNormal"/>
    <w:next w:val="MediumGrid2-Accent6"/>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next w:val="MediumGrid3"/>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Grid3-Accent11">
    <w:name w:val="Medium Grid 3 - Accent 11"/>
    <w:basedOn w:val="TableNormal"/>
    <w:next w:val="MediumGrid3-Accent1"/>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MediumGrid3-Accent21">
    <w:name w:val="Medium Grid 3 - Accent 21"/>
    <w:basedOn w:val="TableNormal"/>
    <w:next w:val="MediumGrid3-Accent2"/>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customStyle="1" w:styleId="MediumGrid3-Accent41">
    <w:name w:val="Medium Grid 3 - Accent 41"/>
    <w:basedOn w:val="TableNormal"/>
    <w:next w:val="MediumGrid3-Accent4"/>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customStyle="1" w:styleId="MediumGrid3-Accent51">
    <w:name w:val="Medium Grid 3 - Accent 51"/>
    <w:basedOn w:val="TableNormal"/>
    <w:next w:val="MediumGrid3-Accent5"/>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customStyle="1" w:styleId="MediumGrid3-Accent61">
    <w:name w:val="Medium Grid 3 - Accent 61"/>
    <w:basedOn w:val="TableNormal"/>
    <w:next w:val="MediumGrid3-Accent6"/>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MediumList11">
    <w:name w:val="Medium List 11"/>
    <w:basedOn w:val="TableNormal"/>
    <w:next w:val="MediumList1"/>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21">
    <w:name w:val="Medium List 1 - Accent 21"/>
    <w:basedOn w:val="TableNormal"/>
    <w:next w:val="MediumList1-Accent2"/>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customStyle="1" w:styleId="MediumList1-Accent31">
    <w:name w:val="Medium List 1 - Accent 31"/>
    <w:basedOn w:val="TableNormal"/>
    <w:next w:val="MediumList1-Accent3"/>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customStyle="1" w:styleId="MediumList1-Accent41">
    <w:name w:val="Medium List 1 - Accent 41"/>
    <w:basedOn w:val="TableNormal"/>
    <w:next w:val="MediumList1-Accent4"/>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customStyle="1" w:styleId="MediumList1-Accent51">
    <w:name w:val="Medium List 1 - Accent 51"/>
    <w:basedOn w:val="TableNormal"/>
    <w:next w:val="MediumList1-Accent5"/>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customStyle="1" w:styleId="MediumList1-Accent61">
    <w:name w:val="Medium List 1 - Accent 61"/>
    <w:basedOn w:val="TableNormal"/>
    <w:next w:val="MediumList1-Accent6"/>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customStyle="1" w:styleId="MediumList21">
    <w:name w:val="Medium List 21"/>
    <w:basedOn w:val="TableNormal"/>
    <w:next w:val="MediumList2"/>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next w:val="MediumShading1"/>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e3Deffects11">
    <w:name w:val="Table 3D effects 11"/>
    <w:basedOn w:val="TableNormal"/>
    <w:next w:val="Table3Deffects1"/>
    <w:rsid w:val="00937DD7"/>
    <w:pPr>
      <w:spacing w:after="0" w:line="240" w:lineRule="auto"/>
    </w:pPr>
    <w:rPr>
      <w:rFonts w:ascii="Times New Roman" w:eastAsia="Times New Roman" w:hAnsi="Times New Roman" w:cs="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rsid w:val="00937DD7"/>
    <w:pPr>
      <w:spacing w:after="0" w:line="240" w:lineRule="auto"/>
    </w:pPr>
    <w:rPr>
      <w:rFonts w:ascii="Times New Roman" w:eastAsia="Times New Roman" w:hAnsi="Times New Roman" w:cs="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rsid w:val="00937DD7"/>
    <w:pPr>
      <w:spacing w:after="0" w:line="240" w:lineRule="auto"/>
    </w:pPr>
    <w:rPr>
      <w:rFonts w:ascii="Times New Roman" w:eastAsia="Times New Roman" w:hAnsi="Times New Roman" w:cs="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rsid w:val="00937DD7"/>
    <w:pPr>
      <w:spacing w:after="0" w:line="240" w:lineRule="auto"/>
    </w:pPr>
    <w:rPr>
      <w:rFonts w:ascii="Times New Roman" w:eastAsia="Times New Roman" w:hAnsi="Times New Roman" w:cs="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rsid w:val="00937DD7"/>
    <w:pPr>
      <w:spacing w:after="0" w:line="240" w:lineRule="auto"/>
    </w:pPr>
    <w:rPr>
      <w:rFonts w:ascii="Times New Roman" w:eastAsia="Times New Roman" w:hAnsi="Times New Roman" w:cs="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rsid w:val="00937DD7"/>
    <w:pPr>
      <w:spacing w:after="0" w:line="240" w:lineRule="auto"/>
    </w:pPr>
    <w:rPr>
      <w:rFonts w:ascii="Times New Roman" w:eastAsia="Times New Roman" w:hAnsi="Times New Roman" w:cs="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rsid w:val="00937DD7"/>
    <w:pPr>
      <w:spacing w:after="0" w:line="240" w:lineRule="auto"/>
    </w:pPr>
    <w:rPr>
      <w:rFonts w:ascii="Times New Roman" w:eastAsia="Times New Roman" w:hAnsi="Times New Roman" w:cs="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rsid w:val="00937DD7"/>
    <w:pPr>
      <w:spacing w:after="0" w:line="240" w:lineRule="auto"/>
    </w:pPr>
    <w:rPr>
      <w:rFonts w:ascii="Times New Roman" w:eastAsia="Times New Roman" w:hAnsi="Times New Roman" w:cs="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rsid w:val="00937DD7"/>
    <w:pPr>
      <w:spacing w:after="0" w:line="240" w:lineRule="auto"/>
    </w:pPr>
    <w:rPr>
      <w:rFonts w:ascii="Times New Roman" w:eastAsia="Times New Roman" w:hAnsi="Times New Roman" w:cs="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rsid w:val="00937DD7"/>
    <w:pPr>
      <w:spacing w:after="0" w:line="240" w:lineRule="auto"/>
    </w:pPr>
    <w:rPr>
      <w:rFonts w:ascii="Times New Roman" w:eastAsia="Times New Roman" w:hAnsi="Times New Roman" w:cs="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rsid w:val="00937DD7"/>
    <w:pPr>
      <w:spacing w:after="0" w:line="240" w:lineRule="auto"/>
    </w:pPr>
    <w:rPr>
      <w:rFonts w:ascii="Times New Roman" w:eastAsia="Times New Roman" w:hAnsi="Times New Roman" w:cs="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eNormal"/>
    <w:next w:val="TableContemporary"/>
    <w:rsid w:val="00937DD7"/>
    <w:pPr>
      <w:spacing w:after="0" w:line="240" w:lineRule="auto"/>
    </w:pPr>
    <w:rPr>
      <w:rFonts w:ascii="Times New Roman" w:eastAsia="Times New Roman" w:hAnsi="Times New Roman" w:cs="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rsid w:val="00937DD7"/>
    <w:pPr>
      <w:spacing w:after="0" w:line="240" w:lineRule="auto"/>
    </w:pPr>
    <w:rPr>
      <w:rFonts w:ascii="Times New Roman" w:eastAsia="Times New Roman" w:hAnsi="Times New Roman" w:cs="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
    <w:name w:val="Table Grid 11"/>
    <w:basedOn w:val="TableNormal"/>
    <w:next w:val="TableGrid10"/>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 21"/>
    <w:basedOn w:val="TableNormal"/>
    <w:next w:val="TableGrid2"/>
    <w:rsid w:val="00937DD7"/>
    <w:pPr>
      <w:spacing w:after="0" w:line="240" w:lineRule="auto"/>
    </w:pPr>
    <w:rPr>
      <w:rFonts w:ascii="Times New Roman" w:eastAsia="Times New Roman" w:hAnsi="Times New Roman" w:cs="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
    <w:name w:val="Table Grid 31"/>
    <w:basedOn w:val="TableNormal"/>
    <w:next w:val="TableGrid3"/>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
    <w:rsid w:val="00937DD7"/>
    <w:pPr>
      <w:spacing w:after="0" w:line="240" w:lineRule="auto"/>
    </w:pPr>
    <w:rPr>
      <w:rFonts w:ascii="Times New Roman" w:eastAsia="Times New Roman" w:hAnsi="Times New Roman" w:cs="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eNormal"/>
    <w:next w:val="TableGrid5"/>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eNormal"/>
    <w:next w:val="TableGrid6"/>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
    <w:rsid w:val="00937DD7"/>
    <w:pPr>
      <w:spacing w:after="0" w:line="240" w:lineRule="auto"/>
    </w:pPr>
    <w:rPr>
      <w:rFonts w:ascii="Times New Roman" w:eastAsia="Times New Roman" w:hAnsi="Times New Roman" w:cs="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rsid w:val="00937DD7"/>
    <w:pPr>
      <w:spacing w:after="0" w:line="240" w:lineRule="auto"/>
    </w:pPr>
    <w:rPr>
      <w:rFonts w:ascii="Times New Roman" w:eastAsia="Times New Roman" w:hAnsi="Times New Roman" w:cs="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rsid w:val="00937DD7"/>
    <w:pPr>
      <w:spacing w:after="0" w:line="240" w:lineRule="auto"/>
    </w:pPr>
    <w:rPr>
      <w:rFonts w:ascii="Times New Roman" w:eastAsia="Times New Roman" w:hAnsi="Times New Roman" w:cs="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next w:val="TableList6"/>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next w:val="TableList7"/>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eNormal"/>
    <w:next w:val="TableProfession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rsid w:val="00937DD7"/>
    <w:pPr>
      <w:spacing w:after="0" w:line="240" w:lineRule="auto"/>
    </w:pPr>
    <w:rPr>
      <w:rFonts w:ascii="Times New Roman" w:eastAsia="Times New Roman" w:hAnsi="Times New Roman" w:cs="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
    <w:name w:val="Table Simple 21"/>
    <w:basedOn w:val="TableNormal"/>
    <w:next w:val="TableSimple2"/>
    <w:rsid w:val="00937DD7"/>
    <w:pPr>
      <w:spacing w:after="0" w:line="240" w:lineRule="auto"/>
    </w:pPr>
    <w:rPr>
      <w:rFonts w:ascii="Times New Roman" w:eastAsia="Times New Roman" w:hAnsi="Times New Roman" w:cs="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
    <w:name w:val="Table Simple 31"/>
    <w:basedOn w:val="TableNormal"/>
    <w:next w:val="TableSimple3"/>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rsid w:val="00937DD7"/>
    <w:pPr>
      <w:spacing w:after="0" w:line="240" w:lineRule="auto"/>
    </w:pPr>
    <w:rPr>
      <w:rFonts w:ascii="Times New Roman" w:eastAsia="Times New Roman" w:hAnsi="Times New Roman" w:cs="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next w:val="TableSubtle2"/>
    <w:rsid w:val="00937DD7"/>
    <w:pPr>
      <w:spacing w:after="0" w:line="240" w:lineRule="auto"/>
    </w:pPr>
    <w:rPr>
      <w:rFonts w:ascii="Times New Roman" w:eastAsia="Times New Roman" w:hAnsi="Times New Roman" w:cs="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
    <w:name w:val="Table Theme1"/>
    <w:basedOn w:val="TableNormal"/>
    <w:next w:val="TableTheme"/>
    <w:rsid w:val="00937DD7"/>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rsid w:val="00937DD7"/>
    <w:pPr>
      <w:spacing w:after="0" w:line="240" w:lineRule="auto"/>
    </w:pPr>
    <w:rPr>
      <w:rFonts w:ascii="Times New Roman" w:eastAsia="Times New Roman" w:hAnsi="Times New Roman" w:cs="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rsid w:val="00937DD7"/>
    <w:pPr>
      <w:spacing w:after="0" w:line="240" w:lineRule="auto"/>
    </w:pPr>
    <w:rPr>
      <w:rFonts w:ascii="Times New Roman" w:eastAsia="Times New Roman" w:hAnsi="Times New Roman" w:cs="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rsid w:val="00937DD7"/>
    <w:pPr>
      <w:spacing w:after="0" w:line="240" w:lineRule="auto"/>
    </w:pPr>
    <w:rPr>
      <w:rFonts w:ascii="Times New Roman" w:eastAsia="Times New Roman" w:hAnsi="Times New Roman" w:cs="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1Light1">
    <w:name w:val="Grid Table 1 Light1"/>
    <w:basedOn w:val="TableNormal"/>
    <w:next w:val="GridTable1Light"/>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next w:val="GridTable1Light-Accent2"/>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next w:val="GridTable1Light-Accent3"/>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next w:val="GridTable1Light-Accent4"/>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next w:val="GridTable1Light-Accent5"/>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next w:val="GridTable1Light-Accent6"/>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next w:val="GridTable2"/>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next w:val="GridTable2-Accent1"/>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31">
    <w:name w:val="Grid Table 2 - Accent 31"/>
    <w:basedOn w:val="TableNormal"/>
    <w:next w:val="GridTable2-Accent3"/>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41">
    <w:name w:val="Grid Table 2 - Accent 41"/>
    <w:basedOn w:val="TableNormal"/>
    <w:next w:val="GridTable2-Accent4"/>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Accent51">
    <w:name w:val="Grid Table 2 - Accent 51"/>
    <w:basedOn w:val="TableNormal"/>
    <w:next w:val="GridTable2-Accent5"/>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2-Accent61">
    <w:name w:val="Grid Table 2 - Accent 61"/>
    <w:basedOn w:val="TableNormal"/>
    <w:next w:val="GridTable2-Accent6"/>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31">
    <w:name w:val="Grid Table 31"/>
    <w:basedOn w:val="TableNormal"/>
    <w:next w:val="GridTable3"/>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next w:val="GridTable3-Accent1"/>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3-Accent21">
    <w:name w:val="Grid Table 3 - Accent 21"/>
    <w:basedOn w:val="TableNormal"/>
    <w:next w:val="GridTable3-Accent2"/>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41">
    <w:name w:val="Grid Table 3 - Accent 41"/>
    <w:basedOn w:val="TableNormal"/>
    <w:next w:val="GridTable3-Accent4"/>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3-Accent51">
    <w:name w:val="Grid Table 3 - Accent 51"/>
    <w:basedOn w:val="TableNormal"/>
    <w:next w:val="GridTable3-Accent5"/>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3-Accent61">
    <w:name w:val="Grid Table 3 - Accent 61"/>
    <w:basedOn w:val="TableNormal"/>
    <w:next w:val="GridTable3-Accent6"/>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41">
    <w:name w:val="Grid Table 41"/>
    <w:basedOn w:val="TableNormal"/>
    <w:next w:val="GridTable4"/>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next w:val="GridTable4-Accent1"/>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1">
    <w:name w:val="Grid Table 4 - Accent 21"/>
    <w:basedOn w:val="TableNormal"/>
    <w:next w:val="GridTable4-Accent2"/>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31">
    <w:name w:val="Grid Table 4 - Accent 31"/>
    <w:basedOn w:val="TableNormal"/>
    <w:next w:val="GridTable4-Accent3"/>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51">
    <w:name w:val="Grid Table 4 - Accent 51"/>
    <w:basedOn w:val="TableNormal"/>
    <w:next w:val="GridTable4-Accent5"/>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61">
    <w:name w:val="Grid Table 4 - Accent 61"/>
    <w:basedOn w:val="TableNormal"/>
    <w:next w:val="GridTable4-Accent6"/>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5Dark1">
    <w:name w:val="Grid Table 5 Dark1"/>
    <w:basedOn w:val="TableNormal"/>
    <w:next w:val="GridTable5Dark"/>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next w:val="GridTable5Dark-Accent1"/>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5Dark-Accent21">
    <w:name w:val="Grid Table 5 Dark - Accent 21"/>
    <w:basedOn w:val="TableNormal"/>
    <w:next w:val="GridTable5Dark-Accent2"/>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5Dark-Accent31">
    <w:name w:val="Grid Table 5 Dark - Accent 31"/>
    <w:basedOn w:val="TableNormal"/>
    <w:next w:val="GridTable5Dark-Accent3"/>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41">
    <w:name w:val="Grid Table 5 Dark - Accent 41"/>
    <w:basedOn w:val="TableNormal"/>
    <w:next w:val="GridTable5Dark-Accent4"/>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61">
    <w:name w:val="Grid Table 5 Dark - Accent 61"/>
    <w:basedOn w:val="TableNormal"/>
    <w:next w:val="GridTable5Dark-Accent6"/>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6Colorful1">
    <w:name w:val="Grid Table 6 Colorful1"/>
    <w:basedOn w:val="TableNormal"/>
    <w:next w:val="GridTable6Colorful"/>
    <w:uiPriority w:val="5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next w:val="GridTable6Colorful-Accent1"/>
    <w:uiPriority w:val="51"/>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21">
    <w:name w:val="Grid Table 6 Colorful - Accent 21"/>
    <w:basedOn w:val="TableNormal"/>
    <w:next w:val="GridTable6Colorful-Accent2"/>
    <w:uiPriority w:val="51"/>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6Colorful-Accent31">
    <w:name w:val="Grid Table 6 Colorful - Accent 31"/>
    <w:basedOn w:val="TableNormal"/>
    <w:next w:val="GridTable6Colorful-Accent3"/>
    <w:uiPriority w:val="51"/>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41">
    <w:name w:val="Grid Table 6 Colorful - Accent 41"/>
    <w:basedOn w:val="TableNormal"/>
    <w:next w:val="GridTable6Colorful-Accent4"/>
    <w:uiPriority w:val="51"/>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6Colorful-Accent51">
    <w:name w:val="Grid Table 6 Colorful - Accent 51"/>
    <w:basedOn w:val="TableNormal"/>
    <w:next w:val="GridTable6Colorful-Accent5"/>
    <w:uiPriority w:val="51"/>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7Colorful1">
    <w:name w:val="Grid Table 7 Colorful1"/>
    <w:basedOn w:val="TableNormal"/>
    <w:next w:val="GridTable7Colorful"/>
    <w:uiPriority w:val="5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next w:val="GridTable7Colorful-Accent1"/>
    <w:uiPriority w:val="52"/>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7Colorful-Accent21">
    <w:name w:val="Grid Table 7 Colorful - Accent 21"/>
    <w:basedOn w:val="TableNormal"/>
    <w:next w:val="GridTable7Colorful-Accent2"/>
    <w:uiPriority w:val="52"/>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7Colorful-Accent31">
    <w:name w:val="Grid Table 7 Colorful - Accent 31"/>
    <w:basedOn w:val="TableNormal"/>
    <w:next w:val="GridTable7Colorful-Accent3"/>
    <w:uiPriority w:val="52"/>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7Colorful-Accent41">
    <w:name w:val="Grid Table 7 Colorful - Accent 41"/>
    <w:basedOn w:val="TableNormal"/>
    <w:next w:val="GridTable7Colorful-Accent4"/>
    <w:uiPriority w:val="52"/>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7Colorful-Accent51">
    <w:name w:val="Grid Table 7 Colorful - Accent 51"/>
    <w:basedOn w:val="TableNormal"/>
    <w:next w:val="GridTable7Colorful-Accent5"/>
    <w:uiPriority w:val="52"/>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7Colorful-Accent61">
    <w:name w:val="Grid Table 7 Colorful - Accent 61"/>
    <w:basedOn w:val="TableNormal"/>
    <w:next w:val="GridTable7Colorful-Accent6"/>
    <w:uiPriority w:val="52"/>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ListTable1Light1">
    <w:name w:val="List Table 1 Light1"/>
    <w:basedOn w:val="TableNormal"/>
    <w:next w:val="ListTable1Light"/>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21">
    <w:name w:val="List Table 1 Light - Accent 21"/>
    <w:basedOn w:val="TableNormal"/>
    <w:next w:val="ListTable1Light-Accent2"/>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1Light-Accent31">
    <w:name w:val="List Table 1 Light - Accent 31"/>
    <w:basedOn w:val="TableNormal"/>
    <w:next w:val="ListTable1Light-Accent3"/>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1Light-Accent41">
    <w:name w:val="List Table 1 Light - Accent 41"/>
    <w:basedOn w:val="TableNormal"/>
    <w:next w:val="ListTable1Light-Accent4"/>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1Light-Accent51">
    <w:name w:val="List Table 1 Light - Accent 51"/>
    <w:basedOn w:val="TableNormal"/>
    <w:next w:val="ListTable1Light-Accent5"/>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Accent61">
    <w:name w:val="List Table 1 Light - Accent 61"/>
    <w:basedOn w:val="TableNormal"/>
    <w:next w:val="ListTable1Light-Accent6"/>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21">
    <w:name w:val="List Table 21"/>
    <w:basedOn w:val="TableNormal"/>
    <w:next w:val="ListTable2"/>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next w:val="ListTable2-Accent1"/>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2-Accent31">
    <w:name w:val="List Table 2 - Accent 31"/>
    <w:basedOn w:val="TableNormal"/>
    <w:next w:val="ListTable2-Accent3"/>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41">
    <w:name w:val="List Table 2 - Accent 41"/>
    <w:basedOn w:val="TableNormal"/>
    <w:next w:val="ListTable2-Accent4"/>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2-Accent51">
    <w:name w:val="List Table 2 - Accent 51"/>
    <w:basedOn w:val="TableNormal"/>
    <w:next w:val="ListTable2-Accent5"/>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2-Accent61">
    <w:name w:val="List Table 2 - Accent 61"/>
    <w:basedOn w:val="TableNormal"/>
    <w:next w:val="ListTable2-Accent6"/>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31">
    <w:name w:val="List Table 31"/>
    <w:basedOn w:val="TableNormal"/>
    <w:next w:val="ListTable3"/>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next w:val="ListTable3-Accent1"/>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3-Accent21">
    <w:name w:val="List Table 3 - Accent 21"/>
    <w:basedOn w:val="TableNormal"/>
    <w:next w:val="ListTable3-Accent2"/>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ListTable3-Accent41">
    <w:name w:val="List Table 3 - Accent 41"/>
    <w:basedOn w:val="TableNormal"/>
    <w:next w:val="ListTable3-Accent4"/>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ListTable3-Accent51">
    <w:name w:val="List Table 3 - Accent 51"/>
    <w:basedOn w:val="TableNormal"/>
    <w:next w:val="ListTable3-Accent5"/>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customStyle="1" w:styleId="ListTable3-Accent61">
    <w:name w:val="List Table 3 - Accent 61"/>
    <w:basedOn w:val="TableNormal"/>
    <w:next w:val="ListTable3-Accent6"/>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ListTable41">
    <w:name w:val="List Table 41"/>
    <w:basedOn w:val="TableNormal"/>
    <w:next w:val="ListTable4"/>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next w:val="ListTable4-Accent1"/>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4-Accent21">
    <w:name w:val="List Table 4 - Accent 21"/>
    <w:basedOn w:val="TableNormal"/>
    <w:next w:val="ListTable4-Accent2"/>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4-Accent31">
    <w:name w:val="List Table 4 - Accent 31"/>
    <w:basedOn w:val="TableNormal"/>
    <w:next w:val="ListTable4-Accent3"/>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51">
    <w:name w:val="List Table 4 - Accent 51"/>
    <w:basedOn w:val="TableNormal"/>
    <w:next w:val="ListTable4-Accent5"/>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4-Accent61">
    <w:name w:val="List Table 4 - Accent 61"/>
    <w:basedOn w:val="TableNormal"/>
    <w:next w:val="ListTable4-Accent6"/>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5Dark1">
    <w:name w:val="List Table 5 Dark1"/>
    <w:basedOn w:val="TableNormal"/>
    <w:next w:val="ListTable5Dark"/>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next w:val="ListTable5Dark-Accent1"/>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next w:val="ListTable5Dark-Accent2"/>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next w:val="ListTable5Dark-Accent3"/>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next w:val="ListTable5Dark-Accent4"/>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next w:val="ListTable5Dark-Accent6"/>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next w:val="ListTable6Colorful"/>
    <w:uiPriority w:val="5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next w:val="ListTable6Colorful-Accent1"/>
    <w:uiPriority w:val="51"/>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6Colorful-Accent21">
    <w:name w:val="List Table 6 Colorful - Accent 21"/>
    <w:basedOn w:val="TableNormal"/>
    <w:next w:val="ListTable6Colorful-Accent2"/>
    <w:uiPriority w:val="51"/>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6Colorful-Accent31">
    <w:name w:val="List Table 6 Colorful - Accent 31"/>
    <w:basedOn w:val="TableNormal"/>
    <w:next w:val="ListTable6Colorful-Accent3"/>
    <w:uiPriority w:val="51"/>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6Colorful-Accent41">
    <w:name w:val="List Table 6 Colorful - Accent 41"/>
    <w:basedOn w:val="TableNormal"/>
    <w:next w:val="ListTable6Colorful-Accent4"/>
    <w:uiPriority w:val="51"/>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6Colorful-Accent51">
    <w:name w:val="List Table 6 Colorful - Accent 51"/>
    <w:basedOn w:val="TableNormal"/>
    <w:next w:val="ListTable6Colorful-Accent5"/>
    <w:uiPriority w:val="51"/>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7Colorful1">
    <w:name w:val="List Table 7 Colorful1"/>
    <w:basedOn w:val="TableNormal"/>
    <w:next w:val="ListTable7Colorful"/>
    <w:uiPriority w:val="5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next w:val="ListTable7Colorful-Accent1"/>
    <w:uiPriority w:val="52"/>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next w:val="ListTable7Colorful-Accent2"/>
    <w:uiPriority w:val="52"/>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next w:val="ListTable7Colorful-Accent3"/>
    <w:uiPriority w:val="52"/>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next w:val="ListTable7Colorful-Accent4"/>
    <w:uiPriority w:val="52"/>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next w:val="ListTable7Colorful-Accent5"/>
    <w:uiPriority w:val="52"/>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next w:val="ListTable7Colorful-Accent6"/>
    <w:uiPriority w:val="52"/>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next w:val="PlainTable1"/>
    <w:uiPriority w:val="4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next w:val="PlainTable2"/>
    <w:uiPriority w:val="4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next w:val="PlainTable3"/>
    <w:uiPriority w:val="4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next w:val="PlainTable4"/>
    <w:uiPriority w:val="4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next w:val="PlainTable5"/>
    <w:uiPriority w:val="45"/>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TableNormal"/>
    <w:next w:val="TableGridLight"/>
    <w:uiPriority w:val="40"/>
    <w:rsid w:val="00937DD7"/>
    <w:pPr>
      <w:spacing w:after="0" w:line="240" w:lineRule="auto"/>
    </w:pPr>
    <w:rPr>
      <w:rFonts w:ascii="Times New Roman" w:eastAsia="Times New Roman" w:hAnsi="Times New Roman" w:cs="Times New Roman"/>
      <w:sz w:val="20"/>
      <w:szCs w:val="20"/>
      <w:lang w:eastAsia="zh-C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E">
    <w:name w:val="Heading E"/>
    <w:rsid w:val="00937DD7"/>
    <w:rPr>
      <w:rFonts w:ascii="Arial CYR" w:hAnsi="Arial CYR" w:cs="Arial CYR"/>
      <w:b/>
      <w:bCs/>
      <w:i/>
      <w:iCs/>
      <w:sz w:val="22"/>
      <w:szCs w:val="22"/>
      <w:lang w:val="en-US"/>
    </w:rPr>
  </w:style>
  <w:style w:type="paragraph" w:customStyle="1" w:styleId="TitreA3">
    <w:name w:val="Titre A3"/>
    <w:basedOn w:val="Normal"/>
    <w:rsid w:val="00937DD7"/>
    <w:pPr>
      <w:suppressAutoHyphens/>
      <w:spacing w:line="240" w:lineRule="auto"/>
      <w:jc w:val="both"/>
    </w:pPr>
    <w:rPr>
      <w:rFonts w:ascii="Univers 55" w:eastAsia="Times New Roman" w:hAnsi="Univers 55" w:cs="Times New Roman"/>
      <w:b/>
      <w:bCs/>
      <w:sz w:val="24"/>
      <w:szCs w:val="24"/>
      <w:lang w:val="fr-CA" w:eastAsia="ar-SA"/>
    </w:rPr>
  </w:style>
  <w:style w:type="paragraph" w:customStyle="1" w:styleId="Titre0">
    <w:name w:val="Titre 0"/>
    <w:basedOn w:val="Normal"/>
    <w:rsid w:val="00937DD7"/>
    <w:pPr>
      <w:suppressAutoHyphens/>
      <w:spacing w:line="240" w:lineRule="auto"/>
      <w:jc w:val="both"/>
    </w:pPr>
    <w:rPr>
      <w:rFonts w:ascii="Arial" w:eastAsia="Times New Roman" w:hAnsi="Arial" w:cs="Times New Roman"/>
      <w:b/>
      <w:sz w:val="36"/>
      <w:szCs w:val="22"/>
      <w:lang w:val="fr-CA" w:eastAsia="ar-SA"/>
    </w:rPr>
  </w:style>
  <w:style w:type="character" w:customStyle="1" w:styleId="WW8Num8z3">
    <w:name w:val="WW8Num8z3"/>
    <w:rsid w:val="00937DD7"/>
    <w:rPr>
      <w:rFonts w:ascii="Symbol" w:hAnsi="Symbol"/>
    </w:rPr>
  </w:style>
  <w:style w:type="paragraph" w:customStyle="1" w:styleId="Lgende1">
    <w:name w:val="Légende1"/>
    <w:basedOn w:val="Normal"/>
    <w:next w:val="Normal"/>
    <w:rsid w:val="00937DD7"/>
    <w:pPr>
      <w:tabs>
        <w:tab w:val="left" w:pos="1080"/>
      </w:tabs>
      <w:suppressAutoHyphens/>
      <w:spacing w:line="240" w:lineRule="auto"/>
      <w:jc w:val="both"/>
    </w:pPr>
    <w:rPr>
      <w:rFonts w:ascii="Times New Roman" w:eastAsia="Times New Roman" w:hAnsi="Times New Roman" w:cs="Times New Roman"/>
      <w:b/>
      <w:bCs/>
      <w:szCs w:val="20"/>
      <w:lang w:eastAsia="ar-SA"/>
    </w:rPr>
  </w:style>
  <w:style w:type="table" w:customStyle="1" w:styleId="TableGrid110">
    <w:name w:val="Table Grid11"/>
    <w:basedOn w:val="TableNormal"/>
    <w:next w:val="TableGrid"/>
    <w:uiPriority w:val="59"/>
    <w:rsid w:val="00937DD7"/>
    <w:pPr>
      <w:spacing w:after="0" w:line="240" w:lineRule="auto"/>
    </w:pPr>
    <w:rPr>
      <w:rFonts w:ascii="Times New Roman" w:eastAsia="Times New Roman" w:hAnsi="Times New Roman" w:cs="Times New Roman"/>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wssrboxtables">
    <w:name w:val="table_wssr (box &amp; tables)"/>
    <w:basedOn w:val="Normal"/>
    <w:uiPriority w:val="99"/>
    <w:rsid w:val="00937DD7"/>
    <w:pPr>
      <w:widowControl w:val="0"/>
      <w:autoSpaceDE w:val="0"/>
      <w:autoSpaceDN w:val="0"/>
      <w:adjustRightInd w:val="0"/>
      <w:spacing w:after="200" w:line="190" w:lineRule="atLeast"/>
      <w:textAlignment w:val="center"/>
    </w:pPr>
    <w:rPr>
      <w:rFonts w:ascii="GaramondPremrPro" w:eastAsiaTheme="minorEastAsia" w:hAnsi="GaramondPremrPro" w:cs="GaramondPremrPro"/>
      <w:color w:val="000000"/>
      <w:spacing w:val="-1"/>
      <w:sz w:val="17"/>
      <w:szCs w:val="17"/>
      <w:lang w:eastAsia="fr-FR"/>
    </w:rPr>
  </w:style>
  <w:style w:type="character" w:customStyle="1" w:styleId="garambold">
    <w:name w:val="garam bold"/>
    <w:uiPriority w:val="99"/>
    <w:rsid w:val="00937DD7"/>
    <w:rPr>
      <w:rFonts w:ascii="GaramondPremrPro-Bd" w:hAnsi="GaramondPremrPro-Bd" w:cs="GaramondPremrPro-Bd"/>
      <w:b/>
      <w:bCs/>
    </w:rPr>
  </w:style>
  <w:style w:type="paragraph" w:customStyle="1" w:styleId="PMain">
    <w:name w:val="PMain"/>
    <w:aliases w:val="recommendation:,Contribution,rate,increases,are,needed,and,should,be,scheduled,according,to,a,funding,policy"/>
    <w:basedOn w:val="Normal"/>
    <w:rsid w:val="00937DD7"/>
    <w:pPr>
      <w:spacing w:line="240" w:lineRule="auto"/>
      <w:ind w:left="851"/>
    </w:pPr>
    <w:rPr>
      <w:rFonts w:ascii="Times New Roman" w:eastAsia="SimSun" w:hAnsi="Times New Roman" w:cs="Times New Roman"/>
      <w:color w:val="000000"/>
      <w:sz w:val="24"/>
      <w:szCs w:val="24"/>
    </w:rPr>
  </w:style>
  <w:style w:type="paragraph" w:customStyle="1" w:styleId="Headinglevel5">
    <w:name w:val="Heading level 5"/>
    <w:basedOn w:val="Headinglevel4"/>
    <w:link w:val="Headinglevel5Char"/>
    <w:uiPriority w:val="30"/>
    <w:qFormat/>
    <w:rsid w:val="000B4912"/>
    <w:pPr>
      <w:tabs>
        <w:tab w:val="left" w:pos="851"/>
      </w:tabs>
      <w:jc w:val="both"/>
    </w:pPr>
    <w:rPr>
      <w:b w:val="0"/>
      <w:i/>
      <w:color w:val="1E0050"/>
    </w:rPr>
  </w:style>
  <w:style w:type="paragraph" w:customStyle="1" w:styleId="Table">
    <w:name w:val="Table"/>
    <w:basedOn w:val="Normal"/>
    <w:rsid w:val="00937DD7"/>
    <w:pPr>
      <w:tabs>
        <w:tab w:val="left" w:pos="4570"/>
      </w:tabs>
      <w:autoSpaceDE w:val="0"/>
      <w:autoSpaceDN w:val="0"/>
      <w:adjustRightInd w:val="0"/>
      <w:ind w:left="70"/>
    </w:pPr>
    <w:rPr>
      <w:rFonts w:ascii="Arial" w:hAnsi="Arial" w:cs="Arial"/>
      <w:b/>
      <w:bCs/>
      <w:color w:val="000000"/>
      <w:sz w:val="22"/>
      <w:szCs w:val="22"/>
    </w:rPr>
  </w:style>
  <w:style w:type="character" w:customStyle="1" w:styleId="Headinglevel4Char">
    <w:name w:val="Heading level 4 Char"/>
    <w:basedOn w:val="DefaultParagraphFont"/>
    <w:link w:val="Headinglevel4"/>
    <w:uiPriority w:val="3"/>
    <w:rsid w:val="00937DD7"/>
    <w:rPr>
      <w:rFonts w:ascii="Overpass" w:hAnsi="Overpass" w:cs="Noto Sans"/>
      <w:b/>
      <w:color w:val="230050"/>
      <w:lang w:val="en-US"/>
    </w:rPr>
  </w:style>
  <w:style w:type="character" w:customStyle="1" w:styleId="Headinglevel5Char">
    <w:name w:val="Heading level 5 Char"/>
    <w:basedOn w:val="Headinglevel4Char"/>
    <w:link w:val="Headinglevel5"/>
    <w:uiPriority w:val="30"/>
    <w:rsid w:val="000B4912"/>
    <w:rPr>
      <w:rFonts w:ascii="Overpass" w:hAnsi="Overpass" w:cs="Noto Sans"/>
      <w:b w:val="0"/>
      <w:i/>
      <w:color w:val="1E0050"/>
      <w:lang w:val="en-US"/>
    </w:rPr>
  </w:style>
  <w:style w:type="character" w:customStyle="1" w:styleId="UnresolvedMention2">
    <w:name w:val="Unresolved Mention2"/>
    <w:basedOn w:val="DefaultParagraphFont"/>
    <w:uiPriority w:val="99"/>
    <w:semiHidden/>
    <w:unhideWhenUsed/>
    <w:rsid w:val="00937DD7"/>
    <w:rPr>
      <w:color w:val="605E5C"/>
      <w:shd w:val="clear" w:color="auto" w:fill="E1DFDD"/>
    </w:rPr>
  </w:style>
  <w:style w:type="paragraph" w:customStyle="1" w:styleId="ILObrief">
    <w:name w:val="ILO brief"/>
    <w:basedOn w:val="Normal"/>
    <w:link w:val="ILObriefChar"/>
    <w:qFormat/>
    <w:rsid w:val="00937DD7"/>
    <w:pPr>
      <w:pBdr>
        <w:top w:val="nil"/>
        <w:left w:val="nil"/>
        <w:bottom w:val="nil"/>
        <w:right w:val="nil"/>
        <w:between w:val="nil"/>
        <w:bar w:val="nil"/>
      </w:pBdr>
      <w:spacing w:before="60" w:after="60" w:line="220" w:lineRule="exact"/>
      <w:ind w:left="360"/>
      <w:jc w:val="both"/>
    </w:pPr>
    <w:rPr>
      <w:rFonts w:ascii="Overpass" w:eastAsia="Arial Unicode MS" w:hAnsi="Overpass" w:cs="Times New Roman"/>
      <w:b/>
      <w:color w:val="FFFFFF" w:themeColor="background1"/>
      <w:sz w:val="22"/>
      <w:szCs w:val="24"/>
      <w:bdr w:val="nil"/>
    </w:rPr>
  </w:style>
  <w:style w:type="character" w:customStyle="1" w:styleId="ILObriefChar">
    <w:name w:val="ILO brief Char"/>
    <w:basedOn w:val="DefaultParagraphFont"/>
    <w:link w:val="ILObrief"/>
    <w:rsid w:val="00937DD7"/>
    <w:rPr>
      <w:rFonts w:ascii="Overpass" w:eastAsia="Arial Unicode MS" w:hAnsi="Overpass" w:cs="Times New Roman"/>
      <w:b/>
      <w:color w:val="FFFFFF" w:themeColor="background1"/>
      <w:szCs w:val="24"/>
      <w:bdr w:val="nil"/>
    </w:rPr>
  </w:style>
  <w:style w:type="character" w:customStyle="1" w:styleId="ListParagraphChar">
    <w:name w:val="List Paragraph Char"/>
    <w:aliases w:val="Bullets Char,Fundamentacion Char"/>
    <w:link w:val="ListParagraph"/>
    <w:uiPriority w:val="34"/>
    <w:locked/>
    <w:rsid w:val="00937DD7"/>
    <w:rPr>
      <w:rFonts w:ascii="Noto Sans" w:hAnsi="Noto Sans" w:cs="Noto Sans"/>
      <w:sz w:val="18"/>
      <w:szCs w:val="18"/>
      <w:lang w:val="en-GB"/>
    </w:rPr>
  </w:style>
  <w:style w:type="paragraph" w:customStyle="1" w:styleId="Listbulletbox">
    <w:name w:val="List bullet box"/>
    <w:basedOn w:val="ListBullet1"/>
    <w:uiPriority w:val="99"/>
    <w:qFormat/>
    <w:rsid w:val="00D87952"/>
    <w:rPr>
      <w:sz w:val="18"/>
    </w:rPr>
  </w:style>
  <w:style w:type="paragraph" w:customStyle="1" w:styleId="Headerpair">
    <w:name w:val="Header pair"/>
    <w:basedOn w:val="Header"/>
    <w:uiPriority w:val="30"/>
    <w:qFormat/>
    <w:rsid w:val="00A60F88"/>
    <w:pPr>
      <w:tabs>
        <w:tab w:val="clear" w:pos="227"/>
        <w:tab w:val="clear" w:pos="10204"/>
        <w:tab w:val="left" w:pos="4395"/>
        <w:tab w:val="left" w:pos="4536"/>
        <w:tab w:val="right" w:pos="9070"/>
      </w:tabs>
    </w:pPr>
    <w:rPr>
      <w:spacing w:val="-2"/>
    </w:rPr>
  </w:style>
  <w:style w:type="paragraph" w:styleId="E-mailSignature">
    <w:name w:val="E-mail Signature"/>
    <w:basedOn w:val="Normal"/>
    <w:link w:val="E-mailSignatureChar"/>
    <w:uiPriority w:val="99"/>
    <w:rsid w:val="00447FC0"/>
    <w:pPr>
      <w:spacing w:line="240" w:lineRule="auto"/>
    </w:pPr>
    <w:rPr>
      <w:rFonts w:ascii="Times New Roman" w:eastAsia="Times New Roman" w:hAnsi="Times New Roman" w:cs="Times New Roman"/>
      <w:sz w:val="24"/>
      <w:szCs w:val="24"/>
      <w:lang w:val="en-US"/>
    </w:rPr>
  </w:style>
  <w:style w:type="character" w:customStyle="1" w:styleId="E-mailSignatureChar">
    <w:name w:val="E-mail Signature Char"/>
    <w:basedOn w:val="DefaultParagraphFont"/>
    <w:link w:val="E-mailSignature"/>
    <w:uiPriority w:val="99"/>
    <w:rsid w:val="00447FC0"/>
    <w:rPr>
      <w:rFonts w:ascii="Times New Roman" w:eastAsia="Times New Roman" w:hAnsi="Times New Roman" w:cs="Times New Roman"/>
      <w:sz w:val="24"/>
      <w:szCs w:val="24"/>
      <w:lang w:val="en-US"/>
    </w:rPr>
  </w:style>
  <w:style w:type="paragraph" w:customStyle="1" w:styleId="Textedebulles1">
    <w:name w:val="Texte de bulles1"/>
    <w:basedOn w:val="Normal"/>
    <w:uiPriority w:val="99"/>
    <w:semiHidden/>
    <w:rsid w:val="00447FC0"/>
    <w:pPr>
      <w:spacing w:line="240" w:lineRule="auto"/>
    </w:pPr>
    <w:rPr>
      <w:rFonts w:ascii="Tahoma" w:eastAsia="Times New Roman" w:hAnsi="Tahoma" w:cs="Tahoma"/>
      <w:szCs w:val="16"/>
      <w:lang w:val="en-US"/>
    </w:rPr>
  </w:style>
  <w:style w:type="paragraph" w:customStyle="1" w:styleId="CommentSubject1">
    <w:name w:val="Comment Subject1"/>
    <w:basedOn w:val="CommentText"/>
    <w:next w:val="CommentText"/>
    <w:semiHidden/>
    <w:rsid w:val="00447FC0"/>
    <w:rPr>
      <w:rFonts w:ascii="Times New Roman" w:eastAsia="Times New Roman" w:hAnsi="Times New Roman" w:cs="Times New Roman"/>
      <w:b/>
      <w:bCs/>
      <w:lang w:val="en-US"/>
    </w:rPr>
  </w:style>
  <w:style w:type="paragraph" w:customStyle="1" w:styleId="Ntableau">
    <w:name w:val="N° tableau"/>
    <w:basedOn w:val="Normal"/>
    <w:uiPriority w:val="99"/>
    <w:semiHidden/>
    <w:rsid w:val="00447FC0"/>
    <w:pPr>
      <w:keepLines/>
      <w:widowControl w:val="0"/>
      <w:spacing w:line="320" w:lineRule="auto"/>
      <w:jc w:val="center"/>
    </w:pPr>
    <w:rPr>
      <w:rFonts w:ascii="Helvetica" w:eastAsia="Times New Roman" w:hAnsi="Helvetica" w:cs="Times New Roman"/>
      <w:b/>
      <w:bCs/>
      <w:noProof/>
      <w:sz w:val="22"/>
      <w:szCs w:val="20"/>
      <w:lang w:eastAsia="fr-FR"/>
    </w:rPr>
  </w:style>
  <w:style w:type="paragraph" w:customStyle="1" w:styleId="PartX">
    <w:name w:val="Part X"/>
    <w:basedOn w:val="Normal"/>
    <w:uiPriority w:val="99"/>
    <w:rsid w:val="00447FC0"/>
    <w:pPr>
      <w:spacing w:after="240" w:line="240" w:lineRule="auto"/>
      <w:jc w:val="both"/>
    </w:pPr>
    <w:rPr>
      <w:rFonts w:ascii="Arial" w:eastAsia="Times New Roman" w:hAnsi="Arial" w:cs="Arial"/>
      <w:b/>
      <w:bCs/>
      <w:kern w:val="32"/>
      <w:sz w:val="32"/>
      <w:szCs w:val="32"/>
      <w:lang w:eastAsia="fr-FR"/>
    </w:rPr>
  </w:style>
  <w:style w:type="paragraph" w:customStyle="1" w:styleId="X">
    <w:name w:val="X"/>
    <w:basedOn w:val="Normal"/>
    <w:uiPriority w:val="99"/>
    <w:rsid w:val="00447FC0"/>
    <w:pPr>
      <w:spacing w:line="240" w:lineRule="auto"/>
      <w:jc w:val="both"/>
    </w:pPr>
    <w:rPr>
      <w:rFonts w:ascii="Arial" w:eastAsia="Times New Roman" w:hAnsi="Arial" w:cs="Arial"/>
      <w:b/>
      <w:bCs/>
      <w:kern w:val="28"/>
      <w:sz w:val="28"/>
      <w:szCs w:val="28"/>
      <w:lang w:eastAsia="fr-FR"/>
    </w:rPr>
  </w:style>
  <w:style w:type="paragraph" w:customStyle="1" w:styleId="XX">
    <w:name w:val="X.X"/>
    <w:basedOn w:val="Normal"/>
    <w:uiPriority w:val="99"/>
    <w:rsid w:val="00447FC0"/>
    <w:pPr>
      <w:spacing w:before="240" w:after="240" w:line="240" w:lineRule="auto"/>
      <w:jc w:val="both"/>
    </w:pPr>
    <w:rPr>
      <w:rFonts w:ascii="Arial" w:eastAsia="Times New Roman" w:hAnsi="Arial" w:cs="Arial"/>
      <w:b/>
      <w:bCs/>
      <w:kern w:val="24"/>
      <w:sz w:val="24"/>
      <w:szCs w:val="24"/>
      <w:lang w:eastAsia="fr-FR"/>
    </w:rPr>
  </w:style>
  <w:style w:type="paragraph" w:customStyle="1" w:styleId="XXX">
    <w:name w:val="X.X.X"/>
    <w:basedOn w:val="Normal"/>
    <w:uiPriority w:val="99"/>
    <w:rsid w:val="00447FC0"/>
    <w:pPr>
      <w:spacing w:line="240" w:lineRule="auto"/>
      <w:jc w:val="both"/>
    </w:pPr>
    <w:rPr>
      <w:rFonts w:ascii="Arial" w:eastAsia="Times New Roman" w:hAnsi="Arial" w:cs="Arial"/>
      <w:b/>
      <w:bCs/>
      <w:kern w:val="20"/>
      <w:sz w:val="22"/>
      <w:szCs w:val="22"/>
      <w:lang w:eastAsia="fr-FR"/>
    </w:rPr>
  </w:style>
  <w:style w:type="paragraph" w:customStyle="1" w:styleId="Tableau">
    <w:name w:val="Tableau"/>
    <w:basedOn w:val="Normal"/>
    <w:uiPriority w:val="99"/>
    <w:rsid w:val="00447FC0"/>
    <w:pPr>
      <w:spacing w:line="240" w:lineRule="auto"/>
      <w:jc w:val="both"/>
    </w:pPr>
    <w:rPr>
      <w:rFonts w:ascii="Times New Roman" w:eastAsia="Times New Roman" w:hAnsi="Times New Roman" w:cs="Times New Roman"/>
      <w:b/>
      <w:bCs/>
      <w:sz w:val="22"/>
      <w:szCs w:val="20"/>
      <w:lang w:eastAsia="fr-FR"/>
    </w:rPr>
  </w:style>
  <w:style w:type="paragraph" w:customStyle="1" w:styleId="Graph">
    <w:name w:val="Graph"/>
    <w:basedOn w:val="Tableau"/>
    <w:uiPriority w:val="99"/>
    <w:rsid w:val="00447FC0"/>
  </w:style>
  <w:style w:type="paragraph" w:customStyle="1" w:styleId="tableau1">
    <w:name w:val="tableau 1"/>
    <w:basedOn w:val="Normal"/>
    <w:uiPriority w:val="99"/>
    <w:rsid w:val="00447FC0"/>
    <w:pPr>
      <w:autoSpaceDE w:val="0"/>
      <w:autoSpaceDN w:val="0"/>
      <w:adjustRightInd w:val="0"/>
      <w:spacing w:line="240" w:lineRule="auto"/>
      <w:jc w:val="both"/>
    </w:pPr>
    <w:rPr>
      <w:rFonts w:ascii="Times New Roman" w:eastAsia="Times New Roman" w:hAnsi="Times New Roman" w:cs="Times New Roman"/>
      <w:b/>
      <w:bCs/>
      <w:sz w:val="22"/>
      <w:szCs w:val="22"/>
      <w:lang w:val="en-CA" w:eastAsia="fr-FR"/>
    </w:rPr>
  </w:style>
  <w:style w:type="paragraph" w:customStyle="1" w:styleId="Annex">
    <w:name w:val="Annex"/>
    <w:basedOn w:val="X"/>
    <w:uiPriority w:val="99"/>
    <w:rsid w:val="00447FC0"/>
  </w:style>
  <w:style w:type="character" w:customStyle="1" w:styleId="XCar">
    <w:name w:val="X Car"/>
    <w:uiPriority w:val="99"/>
    <w:rsid w:val="00447FC0"/>
    <w:rPr>
      <w:rFonts w:ascii="Arial" w:hAnsi="Arial" w:cs="Arial"/>
      <w:b/>
      <w:bCs/>
      <w:kern w:val="28"/>
      <w:sz w:val="28"/>
      <w:szCs w:val="28"/>
      <w:lang w:val="en-GB" w:eastAsia="fr-FR" w:bidi="ar-SA"/>
    </w:rPr>
  </w:style>
  <w:style w:type="character" w:customStyle="1" w:styleId="TableauCar">
    <w:name w:val="Tableau Car"/>
    <w:uiPriority w:val="99"/>
    <w:rsid w:val="00447FC0"/>
    <w:rPr>
      <w:b/>
      <w:bCs/>
      <w:sz w:val="22"/>
      <w:lang w:val="en-GB" w:eastAsia="fr-FR" w:bidi="ar-SA"/>
    </w:rPr>
  </w:style>
  <w:style w:type="table" w:customStyle="1" w:styleId="Classique1">
    <w:name w:val="Classique 1"/>
    <w:basedOn w:val="TableNormal"/>
    <w:uiPriority w:val="99"/>
    <w:rsid w:val="00447FC0"/>
    <w:pPr>
      <w:spacing w:after="0" w:line="240" w:lineRule="auto"/>
    </w:pPr>
    <w:rPr>
      <w:rFonts w:ascii="Times New Roman" w:eastAsia="Times New Roman" w:hAnsi="Times New Roman" w:cs="Times New Roman"/>
      <w:sz w:val="20"/>
      <w:szCs w:val="20"/>
      <w:lang w:val="fr-CA" w:eastAsia="fr-CA"/>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BalloonText1">
    <w:name w:val="Balloon Text1"/>
    <w:basedOn w:val="Normal"/>
    <w:uiPriority w:val="99"/>
    <w:semiHidden/>
    <w:rsid w:val="00447FC0"/>
    <w:pPr>
      <w:spacing w:line="240" w:lineRule="auto"/>
    </w:pPr>
    <w:rPr>
      <w:rFonts w:ascii="Tahoma" w:eastAsia="Times New Roman" w:hAnsi="Tahoma" w:cs="Tahoma"/>
      <w:szCs w:val="16"/>
      <w:lang w:val="en-US"/>
    </w:rPr>
  </w:style>
  <w:style w:type="character" w:customStyle="1" w:styleId="CarCar">
    <w:name w:val="Car Car"/>
    <w:uiPriority w:val="99"/>
    <w:rsid w:val="00447FC0"/>
    <w:rPr>
      <w:rFonts w:ascii="Arial" w:hAnsi="Arial" w:cs="Arial"/>
      <w:sz w:val="12"/>
      <w:szCs w:val="22"/>
      <w:lang w:val="en-US" w:eastAsia="en-US" w:bidi="ar-SA"/>
    </w:rPr>
  </w:style>
  <w:style w:type="paragraph" w:customStyle="1" w:styleId="CommentSubject11">
    <w:name w:val="Comment Subject11"/>
    <w:basedOn w:val="CommentText"/>
    <w:next w:val="CommentText"/>
    <w:uiPriority w:val="99"/>
    <w:semiHidden/>
    <w:rsid w:val="00447FC0"/>
    <w:rPr>
      <w:rFonts w:ascii="Times New Roman" w:eastAsia="Times New Roman" w:hAnsi="Times New Roman" w:cs="Times New Roman"/>
      <w:b/>
      <w:bCs/>
      <w:lang w:val="en-US"/>
    </w:rPr>
  </w:style>
  <w:style w:type="paragraph" w:customStyle="1" w:styleId="Textedebulles11">
    <w:name w:val="Texte de bulles11"/>
    <w:basedOn w:val="Normal"/>
    <w:uiPriority w:val="99"/>
    <w:semiHidden/>
    <w:rsid w:val="00447FC0"/>
    <w:pPr>
      <w:spacing w:line="240" w:lineRule="auto"/>
    </w:pPr>
    <w:rPr>
      <w:rFonts w:ascii="Tahoma" w:eastAsia="Times New Roman" w:hAnsi="Tahoma" w:cs="Tahoma"/>
      <w:szCs w:val="16"/>
      <w:lang w:val="en-US"/>
    </w:rPr>
  </w:style>
  <w:style w:type="character" w:customStyle="1" w:styleId="CarCar1">
    <w:name w:val="Car Car1"/>
    <w:uiPriority w:val="99"/>
    <w:rsid w:val="00447FC0"/>
    <w:rPr>
      <w:rFonts w:ascii="Arial" w:hAnsi="Arial" w:cs="Arial"/>
      <w:sz w:val="22"/>
      <w:szCs w:val="22"/>
      <w:lang w:val="en-US" w:eastAsia="en-US" w:bidi="ar-SA"/>
    </w:rPr>
  </w:style>
  <w:style w:type="paragraph" w:customStyle="1" w:styleId="Titresection">
    <w:name w:val="Titre section"/>
    <w:aliases w:val="ts"/>
    <w:basedOn w:val="Normal"/>
    <w:next w:val="Normal"/>
    <w:uiPriority w:val="99"/>
    <w:rsid w:val="00447FC0"/>
    <w:pPr>
      <w:spacing w:after="1200" w:line="360" w:lineRule="atLeast"/>
      <w:ind w:left="2160" w:right="-720"/>
    </w:pPr>
    <w:rPr>
      <w:rFonts w:ascii="Arial" w:eastAsia="PMingLiU" w:hAnsi="Arial" w:cs="Times New Roman"/>
      <w:b/>
      <w:sz w:val="72"/>
      <w:szCs w:val="24"/>
      <w:lang w:val="en-US"/>
    </w:rPr>
  </w:style>
  <w:style w:type="character" w:styleId="UnresolvedMention">
    <w:name w:val="Unresolved Mention"/>
    <w:uiPriority w:val="99"/>
    <w:semiHidden/>
    <w:unhideWhenUsed/>
    <w:rsid w:val="00447FC0"/>
    <w:rPr>
      <w:color w:val="808080"/>
      <w:shd w:val="clear" w:color="auto" w:fill="E6E6E6"/>
    </w:rPr>
  </w:style>
  <w:style w:type="character" w:customStyle="1" w:styleId="DefaultFontHxMailStyle">
    <w:name w:val="Default Font HxMail Style"/>
    <w:basedOn w:val="DefaultParagraphFont"/>
    <w:rsid w:val="00447FC0"/>
    <w:rPr>
      <w:rFonts w:ascii="Calibri" w:hAnsi="Calibri" w:cs="Calibri" w:hint="default"/>
      <w:b w:val="0"/>
      <w:bCs w:val="0"/>
      <w:i w:val="0"/>
      <w:iCs w:val="0"/>
      <w:strike w:val="0"/>
      <w:dstrike w:val="0"/>
      <w:color w:val="auto"/>
      <w:u w:val="none"/>
      <w:effect w:val="none"/>
    </w:rPr>
  </w:style>
  <w:style w:type="paragraph" w:customStyle="1" w:styleId="Headlevel5">
    <w:name w:val="Head level 5"/>
    <w:basedOn w:val="Heading4"/>
    <w:rsid w:val="00E20F6A"/>
  </w:style>
  <w:style w:type="paragraph" w:customStyle="1" w:styleId="TOCFiguresTables">
    <w:name w:val="TOC FiguresTables"/>
    <w:basedOn w:val="Normal"/>
    <w:rsid w:val="002A7444"/>
    <w:pPr>
      <w:tabs>
        <w:tab w:val="right" w:leader="dot" w:pos="8505"/>
        <w:tab w:val="right" w:pos="9072"/>
      </w:tabs>
      <w:spacing w:line="240" w:lineRule="auto"/>
      <w:ind w:left="1417" w:hanging="1077"/>
      <w:jc w:val="both"/>
    </w:pPr>
    <w:rPr>
      <w:rFonts w:cstheme="minorBidi"/>
      <w:szCs w:val="20"/>
    </w:rPr>
  </w:style>
  <w:style w:type="character" w:styleId="Mention">
    <w:name w:val="Mention"/>
    <w:basedOn w:val="DefaultParagraphFont"/>
    <w:uiPriority w:val="99"/>
    <w:unhideWhenUsed/>
    <w:rsid w:val="00DF171F"/>
    <w:rPr>
      <w:color w:val="2B579A"/>
      <w:shd w:val="clear" w:color="auto" w:fill="E1DFDD"/>
    </w:rPr>
  </w:style>
  <w:style w:type="numbering" w:customStyle="1" w:styleId="MJ1">
    <w:name w:val="MJ1"/>
    <w:uiPriority w:val="99"/>
    <w:rsid w:val="004C2B95"/>
    <w:pPr>
      <w:numPr>
        <w:numId w:val="23"/>
      </w:numPr>
    </w:pPr>
  </w:style>
  <w:style w:type="character" w:customStyle="1" w:styleId="NormalBodyChar">
    <w:name w:val="NormalBody Char"/>
    <w:basedOn w:val="DefaultParagraphFont"/>
    <w:link w:val="NormalBody"/>
    <w:uiPriority w:val="4"/>
    <w:rsid w:val="008A16B5"/>
    <w:rPr>
      <w:rFonts w:ascii="Noto Sans" w:eastAsia="SimSun" w:hAnsi="Noto Sans" w:cs="Noto Sans"/>
      <w:sz w:val="20"/>
      <w:szCs w:val="16"/>
      <w:lang w:val="en-GB"/>
    </w:rPr>
  </w:style>
  <w:style w:type="character" w:customStyle="1" w:styleId="relative">
    <w:name w:val="relative"/>
    <w:basedOn w:val="DefaultParagraphFont"/>
    <w:rsid w:val="002D1D85"/>
  </w:style>
  <w:style w:type="paragraph" w:customStyle="1" w:styleId="Caption1Indent">
    <w:name w:val="Caption (1 Indent)"/>
    <w:basedOn w:val="Caption"/>
    <w:link w:val="Caption1IndentChar"/>
    <w:uiPriority w:val="30"/>
    <w:qFormat/>
    <w:rsid w:val="00B21BC7"/>
  </w:style>
  <w:style w:type="character" w:customStyle="1" w:styleId="Caption1IndentChar">
    <w:name w:val="Caption (1 Indent) Char"/>
    <w:basedOn w:val="CaptionChar"/>
    <w:link w:val="Caption1Indent"/>
    <w:uiPriority w:val="30"/>
    <w:rsid w:val="00B21BC7"/>
    <w:rPr>
      <w:rFonts w:ascii="Noto Sans" w:hAnsi="Noto Sans" w:cs="Noto Sans"/>
      <w:b/>
      <w:bCs/>
      <w:color w:val="808080" w:themeColor="background1" w:themeShade="80"/>
      <w:sz w:val="20"/>
      <w:szCs w:val="18"/>
    </w:rPr>
  </w:style>
  <w:style w:type="paragraph" w:customStyle="1" w:styleId="Caption2indents">
    <w:name w:val="Caption (2 indents)"/>
    <w:basedOn w:val="Caption1Indent"/>
    <w:link w:val="Caption2indentsChar"/>
    <w:uiPriority w:val="30"/>
    <w:qFormat/>
    <w:rsid w:val="00B21BC7"/>
    <w:pPr>
      <w:ind w:left="1170"/>
    </w:pPr>
  </w:style>
  <w:style w:type="character" w:customStyle="1" w:styleId="Caption2indentsChar">
    <w:name w:val="Caption (2 indents) Char"/>
    <w:basedOn w:val="Caption1IndentChar"/>
    <w:link w:val="Caption2indents"/>
    <w:uiPriority w:val="30"/>
    <w:rsid w:val="00B21BC7"/>
    <w:rPr>
      <w:rFonts w:ascii="Noto Sans" w:hAnsi="Noto Sans" w:cs="Noto Sans"/>
      <w:b/>
      <w:bCs/>
      <w:color w:val="808080" w:themeColor="background1" w:themeShade="80"/>
      <w:sz w:val="20"/>
      <w:szCs w:val="18"/>
    </w:rPr>
  </w:style>
  <w:style w:type="paragraph" w:customStyle="1" w:styleId="TitreEncadr">
    <w:name w:val="Titre Encadré"/>
    <w:basedOn w:val="NormalBody"/>
    <w:link w:val="TitreEncadrChar"/>
    <w:uiPriority w:val="30"/>
    <w:qFormat/>
    <w:rsid w:val="00481CF1"/>
    <w:rPr>
      <w:bCs/>
      <w:lang w:val="fr-CH"/>
    </w:rPr>
  </w:style>
  <w:style w:type="character" w:customStyle="1" w:styleId="TitreEncadrChar">
    <w:name w:val="Titre Encadré Char"/>
    <w:basedOn w:val="NormalBodyChar"/>
    <w:link w:val="TitreEncadr"/>
    <w:uiPriority w:val="30"/>
    <w:rsid w:val="00481CF1"/>
    <w:rPr>
      <w:rFonts w:ascii="Noto Sans" w:eastAsia="SimSun" w:hAnsi="Noto Sans" w:cs="Noto Sans"/>
      <w:bCs/>
      <w:sz w:val="20"/>
      <w:szCs w:val="16"/>
      <w:lang w:val="en-GB"/>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876">
      <w:bodyDiv w:val="1"/>
      <w:marLeft w:val="0"/>
      <w:marRight w:val="0"/>
      <w:marTop w:val="0"/>
      <w:marBottom w:val="0"/>
      <w:divBdr>
        <w:top w:val="none" w:sz="0" w:space="0" w:color="auto"/>
        <w:left w:val="none" w:sz="0" w:space="0" w:color="auto"/>
        <w:bottom w:val="none" w:sz="0" w:space="0" w:color="auto"/>
        <w:right w:val="none" w:sz="0" w:space="0" w:color="auto"/>
      </w:divBdr>
    </w:div>
    <w:div w:id="9918712">
      <w:bodyDiv w:val="1"/>
      <w:marLeft w:val="0"/>
      <w:marRight w:val="0"/>
      <w:marTop w:val="0"/>
      <w:marBottom w:val="0"/>
      <w:divBdr>
        <w:top w:val="none" w:sz="0" w:space="0" w:color="auto"/>
        <w:left w:val="none" w:sz="0" w:space="0" w:color="auto"/>
        <w:bottom w:val="none" w:sz="0" w:space="0" w:color="auto"/>
        <w:right w:val="none" w:sz="0" w:space="0" w:color="auto"/>
      </w:divBdr>
    </w:div>
    <w:div w:id="13504909">
      <w:bodyDiv w:val="1"/>
      <w:marLeft w:val="0"/>
      <w:marRight w:val="0"/>
      <w:marTop w:val="0"/>
      <w:marBottom w:val="0"/>
      <w:divBdr>
        <w:top w:val="none" w:sz="0" w:space="0" w:color="auto"/>
        <w:left w:val="none" w:sz="0" w:space="0" w:color="auto"/>
        <w:bottom w:val="none" w:sz="0" w:space="0" w:color="auto"/>
        <w:right w:val="none" w:sz="0" w:space="0" w:color="auto"/>
      </w:divBdr>
    </w:div>
    <w:div w:id="13583387">
      <w:bodyDiv w:val="1"/>
      <w:marLeft w:val="0"/>
      <w:marRight w:val="0"/>
      <w:marTop w:val="0"/>
      <w:marBottom w:val="0"/>
      <w:divBdr>
        <w:top w:val="none" w:sz="0" w:space="0" w:color="auto"/>
        <w:left w:val="none" w:sz="0" w:space="0" w:color="auto"/>
        <w:bottom w:val="none" w:sz="0" w:space="0" w:color="auto"/>
        <w:right w:val="none" w:sz="0" w:space="0" w:color="auto"/>
      </w:divBdr>
    </w:div>
    <w:div w:id="13655612">
      <w:bodyDiv w:val="1"/>
      <w:marLeft w:val="0"/>
      <w:marRight w:val="0"/>
      <w:marTop w:val="0"/>
      <w:marBottom w:val="0"/>
      <w:divBdr>
        <w:top w:val="none" w:sz="0" w:space="0" w:color="auto"/>
        <w:left w:val="none" w:sz="0" w:space="0" w:color="auto"/>
        <w:bottom w:val="none" w:sz="0" w:space="0" w:color="auto"/>
        <w:right w:val="none" w:sz="0" w:space="0" w:color="auto"/>
      </w:divBdr>
    </w:div>
    <w:div w:id="13767992">
      <w:bodyDiv w:val="1"/>
      <w:marLeft w:val="0"/>
      <w:marRight w:val="0"/>
      <w:marTop w:val="0"/>
      <w:marBottom w:val="0"/>
      <w:divBdr>
        <w:top w:val="none" w:sz="0" w:space="0" w:color="auto"/>
        <w:left w:val="none" w:sz="0" w:space="0" w:color="auto"/>
        <w:bottom w:val="none" w:sz="0" w:space="0" w:color="auto"/>
        <w:right w:val="none" w:sz="0" w:space="0" w:color="auto"/>
      </w:divBdr>
    </w:div>
    <w:div w:id="16930846">
      <w:bodyDiv w:val="1"/>
      <w:marLeft w:val="0"/>
      <w:marRight w:val="0"/>
      <w:marTop w:val="0"/>
      <w:marBottom w:val="0"/>
      <w:divBdr>
        <w:top w:val="none" w:sz="0" w:space="0" w:color="auto"/>
        <w:left w:val="none" w:sz="0" w:space="0" w:color="auto"/>
        <w:bottom w:val="none" w:sz="0" w:space="0" w:color="auto"/>
        <w:right w:val="none" w:sz="0" w:space="0" w:color="auto"/>
      </w:divBdr>
    </w:div>
    <w:div w:id="21173215">
      <w:bodyDiv w:val="1"/>
      <w:marLeft w:val="0"/>
      <w:marRight w:val="0"/>
      <w:marTop w:val="0"/>
      <w:marBottom w:val="0"/>
      <w:divBdr>
        <w:top w:val="none" w:sz="0" w:space="0" w:color="auto"/>
        <w:left w:val="none" w:sz="0" w:space="0" w:color="auto"/>
        <w:bottom w:val="none" w:sz="0" w:space="0" w:color="auto"/>
        <w:right w:val="none" w:sz="0" w:space="0" w:color="auto"/>
      </w:divBdr>
    </w:div>
    <w:div w:id="22219468">
      <w:bodyDiv w:val="1"/>
      <w:marLeft w:val="0"/>
      <w:marRight w:val="0"/>
      <w:marTop w:val="0"/>
      <w:marBottom w:val="0"/>
      <w:divBdr>
        <w:top w:val="none" w:sz="0" w:space="0" w:color="auto"/>
        <w:left w:val="none" w:sz="0" w:space="0" w:color="auto"/>
        <w:bottom w:val="none" w:sz="0" w:space="0" w:color="auto"/>
        <w:right w:val="none" w:sz="0" w:space="0" w:color="auto"/>
      </w:divBdr>
    </w:div>
    <w:div w:id="22370836">
      <w:bodyDiv w:val="1"/>
      <w:marLeft w:val="0"/>
      <w:marRight w:val="0"/>
      <w:marTop w:val="0"/>
      <w:marBottom w:val="0"/>
      <w:divBdr>
        <w:top w:val="none" w:sz="0" w:space="0" w:color="auto"/>
        <w:left w:val="none" w:sz="0" w:space="0" w:color="auto"/>
        <w:bottom w:val="none" w:sz="0" w:space="0" w:color="auto"/>
        <w:right w:val="none" w:sz="0" w:space="0" w:color="auto"/>
      </w:divBdr>
    </w:div>
    <w:div w:id="24522014">
      <w:bodyDiv w:val="1"/>
      <w:marLeft w:val="0"/>
      <w:marRight w:val="0"/>
      <w:marTop w:val="0"/>
      <w:marBottom w:val="0"/>
      <w:divBdr>
        <w:top w:val="none" w:sz="0" w:space="0" w:color="auto"/>
        <w:left w:val="none" w:sz="0" w:space="0" w:color="auto"/>
        <w:bottom w:val="none" w:sz="0" w:space="0" w:color="auto"/>
        <w:right w:val="none" w:sz="0" w:space="0" w:color="auto"/>
      </w:divBdr>
    </w:div>
    <w:div w:id="24643158">
      <w:bodyDiv w:val="1"/>
      <w:marLeft w:val="0"/>
      <w:marRight w:val="0"/>
      <w:marTop w:val="0"/>
      <w:marBottom w:val="0"/>
      <w:divBdr>
        <w:top w:val="none" w:sz="0" w:space="0" w:color="auto"/>
        <w:left w:val="none" w:sz="0" w:space="0" w:color="auto"/>
        <w:bottom w:val="none" w:sz="0" w:space="0" w:color="auto"/>
        <w:right w:val="none" w:sz="0" w:space="0" w:color="auto"/>
      </w:divBdr>
    </w:div>
    <w:div w:id="28650066">
      <w:bodyDiv w:val="1"/>
      <w:marLeft w:val="0"/>
      <w:marRight w:val="0"/>
      <w:marTop w:val="0"/>
      <w:marBottom w:val="0"/>
      <w:divBdr>
        <w:top w:val="none" w:sz="0" w:space="0" w:color="auto"/>
        <w:left w:val="none" w:sz="0" w:space="0" w:color="auto"/>
        <w:bottom w:val="none" w:sz="0" w:space="0" w:color="auto"/>
        <w:right w:val="none" w:sz="0" w:space="0" w:color="auto"/>
      </w:divBdr>
    </w:div>
    <w:div w:id="32659606">
      <w:bodyDiv w:val="1"/>
      <w:marLeft w:val="0"/>
      <w:marRight w:val="0"/>
      <w:marTop w:val="0"/>
      <w:marBottom w:val="0"/>
      <w:divBdr>
        <w:top w:val="none" w:sz="0" w:space="0" w:color="auto"/>
        <w:left w:val="none" w:sz="0" w:space="0" w:color="auto"/>
        <w:bottom w:val="none" w:sz="0" w:space="0" w:color="auto"/>
        <w:right w:val="none" w:sz="0" w:space="0" w:color="auto"/>
      </w:divBdr>
    </w:div>
    <w:div w:id="34546689">
      <w:bodyDiv w:val="1"/>
      <w:marLeft w:val="0"/>
      <w:marRight w:val="0"/>
      <w:marTop w:val="0"/>
      <w:marBottom w:val="0"/>
      <w:divBdr>
        <w:top w:val="none" w:sz="0" w:space="0" w:color="auto"/>
        <w:left w:val="none" w:sz="0" w:space="0" w:color="auto"/>
        <w:bottom w:val="none" w:sz="0" w:space="0" w:color="auto"/>
        <w:right w:val="none" w:sz="0" w:space="0" w:color="auto"/>
      </w:divBdr>
    </w:div>
    <w:div w:id="34619863">
      <w:bodyDiv w:val="1"/>
      <w:marLeft w:val="0"/>
      <w:marRight w:val="0"/>
      <w:marTop w:val="0"/>
      <w:marBottom w:val="0"/>
      <w:divBdr>
        <w:top w:val="none" w:sz="0" w:space="0" w:color="auto"/>
        <w:left w:val="none" w:sz="0" w:space="0" w:color="auto"/>
        <w:bottom w:val="none" w:sz="0" w:space="0" w:color="auto"/>
        <w:right w:val="none" w:sz="0" w:space="0" w:color="auto"/>
      </w:divBdr>
    </w:div>
    <w:div w:id="38290665">
      <w:bodyDiv w:val="1"/>
      <w:marLeft w:val="0"/>
      <w:marRight w:val="0"/>
      <w:marTop w:val="0"/>
      <w:marBottom w:val="0"/>
      <w:divBdr>
        <w:top w:val="none" w:sz="0" w:space="0" w:color="auto"/>
        <w:left w:val="none" w:sz="0" w:space="0" w:color="auto"/>
        <w:bottom w:val="none" w:sz="0" w:space="0" w:color="auto"/>
        <w:right w:val="none" w:sz="0" w:space="0" w:color="auto"/>
      </w:divBdr>
    </w:div>
    <w:div w:id="40326440">
      <w:bodyDiv w:val="1"/>
      <w:marLeft w:val="0"/>
      <w:marRight w:val="0"/>
      <w:marTop w:val="0"/>
      <w:marBottom w:val="0"/>
      <w:divBdr>
        <w:top w:val="none" w:sz="0" w:space="0" w:color="auto"/>
        <w:left w:val="none" w:sz="0" w:space="0" w:color="auto"/>
        <w:bottom w:val="none" w:sz="0" w:space="0" w:color="auto"/>
        <w:right w:val="none" w:sz="0" w:space="0" w:color="auto"/>
      </w:divBdr>
    </w:div>
    <w:div w:id="41370187">
      <w:bodyDiv w:val="1"/>
      <w:marLeft w:val="0"/>
      <w:marRight w:val="0"/>
      <w:marTop w:val="0"/>
      <w:marBottom w:val="0"/>
      <w:divBdr>
        <w:top w:val="none" w:sz="0" w:space="0" w:color="auto"/>
        <w:left w:val="none" w:sz="0" w:space="0" w:color="auto"/>
        <w:bottom w:val="none" w:sz="0" w:space="0" w:color="auto"/>
        <w:right w:val="none" w:sz="0" w:space="0" w:color="auto"/>
      </w:divBdr>
    </w:div>
    <w:div w:id="44186587">
      <w:bodyDiv w:val="1"/>
      <w:marLeft w:val="0"/>
      <w:marRight w:val="0"/>
      <w:marTop w:val="0"/>
      <w:marBottom w:val="0"/>
      <w:divBdr>
        <w:top w:val="none" w:sz="0" w:space="0" w:color="auto"/>
        <w:left w:val="none" w:sz="0" w:space="0" w:color="auto"/>
        <w:bottom w:val="none" w:sz="0" w:space="0" w:color="auto"/>
        <w:right w:val="none" w:sz="0" w:space="0" w:color="auto"/>
      </w:divBdr>
    </w:div>
    <w:div w:id="45032309">
      <w:bodyDiv w:val="1"/>
      <w:marLeft w:val="0"/>
      <w:marRight w:val="0"/>
      <w:marTop w:val="0"/>
      <w:marBottom w:val="0"/>
      <w:divBdr>
        <w:top w:val="none" w:sz="0" w:space="0" w:color="auto"/>
        <w:left w:val="none" w:sz="0" w:space="0" w:color="auto"/>
        <w:bottom w:val="none" w:sz="0" w:space="0" w:color="auto"/>
        <w:right w:val="none" w:sz="0" w:space="0" w:color="auto"/>
      </w:divBdr>
    </w:div>
    <w:div w:id="52773542">
      <w:bodyDiv w:val="1"/>
      <w:marLeft w:val="0"/>
      <w:marRight w:val="0"/>
      <w:marTop w:val="0"/>
      <w:marBottom w:val="0"/>
      <w:divBdr>
        <w:top w:val="none" w:sz="0" w:space="0" w:color="auto"/>
        <w:left w:val="none" w:sz="0" w:space="0" w:color="auto"/>
        <w:bottom w:val="none" w:sz="0" w:space="0" w:color="auto"/>
        <w:right w:val="none" w:sz="0" w:space="0" w:color="auto"/>
      </w:divBdr>
    </w:div>
    <w:div w:id="60299524">
      <w:bodyDiv w:val="1"/>
      <w:marLeft w:val="0"/>
      <w:marRight w:val="0"/>
      <w:marTop w:val="0"/>
      <w:marBottom w:val="0"/>
      <w:divBdr>
        <w:top w:val="none" w:sz="0" w:space="0" w:color="auto"/>
        <w:left w:val="none" w:sz="0" w:space="0" w:color="auto"/>
        <w:bottom w:val="none" w:sz="0" w:space="0" w:color="auto"/>
        <w:right w:val="none" w:sz="0" w:space="0" w:color="auto"/>
      </w:divBdr>
    </w:div>
    <w:div w:id="65997772">
      <w:bodyDiv w:val="1"/>
      <w:marLeft w:val="0"/>
      <w:marRight w:val="0"/>
      <w:marTop w:val="0"/>
      <w:marBottom w:val="0"/>
      <w:divBdr>
        <w:top w:val="none" w:sz="0" w:space="0" w:color="auto"/>
        <w:left w:val="none" w:sz="0" w:space="0" w:color="auto"/>
        <w:bottom w:val="none" w:sz="0" w:space="0" w:color="auto"/>
        <w:right w:val="none" w:sz="0" w:space="0" w:color="auto"/>
      </w:divBdr>
    </w:div>
    <w:div w:id="71775462">
      <w:bodyDiv w:val="1"/>
      <w:marLeft w:val="0"/>
      <w:marRight w:val="0"/>
      <w:marTop w:val="0"/>
      <w:marBottom w:val="0"/>
      <w:divBdr>
        <w:top w:val="none" w:sz="0" w:space="0" w:color="auto"/>
        <w:left w:val="none" w:sz="0" w:space="0" w:color="auto"/>
        <w:bottom w:val="none" w:sz="0" w:space="0" w:color="auto"/>
        <w:right w:val="none" w:sz="0" w:space="0" w:color="auto"/>
      </w:divBdr>
    </w:div>
    <w:div w:id="72171322">
      <w:bodyDiv w:val="1"/>
      <w:marLeft w:val="0"/>
      <w:marRight w:val="0"/>
      <w:marTop w:val="0"/>
      <w:marBottom w:val="0"/>
      <w:divBdr>
        <w:top w:val="none" w:sz="0" w:space="0" w:color="auto"/>
        <w:left w:val="none" w:sz="0" w:space="0" w:color="auto"/>
        <w:bottom w:val="none" w:sz="0" w:space="0" w:color="auto"/>
        <w:right w:val="none" w:sz="0" w:space="0" w:color="auto"/>
      </w:divBdr>
    </w:div>
    <w:div w:id="73402388">
      <w:bodyDiv w:val="1"/>
      <w:marLeft w:val="0"/>
      <w:marRight w:val="0"/>
      <w:marTop w:val="0"/>
      <w:marBottom w:val="0"/>
      <w:divBdr>
        <w:top w:val="none" w:sz="0" w:space="0" w:color="auto"/>
        <w:left w:val="none" w:sz="0" w:space="0" w:color="auto"/>
        <w:bottom w:val="none" w:sz="0" w:space="0" w:color="auto"/>
        <w:right w:val="none" w:sz="0" w:space="0" w:color="auto"/>
      </w:divBdr>
    </w:div>
    <w:div w:id="78524195">
      <w:bodyDiv w:val="1"/>
      <w:marLeft w:val="0"/>
      <w:marRight w:val="0"/>
      <w:marTop w:val="0"/>
      <w:marBottom w:val="0"/>
      <w:divBdr>
        <w:top w:val="none" w:sz="0" w:space="0" w:color="auto"/>
        <w:left w:val="none" w:sz="0" w:space="0" w:color="auto"/>
        <w:bottom w:val="none" w:sz="0" w:space="0" w:color="auto"/>
        <w:right w:val="none" w:sz="0" w:space="0" w:color="auto"/>
      </w:divBdr>
    </w:div>
    <w:div w:id="101388632">
      <w:bodyDiv w:val="1"/>
      <w:marLeft w:val="0"/>
      <w:marRight w:val="0"/>
      <w:marTop w:val="0"/>
      <w:marBottom w:val="0"/>
      <w:divBdr>
        <w:top w:val="none" w:sz="0" w:space="0" w:color="auto"/>
        <w:left w:val="none" w:sz="0" w:space="0" w:color="auto"/>
        <w:bottom w:val="none" w:sz="0" w:space="0" w:color="auto"/>
        <w:right w:val="none" w:sz="0" w:space="0" w:color="auto"/>
      </w:divBdr>
    </w:div>
    <w:div w:id="101996247">
      <w:bodyDiv w:val="1"/>
      <w:marLeft w:val="0"/>
      <w:marRight w:val="0"/>
      <w:marTop w:val="0"/>
      <w:marBottom w:val="0"/>
      <w:divBdr>
        <w:top w:val="none" w:sz="0" w:space="0" w:color="auto"/>
        <w:left w:val="none" w:sz="0" w:space="0" w:color="auto"/>
        <w:bottom w:val="none" w:sz="0" w:space="0" w:color="auto"/>
        <w:right w:val="none" w:sz="0" w:space="0" w:color="auto"/>
      </w:divBdr>
    </w:div>
    <w:div w:id="108861792">
      <w:bodyDiv w:val="1"/>
      <w:marLeft w:val="0"/>
      <w:marRight w:val="0"/>
      <w:marTop w:val="0"/>
      <w:marBottom w:val="0"/>
      <w:divBdr>
        <w:top w:val="none" w:sz="0" w:space="0" w:color="auto"/>
        <w:left w:val="none" w:sz="0" w:space="0" w:color="auto"/>
        <w:bottom w:val="none" w:sz="0" w:space="0" w:color="auto"/>
        <w:right w:val="none" w:sz="0" w:space="0" w:color="auto"/>
      </w:divBdr>
    </w:div>
    <w:div w:id="121921722">
      <w:bodyDiv w:val="1"/>
      <w:marLeft w:val="0"/>
      <w:marRight w:val="0"/>
      <w:marTop w:val="0"/>
      <w:marBottom w:val="0"/>
      <w:divBdr>
        <w:top w:val="none" w:sz="0" w:space="0" w:color="auto"/>
        <w:left w:val="none" w:sz="0" w:space="0" w:color="auto"/>
        <w:bottom w:val="none" w:sz="0" w:space="0" w:color="auto"/>
        <w:right w:val="none" w:sz="0" w:space="0" w:color="auto"/>
      </w:divBdr>
    </w:div>
    <w:div w:id="124012305">
      <w:bodyDiv w:val="1"/>
      <w:marLeft w:val="0"/>
      <w:marRight w:val="0"/>
      <w:marTop w:val="0"/>
      <w:marBottom w:val="0"/>
      <w:divBdr>
        <w:top w:val="none" w:sz="0" w:space="0" w:color="auto"/>
        <w:left w:val="none" w:sz="0" w:space="0" w:color="auto"/>
        <w:bottom w:val="none" w:sz="0" w:space="0" w:color="auto"/>
        <w:right w:val="none" w:sz="0" w:space="0" w:color="auto"/>
      </w:divBdr>
    </w:div>
    <w:div w:id="129716745">
      <w:bodyDiv w:val="1"/>
      <w:marLeft w:val="0"/>
      <w:marRight w:val="0"/>
      <w:marTop w:val="0"/>
      <w:marBottom w:val="0"/>
      <w:divBdr>
        <w:top w:val="none" w:sz="0" w:space="0" w:color="auto"/>
        <w:left w:val="none" w:sz="0" w:space="0" w:color="auto"/>
        <w:bottom w:val="none" w:sz="0" w:space="0" w:color="auto"/>
        <w:right w:val="none" w:sz="0" w:space="0" w:color="auto"/>
      </w:divBdr>
    </w:div>
    <w:div w:id="129783985">
      <w:bodyDiv w:val="1"/>
      <w:marLeft w:val="0"/>
      <w:marRight w:val="0"/>
      <w:marTop w:val="0"/>
      <w:marBottom w:val="0"/>
      <w:divBdr>
        <w:top w:val="none" w:sz="0" w:space="0" w:color="auto"/>
        <w:left w:val="none" w:sz="0" w:space="0" w:color="auto"/>
        <w:bottom w:val="none" w:sz="0" w:space="0" w:color="auto"/>
        <w:right w:val="none" w:sz="0" w:space="0" w:color="auto"/>
      </w:divBdr>
    </w:div>
    <w:div w:id="130944990">
      <w:bodyDiv w:val="1"/>
      <w:marLeft w:val="0"/>
      <w:marRight w:val="0"/>
      <w:marTop w:val="0"/>
      <w:marBottom w:val="0"/>
      <w:divBdr>
        <w:top w:val="none" w:sz="0" w:space="0" w:color="auto"/>
        <w:left w:val="none" w:sz="0" w:space="0" w:color="auto"/>
        <w:bottom w:val="none" w:sz="0" w:space="0" w:color="auto"/>
        <w:right w:val="none" w:sz="0" w:space="0" w:color="auto"/>
      </w:divBdr>
    </w:div>
    <w:div w:id="132334217">
      <w:bodyDiv w:val="1"/>
      <w:marLeft w:val="0"/>
      <w:marRight w:val="0"/>
      <w:marTop w:val="0"/>
      <w:marBottom w:val="0"/>
      <w:divBdr>
        <w:top w:val="none" w:sz="0" w:space="0" w:color="auto"/>
        <w:left w:val="none" w:sz="0" w:space="0" w:color="auto"/>
        <w:bottom w:val="none" w:sz="0" w:space="0" w:color="auto"/>
        <w:right w:val="none" w:sz="0" w:space="0" w:color="auto"/>
      </w:divBdr>
    </w:div>
    <w:div w:id="132603530">
      <w:bodyDiv w:val="1"/>
      <w:marLeft w:val="0"/>
      <w:marRight w:val="0"/>
      <w:marTop w:val="0"/>
      <w:marBottom w:val="0"/>
      <w:divBdr>
        <w:top w:val="none" w:sz="0" w:space="0" w:color="auto"/>
        <w:left w:val="none" w:sz="0" w:space="0" w:color="auto"/>
        <w:bottom w:val="none" w:sz="0" w:space="0" w:color="auto"/>
        <w:right w:val="none" w:sz="0" w:space="0" w:color="auto"/>
      </w:divBdr>
    </w:div>
    <w:div w:id="138573509">
      <w:bodyDiv w:val="1"/>
      <w:marLeft w:val="0"/>
      <w:marRight w:val="0"/>
      <w:marTop w:val="0"/>
      <w:marBottom w:val="0"/>
      <w:divBdr>
        <w:top w:val="none" w:sz="0" w:space="0" w:color="auto"/>
        <w:left w:val="none" w:sz="0" w:space="0" w:color="auto"/>
        <w:bottom w:val="none" w:sz="0" w:space="0" w:color="auto"/>
        <w:right w:val="none" w:sz="0" w:space="0" w:color="auto"/>
      </w:divBdr>
    </w:div>
    <w:div w:id="148252794">
      <w:bodyDiv w:val="1"/>
      <w:marLeft w:val="0"/>
      <w:marRight w:val="0"/>
      <w:marTop w:val="0"/>
      <w:marBottom w:val="0"/>
      <w:divBdr>
        <w:top w:val="none" w:sz="0" w:space="0" w:color="auto"/>
        <w:left w:val="none" w:sz="0" w:space="0" w:color="auto"/>
        <w:bottom w:val="none" w:sz="0" w:space="0" w:color="auto"/>
        <w:right w:val="none" w:sz="0" w:space="0" w:color="auto"/>
      </w:divBdr>
    </w:div>
    <w:div w:id="154928677">
      <w:bodyDiv w:val="1"/>
      <w:marLeft w:val="0"/>
      <w:marRight w:val="0"/>
      <w:marTop w:val="0"/>
      <w:marBottom w:val="0"/>
      <w:divBdr>
        <w:top w:val="none" w:sz="0" w:space="0" w:color="auto"/>
        <w:left w:val="none" w:sz="0" w:space="0" w:color="auto"/>
        <w:bottom w:val="none" w:sz="0" w:space="0" w:color="auto"/>
        <w:right w:val="none" w:sz="0" w:space="0" w:color="auto"/>
      </w:divBdr>
    </w:div>
    <w:div w:id="155348139">
      <w:bodyDiv w:val="1"/>
      <w:marLeft w:val="0"/>
      <w:marRight w:val="0"/>
      <w:marTop w:val="0"/>
      <w:marBottom w:val="0"/>
      <w:divBdr>
        <w:top w:val="none" w:sz="0" w:space="0" w:color="auto"/>
        <w:left w:val="none" w:sz="0" w:space="0" w:color="auto"/>
        <w:bottom w:val="none" w:sz="0" w:space="0" w:color="auto"/>
        <w:right w:val="none" w:sz="0" w:space="0" w:color="auto"/>
      </w:divBdr>
    </w:div>
    <w:div w:id="164171610">
      <w:bodyDiv w:val="1"/>
      <w:marLeft w:val="0"/>
      <w:marRight w:val="0"/>
      <w:marTop w:val="0"/>
      <w:marBottom w:val="0"/>
      <w:divBdr>
        <w:top w:val="none" w:sz="0" w:space="0" w:color="auto"/>
        <w:left w:val="none" w:sz="0" w:space="0" w:color="auto"/>
        <w:bottom w:val="none" w:sz="0" w:space="0" w:color="auto"/>
        <w:right w:val="none" w:sz="0" w:space="0" w:color="auto"/>
      </w:divBdr>
    </w:div>
    <w:div w:id="165638475">
      <w:bodyDiv w:val="1"/>
      <w:marLeft w:val="0"/>
      <w:marRight w:val="0"/>
      <w:marTop w:val="0"/>
      <w:marBottom w:val="0"/>
      <w:divBdr>
        <w:top w:val="none" w:sz="0" w:space="0" w:color="auto"/>
        <w:left w:val="none" w:sz="0" w:space="0" w:color="auto"/>
        <w:bottom w:val="none" w:sz="0" w:space="0" w:color="auto"/>
        <w:right w:val="none" w:sz="0" w:space="0" w:color="auto"/>
      </w:divBdr>
    </w:div>
    <w:div w:id="167059749">
      <w:bodyDiv w:val="1"/>
      <w:marLeft w:val="0"/>
      <w:marRight w:val="0"/>
      <w:marTop w:val="0"/>
      <w:marBottom w:val="0"/>
      <w:divBdr>
        <w:top w:val="none" w:sz="0" w:space="0" w:color="auto"/>
        <w:left w:val="none" w:sz="0" w:space="0" w:color="auto"/>
        <w:bottom w:val="none" w:sz="0" w:space="0" w:color="auto"/>
        <w:right w:val="none" w:sz="0" w:space="0" w:color="auto"/>
      </w:divBdr>
    </w:div>
    <w:div w:id="167673224">
      <w:bodyDiv w:val="1"/>
      <w:marLeft w:val="0"/>
      <w:marRight w:val="0"/>
      <w:marTop w:val="0"/>
      <w:marBottom w:val="0"/>
      <w:divBdr>
        <w:top w:val="none" w:sz="0" w:space="0" w:color="auto"/>
        <w:left w:val="none" w:sz="0" w:space="0" w:color="auto"/>
        <w:bottom w:val="none" w:sz="0" w:space="0" w:color="auto"/>
        <w:right w:val="none" w:sz="0" w:space="0" w:color="auto"/>
      </w:divBdr>
    </w:div>
    <w:div w:id="170462029">
      <w:bodyDiv w:val="1"/>
      <w:marLeft w:val="0"/>
      <w:marRight w:val="0"/>
      <w:marTop w:val="0"/>
      <w:marBottom w:val="0"/>
      <w:divBdr>
        <w:top w:val="none" w:sz="0" w:space="0" w:color="auto"/>
        <w:left w:val="none" w:sz="0" w:space="0" w:color="auto"/>
        <w:bottom w:val="none" w:sz="0" w:space="0" w:color="auto"/>
        <w:right w:val="none" w:sz="0" w:space="0" w:color="auto"/>
      </w:divBdr>
    </w:div>
    <w:div w:id="174223789">
      <w:bodyDiv w:val="1"/>
      <w:marLeft w:val="0"/>
      <w:marRight w:val="0"/>
      <w:marTop w:val="0"/>
      <w:marBottom w:val="0"/>
      <w:divBdr>
        <w:top w:val="none" w:sz="0" w:space="0" w:color="auto"/>
        <w:left w:val="none" w:sz="0" w:space="0" w:color="auto"/>
        <w:bottom w:val="none" w:sz="0" w:space="0" w:color="auto"/>
        <w:right w:val="none" w:sz="0" w:space="0" w:color="auto"/>
      </w:divBdr>
    </w:div>
    <w:div w:id="174927835">
      <w:bodyDiv w:val="1"/>
      <w:marLeft w:val="0"/>
      <w:marRight w:val="0"/>
      <w:marTop w:val="0"/>
      <w:marBottom w:val="0"/>
      <w:divBdr>
        <w:top w:val="none" w:sz="0" w:space="0" w:color="auto"/>
        <w:left w:val="none" w:sz="0" w:space="0" w:color="auto"/>
        <w:bottom w:val="none" w:sz="0" w:space="0" w:color="auto"/>
        <w:right w:val="none" w:sz="0" w:space="0" w:color="auto"/>
      </w:divBdr>
    </w:div>
    <w:div w:id="176846977">
      <w:bodyDiv w:val="1"/>
      <w:marLeft w:val="0"/>
      <w:marRight w:val="0"/>
      <w:marTop w:val="0"/>
      <w:marBottom w:val="0"/>
      <w:divBdr>
        <w:top w:val="none" w:sz="0" w:space="0" w:color="auto"/>
        <w:left w:val="none" w:sz="0" w:space="0" w:color="auto"/>
        <w:bottom w:val="none" w:sz="0" w:space="0" w:color="auto"/>
        <w:right w:val="none" w:sz="0" w:space="0" w:color="auto"/>
      </w:divBdr>
    </w:div>
    <w:div w:id="179395599">
      <w:bodyDiv w:val="1"/>
      <w:marLeft w:val="0"/>
      <w:marRight w:val="0"/>
      <w:marTop w:val="0"/>
      <w:marBottom w:val="0"/>
      <w:divBdr>
        <w:top w:val="none" w:sz="0" w:space="0" w:color="auto"/>
        <w:left w:val="none" w:sz="0" w:space="0" w:color="auto"/>
        <w:bottom w:val="none" w:sz="0" w:space="0" w:color="auto"/>
        <w:right w:val="none" w:sz="0" w:space="0" w:color="auto"/>
      </w:divBdr>
    </w:div>
    <w:div w:id="181357952">
      <w:bodyDiv w:val="1"/>
      <w:marLeft w:val="0"/>
      <w:marRight w:val="0"/>
      <w:marTop w:val="0"/>
      <w:marBottom w:val="0"/>
      <w:divBdr>
        <w:top w:val="none" w:sz="0" w:space="0" w:color="auto"/>
        <w:left w:val="none" w:sz="0" w:space="0" w:color="auto"/>
        <w:bottom w:val="none" w:sz="0" w:space="0" w:color="auto"/>
        <w:right w:val="none" w:sz="0" w:space="0" w:color="auto"/>
      </w:divBdr>
    </w:div>
    <w:div w:id="182020252">
      <w:bodyDiv w:val="1"/>
      <w:marLeft w:val="0"/>
      <w:marRight w:val="0"/>
      <w:marTop w:val="0"/>
      <w:marBottom w:val="0"/>
      <w:divBdr>
        <w:top w:val="none" w:sz="0" w:space="0" w:color="auto"/>
        <w:left w:val="none" w:sz="0" w:space="0" w:color="auto"/>
        <w:bottom w:val="none" w:sz="0" w:space="0" w:color="auto"/>
        <w:right w:val="none" w:sz="0" w:space="0" w:color="auto"/>
      </w:divBdr>
    </w:div>
    <w:div w:id="184834270">
      <w:bodyDiv w:val="1"/>
      <w:marLeft w:val="0"/>
      <w:marRight w:val="0"/>
      <w:marTop w:val="0"/>
      <w:marBottom w:val="0"/>
      <w:divBdr>
        <w:top w:val="none" w:sz="0" w:space="0" w:color="auto"/>
        <w:left w:val="none" w:sz="0" w:space="0" w:color="auto"/>
        <w:bottom w:val="none" w:sz="0" w:space="0" w:color="auto"/>
        <w:right w:val="none" w:sz="0" w:space="0" w:color="auto"/>
      </w:divBdr>
    </w:div>
    <w:div w:id="187909901">
      <w:bodyDiv w:val="1"/>
      <w:marLeft w:val="0"/>
      <w:marRight w:val="0"/>
      <w:marTop w:val="0"/>
      <w:marBottom w:val="0"/>
      <w:divBdr>
        <w:top w:val="none" w:sz="0" w:space="0" w:color="auto"/>
        <w:left w:val="none" w:sz="0" w:space="0" w:color="auto"/>
        <w:bottom w:val="none" w:sz="0" w:space="0" w:color="auto"/>
        <w:right w:val="none" w:sz="0" w:space="0" w:color="auto"/>
      </w:divBdr>
    </w:div>
    <w:div w:id="192496060">
      <w:bodyDiv w:val="1"/>
      <w:marLeft w:val="0"/>
      <w:marRight w:val="0"/>
      <w:marTop w:val="0"/>
      <w:marBottom w:val="0"/>
      <w:divBdr>
        <w:top w:val="none" w:sz="0" w:space="0" w:color="auto"/>
        <w:left w:val="none" w:sz="0" w:space="0" w:color="auto"/>
        <w:bottom w:val="none" w:sz="0" w:space="0" w:color="auto"/>
        <w:right w:val="none" w:sz="0" w:space="0" w:color="auto"/>
      </w:divBdr>
    </w:div>
    <w:div w:id="193231658">
      <w:bodyDiv w:val="1"/>
      <w:marLeft w:val="0"/>
      <w:marRight w:val="0"/>
      <w:marTop w:val="0"/>
      <w:marBottom w:val="0"/>
      <w:divBdr>
        <w:top w:val="none" w:sz="0" w:space="0" w:color="auto"/>
        <w:left w:val="none" w:sz="0" w:space="0" w:color="auto"/>
        <w:bottom w:val="none" w:sz="0" w:space="0" w:color="auto"/>
        <w:right w:val="none" w:sz="0" w:space="0" w:color="auto"/>
      </w:divBdr>
    </w:div>
    <w:div w:id="195243984">
      <w:bodyDiv w:val="1"/>
      <w:marLeft w:val="0"/>
      <w:marRight w:val="0"/>
      <w:marTop w:val="0"/>
      <w:marBottom w:val="0"/>
      <w:divBdr>
        <w:top w:val="none" w:sz="0" w:space="0" w:color="auto"/>
        <w:left w:val="none" w:sz="0" w:space="0" w:color="auto"/>
        <w:bottom w:val="none" w:sz="0" w:space="0" w:color="auto"/>
        <w:right w:val="none" w:sz="0" w:space="0" w:color="auto"/>
      </w:divBdr>
    </w:div>
    <w:div w:id="195968631">
      <w:bodyDiv w:val="1"/>
      <w:marLeft w:val="0"/>
      <w:marRight w:val="0"/>
      <w:marTop w:val="0"/>
      <w:marBottom w:val="0"/>
      <w:divBdr>
        <w:top w:val="none" w:sz="0" w:space="0" w:color="auto"/>
        <w:left w:val="none" w:sz="0" w:space="0" w:color="auto"/>
        <w:bottom w:val="none" w:sz="0" w:space="0" w:color="auto"/>
        <w:right w:val="none" w:sz="0" w:space="0" w:color="auto"/>
      </w:divBdr>
    </w:div>
    <w:div w:id="196697890">
      <w:bodyDiv w:val="1"/>
      <w:marLeft w:val="0"/>
      <w:marRight w:val="0"/>
      <w:marTop w:val="0"/>
      <w:marBottom w:val="0"/>
      <w:divBdr>
        <w:top w:val="none" w:sz="0" w:space="0" w:color="auto"/>
        <w:left w:val="none" w:sz="0" w:space="0" w:color="auto"/>
        <w:bottom w:val="none" w:sz="0" w:space="0" w:color="auto"/>
        <w:right w:val="none" w:sz="0" w:space="0" w:color="auto"/>
      </w:divBdr>
    </w:div>
    <w:div w:id="198199831">
      <w:bodyDiv w:val="1"/>
      <w:marLeft w:val="0"/>
      <w:marRight w:val="0"/>
      <w:marTop w:val="0"/>
      <w:marBottom w:val="0"/>
      <w:divBdr>
        <w:top w:val="none" w:sz="0" w:space="0" w:color="auto"/>
        <w:left w:val="none" w:sz="0" w:space="0" w:color="auto"/>
        <w:bottom w:val="none" w:sz="0" w:space="0" w:color="auto"/>
        <w:right w:val="none" w:sz="0" w:space="0" w:color="auto"/>
      </w:divBdr>
    </w:div>
    <w:div w:id="201407826">
      <w:bodyDiv w:val="1"/>
      <w:marLeft w:val="0"/>
      <w:marRight w:val="0"/>
      <w:marTop w:val="0"/>
      <w:marBottom w:val="0"/>
      <w:divBdr>
        <w:top w:val="none" w:sz="0" w:space="0" w:color="auto"/>
        <w:left w:val="none" w:sz="0" w:space="0" w:color="auto"/>
        <w:bottom w:val="none" w:sz="0" w:space="0" w:color="auto"/>
        <w:right w:val="none" w:sz="0" w:space="0" w:color="auto"/>
      </w:divBdr>
    </w:div>
    <w:div w:id="206111485">
      <w:bodyDiv w:val="1"/>
      <w:marLeft w:val="0"/>
      <w:marRight w:val="0"/>
      <w:marTop w:val="0"/>
      <w:marBottom w:val="0"/>
      <w:divBdr>
        <w:top w:val="none" w:sz="0" w:space="0" w:color="auto"/>
        <w:left w:val="none" w:sz="0" w:space="0" w:color="auto"/>
        <w:bottom w:val="none" w:sz="0" w:space="0" w:color="auto"/>
        <w:right w:val="none" w:sz="0" w:space="0" w:color="auto"/>
      </w:divBdr>
    </w:div>
    <w:div w:id="206837509">
      <w:bodyDiv w:val="1"/>
      <w:marLeft w:val="0"/>
      <w:marRight w:val="0"/>
      <w:marTop w:val="0"/>
      <w:marBottom w:val="0"/>
      <w:divBdr>
        <w:top w:val="none" w:sz="0" w:space="0" w:color="auto"/>
        <w:left w:val="none" w:sz="0" w:space="0" w:color="auto"/>
        <w:bottom w:val="none" w:sz="0" w:space="0" w:color="auto"/>
        <w:right w:val="none" w:sz="0" w:space="0" w:color="auto"/>
      </w:divBdr>
    </w:div>
    <w:div w:id="208224991">
      <w:bodyDiv w:val="1"/>
      <w:marLeft w:val="0"/>
      <w:marRight w:val="0"/>
      <w:marTop w:val="0"/>
      <w:marBottom w:val="0"/>
      <w:divBdr>
        <w:top w:val="none" w:sz="0" w:space="0" w:color="auto"/>
        <w:left w:val="none" w:sz="0" w:space="0" w:color="auto"/>
        <w:bottom w:val="none" w:sz="0" w:space="0" w:color="auto"/>
        <w:right w:val="none" w:sz="0" w:space="0" w:color="auto"/>
      </w:divBdr>
    </w:div>
    <w:div w:id="213666974">
      <w:bodyDiv w:val="1"/>
      <w:marLeft w:val="0"/>
      <w:marRight w:val="0"/>
      <w:marTop w:val="0"/>
      <w:marBottom w:val="0"/>
      <w:divBdr>
        <w:top w:val="none" w:sz="0" w:space="0" w:color="auto"/>
        <w:left w:val="none" w:sz="0" w:space="0" w:color="auto"/>
        <w:bottom w:val="none" w:sz="0" w:space="0" w:color="auto"/>
        <w:right w:val="none" w:sz="0" w:space="0" w:color="auto"/>
      </w:divBdr>
    </w:div>
    <w:div w:id="215435580">
      <w:bodyDiv w:val="1"/>
      <w:marLeft w:val="0"/>
      <w:marRight w:val="0"/>
      <w:marTop w:val="0"/>
      <w:marBottom w:val="0"/>
      <w:divBdr>
        <w:top w:val="none" w:sz="0" w:space="0" w:color="auto"/>
        <w:left w:val="none" w:sz="0" w:space="0" w:color="auto"/>
        <w:bottom w:val="none" w:sz="0" w:space="0" w:color="auto"/>
        <w:right w:val="none" w:sz="0" w:space="0" w:color="auto"/>
      </w:divBdr>
    </w:div>
    <w:div w:id="216934306">
      <w:bodyDiv w:val="1"/>
      <w:marLeft w:val="0"/>
      <w:marRight w:val="0"/>
      <w:marTop w:val="0"/>
      <w:marBottom w:val="0"/>
      <w:divBdr>
        <w:top w:val="none" w:sz="0" w:space="0" w:color="auto"/>
        <w:left w:val="none" w:sz="0" w:space="0" w:color="auto"/>
        <w:bottom w:val="none" w:sz="0" w:space="0" w:color="auto"/>
        <w:right w:val="none" w:sz="0" w:space="0" w:color="auto"/>
      </w:divBdr>
    </w:div>
    <w:div w:id="219831827">
      <w:bodyDiv w:val="1"/>
      <w:marLeft w:val="0"/>
      <w:marRight w:val="0"/>
      <w:marTop w:val="0"/>
      <w:marBottom w:val="0"/>
      <w:divBdr>
        <w:top w:val="none" w:sz="0" w:space="0" w:color="auto"/>
        <w:left w:val="none" w:sz="0" w:space="0" w:color="auto"/>
        <w:bottom w:val="none" w:sz="0" w:space="0" w:color="auto"/>
        <w:right w:val="none" w:sz="0" w:space="0" w:color="auto"/>
      </w:divBdr>
    </w:div>
    <w:div w:id="219945033">
      <w:bodyDiv w:val="1"/>
      <w:marLeft w:val="0"/>
      <w:marRight w:val="0"/>
      <w:marTop w:val="0"/>
      <w:marBottom w:val="0"/>
      <w:divBdr>
        <w:top w:val="none" w:sz="0" w:space="0" w:color="auto"/>
        <w:left w:val="none" w:sz="0" w:space="0" w:color="auto"/>
        <w:bottom w:val="none" w:sz="0" w:space="0" w:color="auto"/>
        <w:right w:val="none" w:sz="0" w:space="0" w:color="auto"/>
      </w:divBdr>
    </w:div>
    <w:div w:id="220605794">
      <w:bodyDiv w:val="1"/>
      <w:marLeft w:val="0"/>
      <w:marRight w:val="0"/>
      <w:marTop w:val="0"/>
      <w:marBottom w:val="0"/>
      <w:divBdr>
        <w:top w:val="none" w:sz="0" w:space="0" w:color="auto"/>
        <w:left w:val="none" w:sz="0" w:space="0" w:color="auto"/>
        <w:bottom w:val="none" w:sz="0" w:space="0" w:color="auto"/>
        <w:right w:val="none" w:sz="0" w:space="0" w:color="auto"/>
      </w:divBdr>
    </w:div>
    <w:div w:id="222566600">
      <w:bodyDiv w:val="1"/>
      <w:marLeft w:val="0"/>
      <w:marRight w:val="0"/>
      <w:marTop w:val="0"/>
      <w:marBottom w:val="0"/>
      <w:divBdr>
        <w:top w:val="none" w:sz="0" w:space="0" w:color="auto"/>
        <w:left w:val="none" w:sz="0" w:space="0" w:color="auto"/>
        <w:bottom w:val="none" w:sz="0" w:space="0" w:color="auto"/>
        <w:right w:val="none" w:sz="0" w:space="0" w:color="auto"/>
      </w:divBdr>
    </w:div>
    <w:div w:id="224805465">
      <w:bodyDiv w:val="1"/>
      <w:marLeft w:val="0"/>
      <w:marRight w:val="0"/>
      <w:marTop w:val="0"/>
      <w:marBottom w:val="0"/>
      <w:divBdr>
        <w:top w:val="none" w:sz="0" w:space="0" w:color="auto"/>
        <w:left w:val="none" w:sz="0" w:space="0" w:color="auto"/>
        <w:bottom w:val="none" w:sz="0" w:space="0" w:color="auto"/>
        <w:right w:val="none" w:sz="0" w:space="0" w:color="auto"/>
      </w:divBdr>
    </w:div>
    <w:div w:id="227302131">
      <w:bodyDiv w:val="1"/>
      <w:marLeft w:val="0"/>
      <w:marRight w:val="0"/>
      <w:marTop w:val="0"/>
      <w:marBottom w:val="0"/>
      <w:divBdr>
        <w:top w:val="none" w:sz="0" w:space="0" w:color="auto"/>
        <w:left w:val="none" w:sz="0" w:space="0" w:color="auto"/>
        <w:bottom w:val="none" w:sz="0" w:space="0" w:color="auto"/>
        <w:right w:val="none" w:sz="0" w:space="0" w:color="auto"/>
      </w:divBdr>
    </w:div>
    <w:div w:id="229658476">
      <w:bodyDiv w:val="1"/>
      <w:marLeft w:val="0"/>
      <w:marRight w:val="0"/>
      <w:marTop w:val="0"/>
      <w:marBottom w:val="0"/>
      <w:divBdr>
        <w:top w:val="none" w:sz="0" w:space="0" w:color="auto"/>
        <w:left w:val="none" w:sz="0" w:space="0" w:color="auto"/>
        <w:bottom w:val="none" w:sz="0" w:space="0" w:color="auto"/>
        <w:right w:val="none" w:sz="0" w:space="0" w:color="auto"/>
      </w:divBdr>
    </w:div>
    <w:div w:id="229852620">
      <w:bodyDiv w:val="1"/>
      <w:marLeft w:val="0"/>
      <w:marRight w:val="0"/>
      <w:marTop w:val="0"/>
      <w:marBottom w:val="0"/>
      <w:divBdr>
        <w:top w:val="none" w:sz="0" w:space="0" w:color="auto"/>
        <w:left w:val="none" w:sz="0" w:space="0" w:color="auto"/>
        <w:bottom w:val="none" w:sz="0" w:space="0" w:color="auto"/>
        <w:right w:val="none" w:sz="0" w:space="0" w:color="auto"/>
      </w:divBdr>
    </w:div>
    <w:div w:id="236601529">
      <w:bodyDiv w:val="1"/>
      <w:marLeft w:val="0"/>
      <w:marRight w:val="0"/>
      <w:marTop w:val="0"/>
      <w:marBottom w:val="0"/>
      <w:divBdr>
        <w:top w:val="none" w:sz="0" w:space="0" w:color="auto"/>
        <w:left w:val="none" w:sz="0" w:space="0" w:color="auto"/>
        <w:bottom w:val="none" w:sz="0" w:space="0" w:color="auto"/>
        <w:right w:val="none" w:sz="0" w:space="0" w:color="auto"/>
      </w:divBdr>
    </w:div>
    <w:div w:id="249044747">
      <w:bodyDiv w:val="1"/>
      <w:marLeft w:val="0"/>
      <w:marRight w:val="0"/>
      <w:marTop w:val="0"/>
      <w:marBottom w:val="0"/>
      <w:divBdr>
        <w:top w:val="none" w:sz="0" w:space="0" w:color="auto"/>
        <w:left w:val="none" w:sz="0" w:space="0" w:color="auto"/>
        <w:bottom w:val="none" w:sz="0" w:space="0" w:color="auto"/>
        <w:right w:val="none" w:sz="0" w:space="0" w:color="auto"/>
      </w:divBdr>
    </w:div>
    <w:div w:id="249587945">
      <w:bodyDiv w:val="1"/>
      <w:marLeft w:val="0"/>
      <w:marRight w:val="0"/>
      <w:marTop w:val="0"/>
      <w:marBottom w:val="0"/>
      <w:divBdr>
        <w:top w:val="none" w:sz="0" w:space="0" w:color="auto"/>
        <w:left w:val="none" w:sz="0" w:space="0" w:color="auto"/>
        <w:bottom w:val="none" w:sz="0" w:space="0" w:color="auto"/>
        <w:right w:val="none" w:sz="0" w:space="0" w:color="auto"/>
      </w:divBdr>
    </w:div>
    <w:div w:id="249702021">
      <w:bodyDiv w:val="1"/>
      <w:marLeft w:val="0"/>
      <w:marRight w:val="0"/>
      <w:marTop w:val="0"/>
      <w:marBottom w:val="0"/>
      <w:divBdr>
        <w:top w:val="none" w:sz="0" w:space="0" w:color="auto"/>
        <w:left w:val="none" w:sz="0" w:space="0" w:color="auto"/>
        <w:bottom w:val="none" w:sz="0" w:space="0" w:color="auto"/>
        <w:right w:val="none" w:sz="0" w:space="0" w:color="auto"/>
      </w:divBdr>
    </w:div>
    <w:div w:id="256595280">
      <w:bodyDiv w:val="1"/>
      <w:marLeft w:val="0"/>
      <w:marRight w:val="0"/>
      <w:marTop w:val="0"/>
      <w:marBottom w:val="0"/>
      <w:divBdr>
        <w:top w:val="none" w:sz="0" w:space="0" w:color="auto"/>
        <w:left w:val="none" w:sz="0" w:space="0" w:color="auto"/>
        <w:bottom w:val="none" w:sz="0" w:space="0" w:color="auto"/>
        <w:right w:val="none" w:sz="0" w:space="0" w:color="auto"/>
      </w:divBdr>
    </w:div>
    <w:div w:id="256640806">
      <w:bodyDiv w:val="1"/>
      <w:marLeft w:val="0"/>
      <w:marRight w:val="0"/>
      <w:marTop w:val="0"/>
      <w:marBottom w:val="0"/>
      <w:divBdr>
        <w:top w:val="none" w:sz="0" w:space="0" w:color="auto"/>
        <w:left w:val="none" w:sz="0" w:space="0" w:color="auto"/>
        <w:bottom w:val="none" w:sz="0" w:space="0" w:color="auto"/>
        <w:right w:val="none" w:sz="0" w:space="0" w:color="auto"/>
      </w:divBdr>
    </w:div>
    <w:div w:id="264919173">
      <w:bodyDiv w:val="1"/>
      <w:marLeft w:val="0"/>
      <w:marRight w:val="0"/>
      <w:marTop w:val="0"/>
      <w:marBottom w:val="0"/>
      <w:divBdr>
        <w:top w:val="none" w:sz="0" w:space="0" w:color="auto"/>
        <w:left w:val="none" w:sz="0" w:space="0" w:color="auto"/>
        <w:bottom w:val="none" w:sz="0" w:space="0" w:color="auto"/>
        <w:right w:val="none" w:sz="0" w:space="0" w:color="auto"/>
      </w:divBdr>
    </w:div>
    <w:div w:id="266619843">
      <w:bodyDiv w:val="1"/>
      <w:marLeft w:val="0"/>
      <w:marRight w:val="0"/>
      <w:marTop w:val="0"/>
      <w:marBottom w:val="0"/>
      <w:divBdr>
        <w:top w:val="none" w:sz="0" w:space="0" w:color="auto"/>
        <w:left w:val="none" w:sz="0" w:space="0" w:color="auto"/>
        <w:bottom w:val="none" w:sz="0" w:space="0" w:color="auto"/>
        <w:right w:val="none" w:sz="0" w:space="0" w:color="auto"/>
      </w:divBdr>
    </w:div>
    <w:div w:id="269508414">
      <w:bodyDiv w:val="1"/>
      <w:marLeft w:val="0"/>
      <w:marRight w:val="0"/>
      <w:marTop w:val="0"/>
      <w:marBottom w:val="0"/>
      <w:divBdr>
        <w:top w:val="none" w:sz="0" w:space="0" w:color="auto"/>
        <w:left w:val="none" w:sz="0" w:space="0" w:color="auto"/>
        <w:bottom w:val="none" w:sz="0" w:space="0" w:color="auto"/>
        <w:right w:val="none" w:sz="0" w:space="0" w:color="auto"/>
      </w:divBdr>
    </w:div>
    <w:div w:id="272523243">
      <w:bodyDiv w:val="1"/>
      <w:marLeft w:val="0"/>
      <w:marRight w:val="0"/>
      <w:marTop w:val="0"/>
      <w:marBottom w:val="0"/>
      <w:divBdr>
        <w:top w:val="none" w:sz="0" w:space="0" w:color="auto"/>
        <w:left w:val="none" w:sz="0" w:space="0" w:color="auto"/>
        <w:bottom w:val="none" w:sz="0" w:space="0" w:color="auto"/>
        <w:right w:val="none" w:sz="0" w:space="0" w:color="auto"/>
      </w:divBdr>
    </w:div>
    <w:div w:id="273635432">
      <w:bodyDiv w:val="1"/>
      <w:marLeft w:val="0"/>
      <w:marRight w:val="0"/>
      <w:marTop w:val="0"/>
      <w:marBottom w:val="0"/>
      <w:divBdr>
        <w:top w:val="none" w:sz="0" w:space="0" w:color="auto"/>
        <w:left w:val="none" w:sz="0" w:space="0" w:color="auto"/>
        <w:bottom w:val="none" w:sz="0" w:space="0" w:color="auto"/>
        <w:right w:val="none" w:sz="0" w:space="0" w:color="auto"/>
      </w:divBdr>
    </w:div>
    <w:div w:id="278687959">
      <w:bodyDiv w:val="1"/>
      <w:marLeft w:val="0"/>
      <w:marRight w:val="0"/>
      <w:marTop w:val="0"/>
      <w:marBottom w:val="0"/>
      <w:divBdr>
        <w:top w:val="none" w:sz="0" w:space="0" w:color="auto"/>
        <w:left w:val="none" w:sz="0" w:space="0" w:color="auto"/>
        <w:bottom w:val="none" w:sz="0" w:space="0" w:color="auto"/>
        <w:right w:val="none" w:sz="0" w:space="0" w:color="auto"/>
      </w:divBdr>
    </w:div>
    <w:div w:id="282931085">
      <w:bodyDiv w:val="1"/>
      <w:marLeft w:val="0"/>
      <w:marRight w:val="0"/>
      <w:marTop w:val="0"/>
      <w:marBottom w:val="0"/>
      <w:divBdr>
        <w:top w:val="none" w:sz="0" w:space="0" w:color="auto"/>
        <w:left w:val="none" w:sz="0" w:space="0" w:color="auto"/>
        <w:bottom w:val="none" w:sz="0" w:space="0" w:color="auto"/>
        <w:right w:val="none" w:sz="0" w:space="0" w:color="auto"/>
      </w:divBdr>
    </w:div>
    <w:div w:id="283390233">
      <w:bodyDiv w:val="1"/>
      <w:marLeft w:val="0"/>
      <w:marRight w:val="0"/>
      <w:marTop w:val="0"/>
      <w:marBottom w:val="0"/>
      <w:divBdr>
        <w:top w:val="none" w:sz="0" w:space="0" w:color="auto"/>
        <w:left w:val="none" w:sz="0" w:space="0" w:color="auto"/>
        <w:bottom w:val="none" w:sz="0" w:space="0" w:color="auto"/>
        <w:right w:val="none" w:sz="0" w:space="0" w:color="auto"/>
      </w:divBdr>
    </w:div>
    <w:div w:id="287250345">
      <w:bodyDiv w:val="1"/>
      <w:marLeft w:val="0"/>
      <w:marRight w:val="0"/>
      <w:marTop w:val="0"/>
      <w:marBottom w:val="0"/>
      <w:divBdr>
        <w:top w:val="none" w:sz="0" w:space="0" w:color="auto"/>
        <w:left w:val="none" w:sz="0" w:space="0" w:color="auto"/>
        <w:bottom w:val="none" w:sz="0" w:space="0" w:color="auto"/>
        <w:right w:val="none" w:sz="0" w:space="0" w:color="auto"/>
      </w:divBdr>
    </w:div>
    <w:div w:id="290483611">
      <w:bodyDiv w:val="1"/>
      <w:marLeft w:val="0"/>
      <w:marRight w:val="0"/>
      <w:marTop w:val="0"/>
      <w:marBottom w:val="0"/>
      <w:divBdr>
        <w:top w:val="none" w:sz="0" w:space="0" w:color="auto"/>
        <w:left w:val="none" w:sz="0" w:space="0" w:color="auto"/>
        <w:bottom w:val="none" w:sz="0" w:space="0" w:color="auto"/>
        <w:right w:val="none" w:sz="0" w:space="0" w:color="auto"/>
      </w:divBdr>
    </w:div>
    <w:div w:id="293868972">
      <w:bodyDiv w:val="1"/>
      <w:marLeft w:val="0"/>
      <w:marRight w:val="0"/>
      <w:marTop w:val="0"/>
      <w:marBottom w:val="0"/>
      <w:divBdr>
        <w:top w:val="none" w:sz="0" w:space="0" w:color="auto"/>
        <w:left w:val="none" w:sz="0" w:space="0" w:color="auto"/>
        <w:bottom w:val="none" w:sz="0" w:space="0" w:color="auto"/>
        <w:right w:val="none" w:sz="0" w:space="0" w:color="auto"/>
      </w:divBdr>
    </w:div>
    <w:div w:id="301084014">
      <w:bodyDiv w:val="1"/>
      <w:marLeft w:val="0"/>
      <w:marRight w:val="0"/>
      <w:marTop w:val="0"/>
      <w:marBottom w:val="0"/>
      <w:divBdr>
        <w:top w:val="none" w:sz="0" w:space="0" w:color="auto"/>
        <w:left w:val="none" w:sz="0" w:space="0" w:color="auto"/>
        <w:bottom w:val="none" w:sz="0" w:space="0" w:color="auto"/>
        <w:right w:val="none" w:sz="0" w:space="0" w:color="auto"/>
      </w:divBdr>
    </w:div>
    <w:div w:id="303241533">
      <w:bodyDiv w:val="1"/>
      <w:marLeft w:val="0"/>
      <w:marRight w:val="0"/>
      <w:marTop w:val="0"/>
      <w:marBottom w:val="0"/>
      <w:divBdr>
        <w:top w:val="none" w:sz="0" w:space="0" w:color="auto"/>
        <w:left w:val="none" w:sz="0" w:space="0" w:color="auto"/>
        <w:bottom w:val="none" w:sz="0" w:space="0" w:color="auto"/>
        <w:right w:val="none" w:sz="0" w:space="0" w:color="auto"/>
      </w:divBdr>
    </w:div>
    <w:div w:id="305626015">
      <w:bodyDiv w:val="1"/>
      <w:marLeft w:val="0"/>
      <w:marRight w:val="0"/>
      <w:marTop w:val="0"/>
      <w:marBottom w:val="0"/>
      <w:divBdr>
        <w:top w:val="none" w:sz="0" w:space="0" w:color="auto"/>
        <w:left w:val="none" w:sz="0" w:space="0" w:color="auto"/>
        <w:bottom w:val="none" w:sz="0" w:space="0" w:color="auto"/>
        <w:right w:val="none" w:sz="0" w:space="0" w:color="auto"/>
      </w:divBdr>
    </w:div>
    <w:div w:id="313142394">
      <w:bodyDiv w:val="1"/>
      <w:marLeft w:val="0"/>
      <w:marRight w:val="0"/>
      <w:marTop w:val="0"/>
      <w:marBottom w:val="0"/>
      <w:divBdr>
        <w:top w:val="none" w:sz="0" w:space="0" w:color="auto"/>
        <w:left w:val="none" w:sz="0" w:space="0" w:color="auto"/>
        <w:bottom w:val="none" w:sz="0" w:space="0" w:color="auto"/>
        <w:right w:val="none" w:sz="0" w:space="0" w:color="auto"/>
      </w:divBdr>
    </w:div>
    <w:div w:id="320044468">
      <w:bodyDiv w:val="1"/>
      <w:marLeft w:val="0"/>
      <w:marRight w:val="0"/>
      <w:marTop w:val="0"/>
      <w:marBottom w:val="0"/>
      <w:divBdr>
        <w:top w:val="none" w:sz="0" w:space="0" w:color="auto"/>
        <w:left w:val="none" w:sz="0" w:space="0" w:color="auto"/>
        <w:bottom w:val="none" w:sz="0" w:space="0" w:color="auto"/>
        <w:right w:val="none" w:sz="0" w:space="0" w:color="auto"/>
      </w:divBdr>
    </w:div>
    <w:div w:id="321278579">
      <w:bodyDiv w:val="1"/>
      <w:marLeft w:val="0"/>
      <w:marRight w:val="0"/>
      <w:marTop w:val="0"/>
      <w:marBottom w:val="0"/>
      <w:divBdr>
        <w:top w:val="none" w:sz="0" w:space="0" w:color="auto"/>
        <w:left w:val="none" w:sz="0" w:space="0" w:color="auto"/>
        <w:bottom w:val="none" w:sz="0" w:space="0" w:color="auto"/>
        <w:right w:val="none" w:sz="0" w:space="0" w:color="auto"/>
      </w:divBdr>
    </w:div>
    <w:div w:id="323557534">
      <w:bodyDiv w:val="1"/>
      <w:marLeft w:val="0"/>
      <w:marRight w:val="0"/>
      <w:marTop w:val="0"/>
      <w:marBottom w:val="0"/>
      <w:divBdr>
        <w:top w:val="none" w:sz="0" w:space="0" w:color="auto"/>
        <w:left w:val="none" w:sz="0" w:space="0" w:color="auto"/>
        <w:bottom w:val="none" w:sz="0" w:space="0" w:color="auto"/>
        <w:right w:val="none" w:sz="0" w:space="0" w:color="auto"/>
      </w:divBdr>
    </w:div>
    <w:div w:id="324086795">
      <w:bodyDiv w:val="1"/>
      <w:marLeft w:val="0"/>
      <w:marRight w:val="0"/>
      <w:marTop w:val="0"/>
      <w:marBottom w:val="0"/>
      <w:divBdr>
        <w:top w:val="none" w:sz="0" w:space="0" w:color="auto"/>
        <w:left w:val="none" w:sz="0" w:space="0" w:color="auto"/>
        <w:bottom w:val="none" w:sz="0" w:space="0" w:color="auto"/>
        <w:right w:val="none" w:sz="0" w:space="0" w:color="auto"/>
      </w:divBdr>
    </w:div>
    <w:div w:id="329138588">
      <w:bodyDiv w:val="1"/>
      <w:marLeft w:val="0"/>
      <w:marRight w:val="0"/>
      <w:marTop w:val="0"/>
      <w:marBottom w:val="0"/>
      <w:divBdr>
        <w:top w:val="none" w:sz="0" w:space="0" w:color="auto"/>
        <w:left w:val="none" w:sz="0" w:space="0" w:color="auto"/>
        <w:bottom w:val="none" w:sz="0" w:space="0" w:color="auto"/>
        <w:right w:val="none" w:sz="0" w:space="0" w:color="auto"/>
      </w:divBdr>
    </w:div>
    <w:div w:id="330834023">
      <w:bodyDiv w:val="1"/>
      <w:marLeft w:val="0"/>
      <w:marRight w:val="0"/>
      <w:marTop w:val="0"/>
      <w:marBottom w:val="0"/>
      <w:divBdr>
        <w:top w:val="none" w:sz="0" w:space="0" w:color="auto"/>
        <w:left w:val="none" w:sz="0" w:space="0" w:color="auto"/>
        <w:bottom w:val="none" w:sz="0" w:space="0" w:color="auto"/>
        <w:right w:val="none" w:sz="0" w:space="0" w:color="auto"/>
      </w:divBdr>
    </w:div>
    <w:div w:id="333068900">
      <w:bodyDiv w:val="1"/>
      <w:marLeft w:val="0"/>
      <w:marRight w:val="0"/>
      <w:marTop w:val="0"/>
      <w:marBottom w:val="0"/>
      <w:divBdr>
        <w:top w:val="none" w:sz="0" w:space="0" w:color="auto"/>
        <w:left w:val="none" w:sz="0" w:space="0" w:color="auto"/>
        <w:bottom w:val="none" w:sz="0" w:space="0" w:color="auto"/>
        <w:right w:val="none" w:sz="0" w:space="0" w:color="auto"/>
      </w:divBdr>
    </w:div>
    <w:div w:id="337124727">
      <w:bodyDiv w:val="1"/>
      <w:marLeft w:val="0"/>
      <w:marRight w:val="0"/>
      <w:marTop w:val="0"/>
      <w:marBottom w:val="0"/>
      <w:divBdr>
        <w:top w:val="none" w:sz="0" w:space="0" w:color="auto"/>
        <w:left w:val="none" w:sz="0" w:space="0" w:color="auto"/>
        <w:bottom w:val="none" w:sz="0" w:space="0" w:color="auto"/>
        <w:right w:val="none" w:sz="0" w:space="0" w:color="auto"/>
      </w:divBdr>
    </w:div>
    <w:div w:id="337201223">
      <w:bodyDiv w:val="1"/>
      <w:marLeft w:val="0"/>
      <w:marRight w:val="0"/>
      <w:marTop w:val="0"/>
      <w:marBottom w:val="0"/>
      <w:divBdr>
        <w:top w:val="none" w:sz="0" w:space="0" w:color="auto"/>
        <w:left w:val="none" w:sz="0" w:space="0" w:color="auto"/>
        <w:bottom w:val="none" w:sz="0" w:space="0" w:color="auto"/>
        <w:right w:val="none" w:sz="0" w:space="0" w:color="auto"/>
      </w:divBdr>
    </w:div>
    <w:div w:id="340620927">
      <w:bodyDiv w:val="1"/>
      <w:marLeft w:val="0"/>
      <w:marRight w:val="0"/>
      <w:marTop w:val="0"/>
      <w:marBottom w:val="0"/>
      <w:divBdr>
        <w:top w:val="none" w:sz="0" w:space="0" w:color="auto"/>
        <w:left w:val="none" w:sz="0" w:space="0" w:color="auto"/>
        <w:bottom w:val="none" w:sz="0" w:space="0" w:color="auto"/>
        <w:right w:val="none" w:sz="0" w:space="0" w:color="auto"/>
      </w:divBdr>
    </w:div>
    <w:div w:id="344670495">
      <w:bodyDiv w:val="1"/>
      <w:marLeft w:val="0"/>
      <w:marRight w:val="0"/>
      <w:marTop w:val="0"/>
      <w:marBottom w:val="0"/>
      <w:divBdr>
        <w:top w:val="none" w:sz="0" w:space="0" w:color="auto"/>
        <w:left w:val="none" w:sz="0" w:space="0" w:color="auto"/>
        <w:bottom w:val="none" w:sz="0" w:space="0" w:color="auto"/>
        <w:right w:val="none" w:sz="0" w:space="0" w:color="auto"/>
      </w:divBdr>
    </w:div>
    <w:div w:id="347028635">
      <w:bodyDiv w:val="1"/>
      <w:marLeft w:val="0"/>
      <w:marRight w:val="0"/>
      <w:marTop w:val="0"/>
      <w:marBottom w:val="0"/>
      <w:divBdr>
        <w:top w:val="none" w:sz="0" w:space="0" w:color="auto"/>
        <w:left w:val="none" w:sz="0" w:space="0" w:color="auto"/>
        <w:bottom w:val="none" w:sz="0" w:space="0" w:color="auto"/>
        <w:right w:val="none" w:sz="0" w:space="0" w:color="auto"/>
      </w:divBdr>
    </w:div>
    <w:div w:id="364718125">
      <w:bodyDiv w:val="1"/>
      <w:marLeft w:val="0"/>
      <w:marRight w:val="0"/>
      <w:marTop w:val="0"/>
      <w:marBottom w:val="0"/>
      <w:divBdr>
        <w:top w:val="none" w:sz="0" w:space="0" w:color="auto"/>
        <w:left w:val="none" w:sz="0" w:space="0" w:color="auto"/>
        <w:bottom w:val="none" w:sz="0" w:space="0" w:color="auto"/>
        <w:right w:val="none" w:sz="0" w:space="0" w:color="auto"/>
      </w:divBdr>
    </w:div>
    <w:div w:id="365495778">
      <w:bodyDiv w:val="1"/>
      <w:marLeft w:val="0"/>
      <w:marRight w:val="0"/>
      <w:marTop w:val="0"/>
      <w:marBottom w:val="0"/>
      <w:divBdr>
        <w:top w:val="none" w:sz="0" w:space="0" w:color="auto"/>
        <w:left w:val="none" w:sz="0" w:space="0" w:color="auto"/>
        <w:bottom w:val="none" w:sz="0" w:space="0" w:color="auto"/>
        <w:right w:val="none" w:sz="0" w:space="0" w:color="auto"/>
      </w:divBdr>
    </w:div>
    <w:div w:id="372534371">
      <w:bodyDiv w:val="1"/>
      <w:marLeft w:val="0"/>
      <w:marRight w:val="0"/>
      <w:marTop w:val="0"/>
      <w:marBottom w:val="0"/>
      <w:divBdr>
        <w:top w:val="none" w:sz="0" w:space="0" w:color="auto"/>
        <w:left w:val="none" w:sz="0" w:space="0" w:color="auto"/>
        <w:bottom w:val="none" w:sz="0" w:space="0" w:color="auto"/>
        <w:right w:val="none" w:sz="0" w:space="0" w:color="auto"/>
      </w:divBdr>
    </w:div>
    <w:div w:id="374352468">
      <w:bodyDiv w:val="1"/>
      <w:marLeft w:val="0"/>
      <w:marRight w:val="0"/>
      <w:marTop w:val="0"/>
      <w:marBottom w:val="0"/>
      <w:divBdr>
        <w:top w:val="none" w:sz="0" w:space="0" w:color="auto"/>
        <w:left w:val="none" w:sz="0" w:space="0" w:color="auto"/>
        <w:bottom w:val="none" w:sz="0" w:space="0" w:color="auto"/>
        <w:right w:val="none" w:sz="0" w:space="0" w:color="auto"/>
      </w:divBdr>
    </w:div>
    <w:div w:id="376667228">
      <w:bodyDiv w:val="1"/>
      <w:marLeft w:val="0"/>
      <w:marRight w:val="0"/>
      <w:marTop w:val="0"/>
      <w:marBottom w:val="0"/>
      <w:divBdr>
        <w:top w:val="none" w:sz="0" w:space="0" w:color="auto"/>
        <w:left w:val="none" w:sz="0" w:space="0" w:color="auto"/>
        <w:bottom w:val="none" w:sz="0" w:space="0" w:color="auto"/>
        <w:right w:val="none" w:sz="0" w:space="0" w:color="auto"/>
      </w:divBdr>
    </w:div>
    <w:div w:id="378436599">
      <w:bodyDiv w:val="1"/>
      <w:marLeft w:val="0"/>
      <w:marRight w:val="0"/>
      <w:marTop w:val="0"/>
      <w:marBottom w:val="0"/>
      <w:divBdr>
        <w:top w:val="none" w:sz="0" w:space="0" w:color="auto"/>
        <w:left w:val="none" w:sz="0" w:space="0" w:color="auto"/>
        <w:bottom w:val="none" w:sz="0" w:space="0" w:color="auto"/>
        <w:right w:val="none" w:sz="0" w:space="0" w:color="auto"/>
      </w:divBdr>
    </w:div>
    <w:div w:id="378555972">
      <w:bodyDiv w:val="1"/>
      <w:marLeft w:val="0"/>
      <w:marRight w:val="0"/>
      <w:marTop w:val="0"/>
      <w:marBottom w:val="0"/>
      <w:divBdr>
        <w:top w:val="none" w:sz="0" w:space="0" w:color="auto"/>
        <w:left w:val="none" w:sz="0" w:space="0" w:color="auto"/>
        <w:bottom w:val="none" w:sz="0" w:space="0" w:color="auto"/>
        <w:right w:val="none" w:sz="0" w:space="0" w:color="auto"/>
      </w:divBdr>
    </w:div>
    <w:div w:id="379978013">
      <w:bodyDiv w:val="1"/>
      <w:marLeft w:val="0"/>
      <w:marRight w:val="0"/>
      <w:marTop w:val="0"/>
      <w:marBottom w:val="0"/>
      <w:divBdr>
        <w:top w:val="none" w:sz="0" w:space="0" w:color="auto"/>
        <w:left w:val="none" w:sz="0" w:space="0" w:color="auto"/>
        <w:bottom w:val="none" w:sz="0" w:space="0" w:color="auto"/>
        <w:right w:val="none" w:sz="0" w:space="0" w:color="auto"/>
      </w:divBdr>
    </w:div>
    <w:div w:id="380177238">
      <w:bodyDiv w:val="1"/>
      <w:marLeft w:val="0"/>
      <w:marRight w:val="0"/>
      <w:marTop w:val="0"/>
      <w:marBottom w:val="0"/>
      <w:divBdr>
        <w:top w:val="none" w:sz="0" w:space="0" w:color="auto"/>
        <w:left w:val="none" w:sz="0" w:space="0" w:color="auto"/>
        <w:bottom w:val="none" w:sz="0" w:space="0" w:color="auto"/>
        <w:right w:val="none" w:sz="0" w:space="0" w:color="auto"/>
      </w:divBdr>
    </w:div>
    <w:div w:id="381440377">
      <w:bodyDiv w:val="1"/>
      <w:marLeft w:val="0"/>
      <w:marRight w:val="0"/>
      <w:marTop w:val="0"/>
      <w:marBottom w:val="0"/>
      <w:divBdr>
        <w:top w:val="none" w:sz="0" w:space="0" w:color="auto"/>
        <w:left w:val="none" w:sz="0" w:space="0" w:color="auto"/>
        <w:bottom w:val="none" w:sz="0" w:space="0" w:color="auto"/>
        <w:right w:val="none" w:sz="0" w:space="0" w:color="auto"/>
      </w:divBdr>
    </w:div>
    <w:div w:id="386883226">
      <w:bodyDiv w:val="1"/>
      <w:marLeft w:val="0"/>
      <w:marRight w:val="0"/>
      <w:marTop w:val="0"/>
      <w:marBottom w:val="0"/>
      <w:divBdr>
        <w:top w:val="none" w:sz="0" w:space="0" w:color="auto"/>
        <w:left w:val="none" w:sz="0" w:space="0" w:color="auto"/>
        <w:bottom w:val="none" w:sz="0" w:space="0" w:color="auto"/>
        <w:right w:val="none" w:sz="0" w:space="0" w:color="auto"/>
      </w:divBdr>
    </w:div>
    <w:div w:id="387842595">
      <w:bodyDiv w:val="1"/>
      <w:marLeft w:val="0"/>
      <w:marRight w:val="0"/>
      <w:marTop w:val="0"/>
      <w:marBottom w:val="0"/>
      <w:divBdr>
        <w:top w:val="none" w:sz="0" w:space="0" w:color="auto"/>
        <w:left w:val="none" w:sz="0" w:space="0" w:color="auto"/>
        <w:bottom w:val="none" w:sz="0" w:space="0" w:color="auto"/>
        <w:right w:val="none" w:sz="0" w:space="0" w:color="auto"/>
      </w:divBdr>
    </w:div>
    <w:div w:id="391929511">
      <w:bodyDiv w:val="1"/>
      <w:marLeft w:val="0"/>
      <w:marRight w:val="0"/>
      <w:marTop w:val="0"/>
      <w:marBottom w:val="0"/>
      <w:divBdr>
        <w:top w:val="none" w:sz="0" w:space="0" w:color="auto"/>
        <w:left w:val="none" w:sz="0" w:space="0" w:color="auto"/>
        <w:bottom w:val="none" w:sz="0" w:space="0" w:color="auto"/>
        <w:right w:val="none" w:sz="0" w:space="0" w:color="auto"/>
      </w:divBdr>
    </w:div>
    <w:div w:id="394275746">
      <w:bodyDiv w:val="1"/>
      <w:marLeft w:val="0"/>
      <w:marRight w:val="0"/>
      <w:marTop w:val="0"/>
      <w:marBottom w:val="0"/>
      <w:divBdr>
        <w:top w:val="none" w:sz="0" w:space="0" w:color="auto"/>
        <w:left w:val="none" w:sz="0" w:space="0" w:color="auto"/>
        <w:bottom w:val="none" w:sz="0" w:space="0" w:color="auto"/>
        <w:right w:val="none" w:sz="0" w:space="0" w:color="auto"/>
      </w:divBdr>
    </w:div>
    <w:div w:id="395129944">
      <w:bodyDiv w:val="1"/>
      <w:marLeft w:val="0"/>
      <w:marRight w:val="0"/>
      <w:marTop w:val="0"/>
      <w:marBottom w:val="0"/>
      <w:divBdr>
        <w:top w:val="none" w:sz="0" w:space="0" w:color="auto"/>
        <w:left w:val="none" w:sz="0" w:space="0" w:color="auto"/>
        <w:bottom w:val="none" w:sz="0" w:space="0" w:color="auto"/>
        <w:right w:val="none" w:sz="0" w:space="0" w:color="auto"/>
      </w:divBdr>
    </w:div>
    <w:div w:id="395326034">
      <w:bodyDiv w:val="1"/>
      <w:marLeft w:val="0"/>
      <w:marRight w:val="0"/>
      <w:marTop w:val="0"/>
      <w:marBottom w:val="0"/>
      <w:divBdr>
        <w:top w:val="none" w:sz="0" w:space="0" w:color="auto"/>
        <w:left w:val="none" w:sz="0" w:space="0" w:color="auto"/>
        <w:bottom w:val="none" w:sz="0" w:space="0" w:color="auto"/>
        <w:right w:val="none" w:sz="0" w:space="0" w:color="auto"/>
      </w:divBdr>
    </w:div>
    <w:div w:id="396056170">
      <w:bodyDiv w:val="1"/>
      <w:marLeft w:val="0"/>
      <w:marRight w:val="0"/>
      <w:marTop w:val="0"/>
      <w:marBottom w:val="0"/>
      <w:divBdr>
        <w:top w:val="none" w:sz="0" w:space="0" w:color="auto"/>
        <w:left w:val="none" w:sz="0" w:space="0" w:color="auto"/>
        <w:bottom w:val="none" w:sz="0" w:space="0" w:color="auto"/>
        <w:right w:val="none" w:sz="0" w:space="0" w:color="auto"/>
      </w:divBdr>
    </w:div>
    <w:div w:id="406270030">
      <w:bodyDiv w:val="1"/>
      <w:marLeft w:val="0"/>
      <w:marRight w:val="0"/>
      <w:marTop w:val="0"/>
      <w:marBottom w:val="0"/>
      <w:divBdr>
        <w:top w:val="none" w:sz="0" w:space="0" w:color="auto"/>
        <w:left w:val="none" w:sz="0" w:space="0" w:color="auto"/>
        <w:bottom w:val="none" w:sz="0" w:space="0" w:color="auto"/>
        <w:right w:val="none" w:sz="0" w:space="0" w:color="auto"/>
      </w:divBdr>
    </w:div>
    <w:div w:id="408500678">
      <w:bodyDiv w:val="1"/>
      <w:marLeft w:val="0"/>
      <w:marRight w:val="0"/>
      <w:marTop w:val="0"/>
      <w:marBottom w:val="0"/>
      <w:divBdr>
        <w:top w:val="none" w:sz="0" w:space="0" w:color="auto"/>
        <w:left w:val="none" w:sz="0" w:space="0" w:color="auto"/>
        <w:bottom w:val="none" w:sz="0" w:space="0" w:color="auto"/>
        <w:right w:val="none" w:sz="0" w:space="0" w:color="auto"/>
      </w:divBdr>
    </w:div>
    <w:div w:id="409693533">
      <w:bodyDiv w:val="1"/>
      <w:marLeft w:val="0"/>
      <w:marRight w:val="0"/>
      <w:marTop w:val="0"/>
      <w:marBottom w:val="0"/>
      <w:divBdr>
        <w:top w:val="none" w:sz="0" w:space="0" w:color="auto"/>
        <w:left w:val="none" w:sz="0" w:space="0" w:color="auto"/>
        <w:bottom w:val="none" w:sz="0" w:space="0" w:color="auto"/>
        <w:right w:val="none" w:sz="0" w:space="0" w:color="auto"/>
      </w:divBdr>
    </w:div>
    <w:div w:id="411895382">
      <w:bodyDiv w:val="1"/>
      <w:marLeft w:val="0"/>
      <w:marRight w:val="0"/>
      <w:marTop w:val="0"/>
      <w:marBottom w:val="0"/>
      <w:divBdr>
        <w:top w:val="none" w:sz="0" w:space="0" w:color="auto"/>
        <w:left w:val="none" w:sz="0" w:space="0" w:color="auto"/>
        <w:bottom w:val="none" w:sz="0" w:space="0" w:color="auto"/>
        <w:right w:val="none" w:sz="0" w:space="0" w:color="auto"/>
      </w:divBdr>
    </w:div>
    <w:div w:id="412821859">
      <w:bodyDiv w:val="1"/>
      <w:marLeft w:val="0"/>
      <w:marRight w:val="0"/>
      <w:marTop w:val="0"/>
      <w:marBottom w:val="0"/>
      <w:divBdr>
        <w:top w:val="none" w:sz="0" w:space="0" w:color="auto"/>
        <w:left w:val="none" w:sz="0" w:space="0" w:color="auto"/>
        <w:bottom w:val="none" w:sz="0" w:space="0" w:color="auto"/>
        <w:right w:val="none" w:sz="0" w:space="0" w:color="auto"/>
      </w:divBdr>
    </w:div>
    <w:div w:id="413205300">
      <w:bodyDiv w:val="1"/>
      <w:marLeft w:val="0"/>
      <w:marRight w:val="0"/>
      <w:marTop w:val="0"/>
      <w:marBottom w:val="0"/>
      <w:divBdr>
        <w:top w:val="none" w:sz="0" w:space="0" w:color="auto"/>
        <w:left w:val="none" w:sz="0" w:space="0" w:color="auto"/>
        <w:bottom w:val="none" w:sz="0" w:space="0" w:color="auto"/>
        <w:right w:val="none" w:sz="0" w:space="0" w:color="auto"/>
      </w:divBdr>
    </w:div>
    <w:div w:id="420874524">
      <w:bodyDiv w:val="1"/>
      <w:marLeft w:val="0"/>
      <w:marRight w:val="0"/>
      <w:marTop w:val="0"/>
      <w:marBottom w:val="0"/>
      <w:divBdr>
        <w:top w:val="none" w:sz="0" w:space="0" w:color="auto"/>
        <w:left w:val="none" w:sz="0" w:space="0" w:color="auto"/>
        <w:bottom w:val="none" w:sz="0" w:space="0" w:color="auto"/>
        <w:right w:val="none" w:sz="0" w:space="0" w:color="auto"/>
      </w:divBdr>
    </w:div>
    <w:div w:id="431970832">
      <w:bodyDiv w:val="1"/>
      <w:marLeft w:val="0"/>
      <w:marRight w:val="0"/>
      <w:marTop w:val="0"/>
      <w:marBottom w:val="0"/>
      <w:divBdr>
        <w:top w:val="none" w:sz="0" w:space="0" w:color="auto"/>
        <w:left w:val="none" w:sz="0" w:space="0" w:color="auto"/>
        <w:bottom w:val="none" w:sz="0" w:space="0" w:color="auto"/>
        <w:right w:val="none" w:sz="0" w:space="0" w:color="auto"/>
      </w:divBdr>
    </w:div>
    <w:div w:id="438763533">
      <w:bodyDiv w:val="1"/>
      <w:marLeft w:val="0"/>
      <w:marRight w:val="0"/>
      <w:marTop w:val="0"/>
      <w:marBottom w:val="0"/>
      <w:divBdr>
        <w:top w:val="none" w:sz="0" w:space="0" w:color="auto"/>
        <w:left w:val="none" w:sz="0" w:space="0" w:color="auto"/>
        <w:bottom w:val="none" w:sz="0" w:space="0" w:color="auto"/>
        <w:right w:val="none" w:sz="0" w:space="0" w:color="auto"/>
      </w:divBdr>
    </w:div>
    <w:div w:id="441657166">
      <w:bodyDiv w:val="1"/>
      <w:marLeft w:val="0"/>
      <w:marRight w:val="0"/>
      <w:marTop w:val="0"/>
      <w:marBottom w:val="0"/>
      <w:divBdr>
        <w:top w:val="none" w:sz="0" w:space="0" w:color="auto"/>
        <w:left w:val="none" w:sz="0" w:space="0" w:color="auto"/>
        <w:bottom w:val="none" w:sz="0" w:space="0" w:color="auto"/>
        <w:right w:val="none" w:sz="0" w:space="0" w:color="auto"/>
      </w:divBdr>
    </w:div>
    <w:div w:id="441725683">
      <w:bodyDiv w:val="1"/>
      <w:marLeft w:val="0"/>
      <w:marRight w:val="0"/>
      <w:marTop w:val="0"/>
      <w:marBottom w:val="0"/>
      <w:divBdr>
        <w:top w:val="none" w:sz="0" w:space="0" w:color="auto"/>
        <w:left w:val="none" w:sz="0" w:space="0" w:color="auto"/>
        <w:bottom w:val="none" w:sz="0" w:space="0" w:color="auto"/>
        <w:right w:val="none" w:sz="0" w:space="0" w:color="auto"/>
      </w:divBdr>
    </w:div>
    <w:div w:id="446002644">
      <w:bodyDiv w:val="1"/>
      <w:marLeft w:val="0"/>
      <w:marRight w:val="0"/>
      <w:marTop w:val="0"/>
      <w:marBottom w:val="0"/>
      <w:divBdr>
        <w:top w:val="none" w:sz="0" w:space="0" w:color="auto"/>
        <w:left w:val="none" w:sz="0" w:space="0" w:color="auto"/>
        <w:bottom w:val="none" w:sz="0" w:space="0" w:color="auto"/>
        <w:right w:val="none" w:sz="0" w:space="0" w:color="auto"/>
      </w:divBdr>
    </w:div>
    <w:div w:id="447814792">
      <w:bodyDiv w:val="1"/>
      <w:marLeft w:val="0"/>
      <w:marRight w:val="0"/>
      <w:marTop w:val="0"/>
      <w:marBottom w:val="0"/>
      <w:divBdr>
        <w:top w:val="none" w:sz="0" w:space="0" w:color="auto"/>
        <w:left w:val="none" w:sz="0" w:space="0" w:color="auto"/>
        <w:bottom w:val="none" w:sz="0" w:space="0" w:color="auto"/>
        <w:right w:val="none" w:sz="0" w:space="0" w:color="auto"/>
      </w:divBdr>
    </w:div>
    <w:div w:id="449665807">
      <w:bodyDiv w:val="1"/>
      <w:marLeft w:val="0"/>
      <w:marRight w:val="0"/>
      <w:marTop w:val="0"/>
      <w:marBottom w:val="0"/>
      <w:divBdr>
        <w:top w:val="none" w:sz="0" w:space="0" w:color="auto"/>
        <w:left w:val="none" w:sz="0" w:space="0" w:color="auto"/>
        <w:bottom w:val="none" w:sz="0" w:space="0" w:color="auto"/>
        <w:right w:val="none" w:sz="0" w:space="0" w:color="auto"/>
      </w:divBdr>
    </w:div>
    <w:div w:id="454254302">
      <w:bodyDiv w:val="1"/>
      <w:marLeft w:val="0"/>
      <w:marRight w:val="0"/>
      <w:marTop w:val="0"/>
      <w:marBottom w:val="0"/>
      <w:divBdr>
        <w:top w:val="none" w:sz="0" w:space="0" w:color="auto"/>
        <w:left w:val="none" w:sz="0" w:space="0" w:color="auto"/>
        <w:bottom w:val="none" w:sz="0" w:space="0" w:color="auto"/>
        <w:right w:val="none" w:sz="0" w:space="0" w:color="auto"/>
      </w:divBdr>
    </w:div>
    <w:div w:id="461776029">
      <w:bodyDiv w:val="1"/>
      <w:marLeft w:val="0"/>
      <w:marRight w:val="0"/>
      <w:marTop w:val="0"/>
      <w:marBottom w:val="0"/>
      <w:divBdr>
        <w:top w:val="none" w:sz="0" w:space="0" w:color="auto"/>
        <w:left w:val="none" w:sz="0" w:space="0" w:color="auto"/>
        <w:bottom w:val="none" w:sz="0" w:space="0" w:color="auto"/>
        <w:right w:val="none" w:sz="0" w:space="0" w:color="auto"/>
      </w:divBdr>
    </w:div>
    <w:div w:id="467015041">
      <w:bodyDiv w:val="1"/>
      <w:marLeft w:val="0"/>
      <w:marRight w:val="0"/>
      <w:marTop w:val="0"/>
      <w:marBottom w:val="0"/>
      <w:divBdr>
        <w:top w:val="none" w:sz="0" w:space="0" w:color="auto"/>
        <w:left w:val="none" w:sz="0" w:space="0" w:color="auto"/>
        <w:bottom w:val="none" w:sz="0" w:space="0" w:color="auto"/>
        <w:right w:val="none" w:sz="0" w:space="0" w:color="auto"/>
      </w:divBdr>
    </w:div>
    <w:div w:id="472601190">
      <w:bodyDiv w:val="1"/>
      <w:marLeft w:val="0"/>
      <w:marRight w:val="0"/>
      <w:marTop w:val="0"/>
      <w:marBottom w:val="0"/>
      <w:divBdr>
        <w:top w:val="none" w:sz="0" w:space="0" w:color="auto"/>
        <w:left w:val="none" w:sz="0" w:space="0" w:color="auto"/>
        <w:bottom w:val="none" w:sz="0" w:space="0" w:color="auto"/>
        <w:right w:val="none" w:sz="0" w:space="0" w:color="auto"/>
      </w:divBdr>
    </w:div>
    <w:div w:id="475073863">
      <w:bodyDiv w:val="1"/>
      <w:marLeft w:val="0"/>
      <w:marRight w:val="0"/>
      <w:marTop w:val="0"/>
      <w:marBottom w:val="0"/>
      <w:divBdr>
        <w:top w:val="none" w:sz="0" w:space="0" w:color="auto"/>
        <w:left w:val="none" w:sz="0" w:space="0" w:color="auto"/>
        <w:bottom w:val="none" w:sz="0" w:space="0" w:color="auto"/>
        <w:right w:val="none" w:sz="0" w:space="0" w:color="auto"/>
      </w:divBdr>
    </w:div>
    <w:div w:id="475534978">
      <w:bodyDiv w:val="1"/>
      <w:marLeft w:val="0"/>
      <w:marRight w:val="0"/>
      <w:marTop w:val="0"/>
      <w:marBottom w:val="0"/>
      <w:divBdr>
        <w:top w:val="none" w:sz="0" w:space="0" w:color="auto"/>
        <w:left w:val="none" w:sz="0" w:space="0" w:color="auto"/>
        <w:bottom w:val="none" w:sz="0" w:space="0" w:color="auto"/>
        <w:right w:val="none" w:sz="0" w:space="0" w:color="auto"/>
      </w:divBdr>
    </w:div>
    <w:div w:id="483664593">
      <w:bodyDiv w:val="1"/>
      <w:marLeft w:val="0"/>
      <w:marRight w:val="0"/>
      <w:marTop w:val="0"/>
      <w:marBottom w:val="0"/>
      <w:divBdr>
        <w:top w:val="none" w:sz="0" w:space="0" w:color="auto"/>
        <w:left w:val="none" w:sz="0" w:space="0" w:color="auto"/>
        <w:bottom w:val="none" w:sz="0" w:space="0" w:color="auto"/>
        <w:right w:val="none" w:sz="0" w:space="0" w:color="auto"/>
      </w:divBdr>
    </w:div>
    <w:div w:id="492528474">
      <w:bodyDiv w:val="1"/>
      <w:marLeft w:val="0"/>
      <w:marRight w:val="0"/>
      <w:marTop w:val="0"/>
      <w:marBottom w:val="0"/>
      <w:divBdr>
        <w:top w:val="none" w:sz="0" w:space="0" w:color="auto"/>
        <w:left w:val="none" w:sz="0" w:space="0" w:color="auto"/>
        <w:bottom w:val="none" w:sz="0" w:space="0" w:color="auto"/>
        <w:right w:val="none" w:sz="0" w:space="0" w:color="auto"/>
      </w:divBdr>
    </w:div>
    <w:div w:id="492916064">
      <w:bodyDiv w:val="1"/>
      <w:marLeft w:val="0"/>
      <w:marRight w:val="0"/>
      <w:marTop w:val="0"/>
      <w:marBottom w:val="0"/>
      <w:divBdr>
        <w:top w:val="none" w:sz="0" w:space="0" w:color="auto"/>
        <w:left w:val="none" w:sz="0" w:space="0" w:color="auto"/>
        <w:bottom w:val="none" w:sz="0" w:space="0" w:color="auto"/>
        <w:right w:val="none" w:sz="0" w:space="0" w:color="auto"/>
      </w:divBdr>
    </w:div>
    <w:div w:id="494609211">
      <w:bodyDiv w:val="1"/>
      <w:marLeft w:val="0"/>
      <w:marRight w:val="0"/>
      <w:marTop w:val="0"/>
      <w:marBottom w:val="0"/>
      <w:divBdr>
        <w:top w:val="none" w:sz="0" w:space="0" w:color="auto"/>
        <w:left w:val="none" w:sz="0" w:space="0" w:color="auto"/>
        <w:bottom w:val="none" w:sz="0" w:space="0" w:color="auto"/>
        <w:right w:val="none" w:sz="0" w:space="0" w:color="auto"/>
      </w:divBdr>
    </w:div>
    <w:div w:id="495852234">
      <w:bodyDiv w:val="1"/>
      <w:marLeft w:val="0"/>
      <w:marRight w:val="0"/>
      <w:marTop w:val="0"/>
      <w:marBottom w:val="0"/>
      <w:divBdr>
        <w:top w:val="none" w:sz="0" w:space="0" w:color="auto"/>
        <w:left w:val="none" w:sz="0" w:space="0" w:color="auto"/>
        <w:bottom w:val="none" w:sz="0" w:space="0" w:color="auto"/>
        <w:right w:val="none" w:sz="0" w:space="0" w:color="auto"/>
      </w:divBdr>
    </w:div>
    <w:div w:id="501550871">
      <w:bodyDiv w:val="1"/>
      <w:marLeft w:val="0"/>
      <w:marRight w:val="0"/>
      <w:marTop w:val="0"/>
      <w:marBottom w:val="0"/>
      <w:divBdr>
        <w:top w:val="none" w:sz="0" w:space="0" w:color="auto"/>
        <w:left w:val="none" w:sz="0" w:space="0" w:color="auto"/>
        <w:bottom w:val="none" w:sz="0" w:space="0" w:color="auto"/>
        <w:right w:val="none" w:sz="0" w:space="0" w:color="auto"/>
      </w:divBdr>
    </w:div>
    <w:div w:id="502400358">
      <w:bodyDiv w:val="1"/>
      <w:marLeft w:val="0"/>
      <w:marRight w:val="0"/>
      <w:marTop w:val="0"/>
      <w:marBottom w:val="0"/>
      <w:divBdr>
        <w:top w:val="none" w:sz="0" w:space="0" w:color="auto"/>
        <w:left w:val="none" w:sz="0" w:space="0" w:color="auto"/>
        <w:bottom w:val="none" w:sz="0" w:space="0" w:color="auto"/>
        <w:right w:val="none" w:sz="0" w:space="0" w:color="auto"/>
      </w:divBdr>
    </w:div>
    <w:div w:id="503276510">
      <w:bodyDiv w:val="1"/>
      <w:marLeft w:val="0"/>
      <w:marRight w:val="0"/>
      <w:marTop w:val="0"/>
      <w:marBottom w:val="0"/>
      <w:divBdr>
        <w:top w:val="none" w:sz="0" w:space="0" w:color="auto"/>
        <w:left w:val="none" w:sz="0" w:space="0" w:color="auto"/>
        <w:bottom w:val="none" w:sz="0" w:space="0" w:color="auto"/>
        <w:right w:val="none" w:sz="0" w:space="0" w:color="auto"/>
      </w:divBdr>
    </w:div>
    <w:div w:id="505749584">
      <w:bodyDiv w:val="1"/>
      <w:marLeft w:val="0"/>
      <w:marRight w:val="0"/>
      <w:marTop w:val="0"/>
      <w:marBottom w:val="0"/>
      <w:divBdr>
        <w:top w:val="none" w:sz="0" w:space="0" w:color="auto"/>
        <w:left w:val="none" w:sz="0" w:space="0" w:color="auto"/>
        <w:bottom w:val="none" w:sz="0" w:space="0" w:color="auto"/>
        <w:right w:val="none" w:sz="0" w:space="0" w:color="auto"/>
      </w:divBdr>
    </w:div>
    <w:div w:id="508526468">
      <w:bodyDiv w:val="1"/>
      <w:marLeft w:val="0"/>
      <w:marRight w:val="0"/>
      <w:marTop w:val="0"/>
      <w:marBottom w:val="0"/>
      <w:divBdr>
        <w:top w:val="none" w:sz="0" w:space="0" w:color="auto"/>
        <w:left w:val="none" w:sz="0" w:space="0" w:color="auto"/>
        <w:bottom w:val="none" w:sz="0" w:space="0" w:color="auto"/>
        <w:right w:val="none" w:sz="0" w:space="0" w:color="auto"/>
      </w:divBdr>
    </w:div>
    <w:div w:id="511644302">
      <w:bodyDiv w:val="1"/>
      <w:marLeft w:val="0"/>
      <w:marRight w:val="0"/>
      <w:marTop w:val="0"/>
      <w:marBottom w:val="0"/>
      <w:divBdr>
        <w:top w:val="none" w:sz="0" w:space="0" w:color="auto"/>
        <w:left w:val="none" w:sz="0" w:space="0" w:color="auto"/>
        <w:bottom w:val="none" w:sz="0" w:space="0" w:color="auto"/>
        <w:right w:val="none" w:sz="0" w:space="0" w:color="auto"/>
      </w:divBdr>
    </w:div>
    <w:div w:id="512955659">
      <w:bodyDiv w:val="1"/>
      <w:marLeft w:val="0"/>
      <w:marRight w:val="0"/>
      <w:marTop w:val="0"/>
      <w:marBottom w:val="0"/>
      <w:divBdr>
        <w:top w:val="none" w:sz="0" w:space="0" w:color="auto"/>
        <w:left w:val="none" w:sz="0" w:space="0" w:color="auto"/>
        <w:bottom w:val="none" w:sz="0" w:space="0" w:color="auto"/>
        <w:right w:val="none" w:sz="0" w:space="0" w:color="auto"/>
      </w:divBdr>
    </w:div>
    <w:div w:id="526648879">
      <w:bodyDiv w:val="1"/>
      <w:marLeft w:val="0"/>
      <w:marRight w:val="0"/>
      <w:marTop w:val="0"/>
      <w:marBottom w:val="0"/>
      <w:divBdr>
        <w:top w:val="none" w:sz="0" w:space="0" w:color="auto"/>
        <w:left w:val="none" w:sz="0" w:space="0" w:color="auto"/>
        <w:bottom w:val="none" w:sz="0" w:space="0" w:color="auto"/>
        <w:right w:val="none" w:sz="0" w:space="0" w:color="auto"/>
      </w:divBdr>
    </w:div>
    <w:div w:id="529222664">
      <w:bodyDiv w:val="1"/>
      <w:marLeft w:val="0"/>
      <w:marRight w:val="0"/>
      <w:marTop w:val="0"/>
      <w:marBottom w:val="0"/>
      <w:divBdr>
        <w:top w:val="none" w:sz="0" w:space="0" w:color="auto"/>
        <w:left w:val="none" w:sz="0" w:space="0" w:color="auto"/>
        <w:bottom w:val="none" w:sz="0" w:space="0" w:color="auto"/>
        <w:right w:val="none" w:sz="0" w:space="0" w:color="auto"/>
      </w:divBdr>
    </w:div>
    <w:div w:id="532958127">
      <w:bodyDiv w:val="1"/>
      <w:marLeft w:val="0"/>
      <w:marRight w:val="0"/>
      <w:marTop w:val="0"/>
      <w:marBottom w:val="0"/>
      <w:divBdr>
        <w:top w:val="none" w:sz="0" w:space="0" w:color="auto"/>
        <w:left w:val="none" w:sz="0" w:space="0" w:color="auto"/>
        <w:bottom w:val="none" w:sz="0" w:space="0" w:color="auto"/>
        <w:right w:val="none" w:sz="0" w:space="0" w:color="auto"/>
      </w:divBdr>
    </w:div>
    <w:div w:id="533495219">
      <w:bodyDiv w:val="1"/>
      <w:marLeft w:val="0"/>
      <w:marRight w:val="0"/>
      <w:marTop w:val="0"/>
      <w:marBottom w:val="0"/>
      <w:divBdr>
        <w:top w:val="none" w:sz="0" w:space="0" w:color="auto"/>
        <w:left w:val="none" w:sz="0" w:space="0" w:color="auto"/>
        <w:bottom w:val="none" w:sz="0" w:space="0" w:color="auto"/>
        <w:right w:val="none" w:sz="0" w:space="0" w:color="auto"/>
      </w:divBdr>
    </w:div>
    <w:div w:id="536817274">
      <w:bodyDiv w:val="1"/>
      <w:marLeft w:val="0"/>
      <w:marRight w:val="0"/>
      <w:marTop w:val="0"/>
      <w:marBottom w:val="0"/>
      <w:divBdr>
        <w:top w:val="none" w:sz="0" w:space="0" w:color="auto"/>
        <w:left w:val="none" w:sz="0" w:space="0" w:color="auto"/>
        <w:bottom w:val="none" w:sz="0" w:space="0" w:color="auto"/>
        <w:right w:val="none" w:sz="0" w:space="0" w:color="auto"/>
      </w:divBdr>
    </w:div>
    <w:div w:id="537276673">
      <w:bodyDiv w:val="1"/>
      <w:marLeft w:val="0"/>
      <w:marRight w:val="0"/>
      <w:marTop w:val="0"/>
      <w:marBottom w:val="0"/>
      <w:divBdr>
        <w:top w:val="none" w:sz="0" w:space="0" w:color="auto"/>
        <w:left w:val="none" w:sz="0" w:space="0" w:color="auto"/>
        <w:bottom w:val="none" w:sz="0" w:space="0" w:color="auto"/>
        <w:right w:val="none" w:sz="0" w:space="0" w:color="auto"/>
      </w:divBdr>
    </w:div>
    <w:div w:id="551114867">
      <w:bodyDiv w:val="1"/>
      <w:marLeft w:val="0"/>
      <w:marRight w:val="0"/>
      <w:marTop w:val="0"/>
      <w:marBottom w:val="0"/>
      <w:divBdr>
        <w:top w:val="none" w:sz="0" w:space="0" w:color="auto"/>
        <w:left w:val="none" w:sz="0" w:space="0" w:color="auto"/>
        <w:bottom w:val="none" w:sz="0" w:space="0" w:color="auto"/>
        <w:right w:val="none" w:sz="0" w:space="0" w:color="auto"/>
      </w:divBdr>
    </w:div>
    <w:div w:id="559294496">
      <w:bodyDiv w:val="1"/>
      <w:marLeft w:val="0"/>
      <w:marRight w:val="0"/>
      <w:marTop w:val="0"/>
      <w:marBottom w:val="0"/>
      <w:divBdr>
        <w:top w:val="none" w:sz="0" w:space="0" w:color="auto"/>
        <w:left w:val="none" w:sz="0" w:space="0" w:color="auto"/>
        <w:bottom w:val="none" w:sz="0" w:space="0" w:color="auto"/>
        <w:right w:val="none" w:sz="0" w:space="0" w:color="auto"/>
      </w:divBdr>
    </w:div>
    <w:div w:id="564339886">
      <w:bodyDiv w:val="1"/>
      <w:marLeft w:val="0"/>
      <w:marRight w:val="0"/>
      <w:marTop w:val="0"/>
      <w:marBottom w:val="0"/>
      <w:divBdr>
        <w:top w:val="none" w:sz="0" w:space="0" w:color="auto"/>
        <w:left w:val="none" w:sz="0" w:space="0" w:color="auto"/>
        <w:bottom w:val="none" w:sz="0" w:space="0" w:color="auto"/>
        <w:right w:val="none" w:sz="0" w:space="0" w:color="auto"/>
      </w:divBdr>
    </w:div>
    <w:div w:id="564947159">
      <w:bodyDiv w:val="1"/>
      <w:marLeft w:val="0"/>
      <w:marRight w:val="0"/>
      <w:marTop w:val="0"/>
      <w:marBottom w:val="0"/>
      <w:divBdr>
        <w:top w:val="none" w:sz="0" w:space="0" w:color="auto"/>
        <w:left w:val="none" w:sz="0" w:space="0" w:color="auto"/>
        <w:bottom w:val="none" w:sz="0" w:space="0" w:color="auto"/>
        <w:right w:val="none" w:sz="0" w:space="0" w:color="auto"/>
      </w:divBdr>
    </w:div>
    <w:div w:id="566186176">
      <w:bodyDiv w:val="1"/>
      <w:marLeft w:val="0"/>
      <w:marRight w:val="0"/>
      <w:marTop w:val="0"/>
      <w:marBottom w:val="0"/>
      <w:divBdr>
        <w:top w:val="none" w:sz="0" w:space="0" w:color="auto"/>
        <w:left w:val="none" w:sz="0" w:space="0" w:color="auto"/>
        <w:bottom w:val="none" w:sz="0" w:space="0" w:color="auto"/>
        <w:right w:val="none" w:sz="0" w:space="0" w:color="auto"/>
      </w:divBdr>
    </w:div>
    <w:div w:id="568998580">
      <w:bodyDiv w:val="1"/>
      <w:marLeft w:val="0"/>
      <w:marRight w:val="0"/>
      <w:marTop w:val="0"/>
      <w:marBottom w:val="0"/>
      <w:divBdr>
        <w:top w:val="none" w:sz="0" w:space="0" w:color="auto"/>
        <w:left w:val="none" w:sz="0" w:space="0" w:color="auto"/>
        <w:bottom w:val="none" w:sz="0" w:space="0" w:color="auto"/>
        <w:right w:val="none" w:sz="0" w:space="0" w:color="auto"/>
      </w:divBdr>
    </w:div>
    <w:div w:id="579566126">
      <w:bodyDiv w:val="1"/>
      <w:marLeft w:val="0"/>
      <w:marRight w:val="0"/>
      <w:marTop w:val="0"/>
      <w:marBottom w:val="0"/>
      <w:divBdr>
        <w:top w:val="none" w:sz="0" w:space="0" w:color="auto"/>
        <w:left w:val="none" w:sz="0" w:space="0" w:color="auto"/>
        <w:bottom w:val="none" w:sz="0" w:space="0" w:color="auto"/>
        <w:right w:val="none" w:sz="0" w:space="0" w:color="auto"/>
      </w:divBdr>
    </w:div>
    <w:div w:id="580137419">
      <w:bodyDiv w:val="1"/>
      <w:marLeft w:val="0"/>
      <w:marRight w:val="0"/>
      <w:marTop w:val="0"/>
      <w:marBottom w:val="0"/>
      <w:divBdr>
        <w:top w:val="none" w:sz="0" w:space="0" w:color="auto"/>
        <w:left w:val="none" w:sz="0" w:space="0" w:color="auto"/>
        <w:bottom w:val="none" w:sz="0" w:space="0" w:color="auto"/>
        <w:right w:val="none" w:sz="0" w:space="0" w:color="auto"/>
      </w:divBdr>
    </w:div>
    <w:div w:id="583076170">
      <w:bodyDiv w:val="1"/>
      <w:marLeft w:val="0"/>
      <w:marRight w:val="0"/>
      <w:marTop w:val="0"/>
      <w:marBottom w:val="0"/>
      <w:divBdr>
        <w:top w:val="none" w:sz="0" w:space="0" w:color="auto"/>
        <w:left w:val="none" w:sz="0" w:space="0" w:color="auto"/>
        <w:bottom w:val="none" w:sz="0" w:space="0" w:color="auto"/>
        <w:right w:val="none" w:sz="0" w:space="0" w:color="auto"/>
      </w:divBdr>
    </w:div>
    <w:div w:id="583413325">
      <w:bodyDiv w:val="1"/>
      <w:marLeft w:val="0"/>
      <w:marRight w:val="0"/>
      <w:marTop w:val="0"/>
      <w:marBottom w:val="0"/>
      <w:divBdr>
        <w:top w:val="none" w:sz="0" w:space="0" w:color="auto"/>
        <w:left w:val="none" w:sz="0" w:space="0" w:color="auto"/>
        <w:bottom w:val="none" w:sz="0" w:space="0" w:color="auto"/>
        <w:right w:val="none" w:sz="0" w:space="0" w:color="auto"/>
      </w:divBdr>
    </w:div>
    <w:div w:id="584074988">
      <w:bodyDiv w:val="1"/>
      <w:marLeft w:val="0"/>
      <w:marRight w:val="0"/>
      <w:marTop w:val="0"/>
      <w:marBottom w:val="0"/>
      <w:divBdr>
        <w:top w:val="none" w:sz="0" w:space="0" w:color="auto"/>
        <w:left w:val="none" w:sz="0" w:space="0" w:color="auto"/>
        <w:bottom w:val="none" w:sz="0" w:space="0" w:color="auto"/>
        <w:right w:val="none" w:sz="0" w:space="0" w:color="auto"/>
      </w:divBdr>
    </w:div>
    <w:div w:id="584993471">
      <w:bodyDiv w:val="1"/>
      <w:marLeft w:val="0"/>
      <w:marRight w:val="0"/>
      <w:marTop w:val="0"/>
      <w:marBottom w:val="0"/>
      <w:divBdr>
        <w:top w:val="none" w:sz="0" w:space="0" w:color="auto"/>
        <w:left w:val="none" w:sz="0" w:space="0" w:color="auto"/>
        <w:bottom w:val="none" w:sz="0" w:space="0" w:color="auto"/>
        <w:right w:val="none" w:sz="0" w:space="0" w:color="auto"/>
      </w:divBdr>
    </w:div>
    <w:div w:id="586618093">
      <w:bodyDiv w:val="1"/>
      <w:marLeft w:val="0"/>
      <w:marRight w:val="0"/>
      <w:marTop w:val="0"/>
      <w:marBottom w:val="0"/>
      <w:divBdr>
        <w:top w:val="none" w:sz="0" w:space="0" w:color="auto"/>
        <w:left w:val="none" w:sz="0" w:space="0" w:color="auto"/>
        <w:bottom w:val="none" w:sz="0" w:space="0" w:color="auto"/>
        <w:right w:val="none" w:sz="0" w:space="0" w:color="auto"/>
      </w:divBdr>
    </w:div>
    <w:div w:id="587423287">
      <w:bodyDiv w:val="1"/>
      <w:marLeft w:val="0"/>
      <w:marRight w:val="0"/>
      <w:marTop w:val="0"/>
      <w:marBottom w:val="0"/>
      <w:divBdr>
        <w:top w:val="none" w:sz="0" w:space="0" w:color="auto"/>
        <w:left w:val="none" w:sz="0" w:space="0" w:color="auto"/>
        <w:bottom w:val="none" w:sz="0" w:space="0" w:color="auto"/>
        <w:right w:val="none" w:sz="0" w:space="0" w:color="auto"/>
      </w:divBdr>
    </w:div>
    <w:div w:id="588736504">
      <w:bodyDiv w:val="1"/>
      <w:marLeft w:val="0"/>
      <w:marRight w:val="0"/>
      <w:marTop w:val="0"/>
      <w:marBottom w:val="0"/>
      <w:divBdr>
        <w:top w:val="none" w:sz="0" w:space="0" w:color="auto"/>
        <w:left w:val="none" w:sz="0" w:space="0" w:color="auto"/>
        <w:bottom w:val="none" w:sz="0" w:space="0" w:color="auto"/>
        <w:right w:val="none" w:sz="0" w:space="0" w:color="auto"/>
      </w:divBdr>
    </w:div>
    <w:div w:id="589198047">
      <w:bodyDiv w:val="1"/>
      <w:marLeft w:val="0"/>
      <w:marRight w:val="0"/>
      <w:marTop w:val="0"/>
      <w:marBottom w:val="0"/>
      <w:divBdr>
        <w:top w:val="none" w:sz="0" w:space="0" w:color="auto"/>
        <w:left w:val="none" w:sz="0" w:space="0" w:color="auto"/>
        <w:bottom w:val="none" w:sz="0" w:space="0" w:color="auto"/>
        <w:right w:val="none" w:sz="0" w:space="0" w:color="auto"/>
      </w:divBdr>
    </w:div>
    <w:div w:id="593517666">
      <w:bodyDiv w:val="1"/>
      <w:marLeft w:val="0"/>
      <w:marRight w:val="0"/>
      <w:marTop w:val="0"/>
      <w:marBottom w:val="0"/>
      <w:divBdr>
        <w:top w:val="none" w:sz="0" w:space="0" w:color="auto"/>
        <w:left w:val="none" w:sz="0" w:space="0" w:color="auto"/>
        <w:bottom w:val="none" w:sz="0" w:space="0" w:color="auto"/>
        <w:right w:val="none" w:sz="0" w:space="0" w:color="auto"/>
      </w:divBdr>
    </w:div>
    <w:div w:id="596334189">
      <w:bodyDiv w:val="1"/>
      <w:marLeft w:val="0"/>
      <w:marRight w:val="0"/>
      <w:marTop w:val="0"/>
      <w:marBottom w:val="0"/>
      <w:divBdr>
        <w:top w:val="none" w:sz="0" w:space="0" w:color="auto"/>
        <w:left w:val="none" w:sz="0" w:space="0" w:color="auto"/>
        <w:bottom w:val="none" w:sz="0" w:space="0" w:color="auto"/>
        <w:right w:val="none" w:sz="0" w:space="0" w:color="auto"/>
      </w:divBdr>
    </w:div>
    <w:div w:id="597982222">
      <w:bodyDiv w:val="1"/>
      <w:marLeft w:val="0"/>
      <w:marRight w:val="0"/>
      <w:marTop w:val="0"/>
      <w:marBottom w:val="0"/>
      <w:divBdr>
        <w:top w:val="none" w:sz="0" w:space="0" w:color="auto"/>
        <w:left w:val="none" w:sz="0" w:space="0" w:color="auto"/>
        <w:bottom w:val="none" w:sz="0" w:space="0" w:color="auto"/>
        <w:right w:val="none" w:sz="0" w:space="0" w:color="auto"/>
      </w:divBdr>
    </w:div>
    <w:div w:id="598173504">
      <w:bodyDiv w:val="1"/>
      <w:marLeft w:val="0"/>
      <w:marRight w:val="0"/>
      <w:marTop w:val="0"/>
      <w:marBottom w:val="0"/>
      <w:divBdr>
        <w:top w:val="none" w:sz="0" w:space="0" w:color="auto"/>
        <w:left w:val="none" w:sz="0" w:space="0" w:color="auto"/>
        <w:bottom w:val="none" w:sz="0" w:space="0" w:color="auto"/>
        <w:right w:val="none" w:sz="0" w:space="0" w:color="auto"/>
      </w:divBdr>
    </w:div>
    <w:div w:id="599680309">
      <w:bodyDiv w:val="1"/>
      <w:marLeft w:val="0"/>
      <w:marRight w:val="0"/>
      <w:marTop w:val="0"/>
      <w:marBottom w:val="0"/>
      <w:divBdr>
        <w:top w:val="none" w:sz="0" w:space="0" w:color="auto"/>
        <w:left w:val="none" w:sz="0" w:space="0" w:color="auto"/>
        <w:bottom w:val="none" w:sz="0" w:space="0" w:color="auto"/>
        <w:right w:val="none" w:sz="0" w:space="0" w:color="auto"/>
      </w:divBdr>
    </w:div>
    <w:div w:id="600573108">
      <w:bodyDiv w:val="1"/>
      <w:marLeft w:val="0"/>
      <w:marRight w:val="0"/>
      <w:marTop w:val="0"/>
      <w:marBottom w:val="0"/>
      <w:divBdr>
        <w:top w:val="none" w:sz="0" w:space="0" w:color="auto"/>
        <w:left w:val="none" w:sz="0" w:space="0" w:color="auto"/>
        <w:bottom w:val="none" w:sz="0" w:space="0" w:color="auto"/>
        <w:right w:val="none" w:sz="0" w:space="0" w:color="auto"/>
      </w:divBdr>
    </w:div>
    <w:div w:id="606548552">
      <w:bodyDiv w:val="1"/>
      <w:marLeft w:val="0"/>
      <w:marRight w:val="0"/>
      <w:marTop w:val="0"/>
      <w:marBottom w:val="0"/>
      <w:divBdr>
        <w:top w:val="none" w:sz="0" w:space="0" w:color="auto"/>
        <w:left w:val="none" w:sz="0" w:space="0" w:color="auto"/>
        <w:bottom w:val="none" w:sz="0" w:space="0" w:color="auto"/>
        <w:right w:val="none" w:sz="0" w:space="0" w:color="auto"/>
      </w:divBdr>
    </w:div>
    <w:div w:id="612710746">
      <w:bodyDiv w:val="1"/>
      <w:marLeft w:val="0"/>
      <w:marRight w:val="0"/>
      <w:marTop w:val="0"/>
      <w:marBottom w:val="0"/>
      <w:divBdr>
        <w:top w:val="none" w:sz="0" w:space="0" w:color="auto"/>
        <w:left w:val="none" w:sz="0" w:space="0" w:color="auto"/>
        <w:bottom w:val="none" w:sz="0" w:space="0" w:color="auto"/>
        <w:right w:val="none" w:sz="0" w:space="0" w:color="auto"/>
      </w:divBdr>
    </w:div>
    <w:div w:id="614169164">
      <w:bodyDiv w:val="1"/>
      <w:marLeft w:val="0"/>
      <w:marRight w:val="0"/>
      <w:marTop w:val="0"/>
      <w:marBottom w:val="0"/>
      <w:divBdr>
        <w:top w:val="none" w:sz="0" w:space="0" w:color="auto"/>
        <w:left w:val="none" w:sz="0" w:space="0" w:color="auto"/>
        <w:bottom w:val="none" w:sz="0" w:space="0" w:color="auto"/>
        <w:right w:val="none" w:sz="0" w:space="0" w:color="auto"/>
      </w:divBdr>
    </w:div>
    <w:div w:id="614949677">
      <w:bodyDiv w:val="1"/>
      <w:marLeft w:val="0"/>
      <w:marRight w:val="0"/>
      <w:marTop w:val="0"/>
      <w:marBottom w:val="0"/>
      <w:divBdr>
        <w:top w:val="none" w:sz="0" w:space="0" w:color="auto"/>
        <w:left w:val="none" w:sz="0" w:space="0" w:color="auto"/>
        <w:bottom w:val="none" w:sz="0" w:space="0" w:color="auto"/>
        <w:right w:val="none" w:sz="0" w:space="0" w:color="auto"/>
      </w:divBdr>
    </w:div>
    <w:div w:id="617952932">
      <w:bodyDiv w:val="1"/>
      <w:marLeft w:val="0"/>
      <w:marRight w:val="0"/>
      <w:marTop w:val="0"/>
      <w:marBottom w:val="0"/>
      <w:divBdr>
        <w:top w:val="none" w:sz="0" w:space="0" w:color="auto"/>
        <w:left w:val="none" w:sz="0" w:space="0" w:color="auto"/>
        <w:bottom w:val="none" w:sz="0" w:space="0" w:color="auto"/>
        <w:right w:val="none" w:sz="0" w:space="0" w:color="auto"/>
      </w:divBdr>
      <w:divsChild>
        <w:div w:id="219750333">
          <w:marLeft w:val="0"/>
          <w:marRight w:val="0"/>
          <w:marTop w:val="0"/>
          <w:marBottom w:val="0"/>
          <w:divBdr>
            <w:top w:val="none" w:sz="0" w:space="0" w:color="auto"/>
            <w:left w:val="none" w:sz="0" w:space="0" w:color="auto"/>
            <w:bottom w:val="none" w:sz="0" w:space="0" w:color="auto"/>
            <w:right w:val="none" w:sz="0" w:space="0" w:color="auto"/>
          </w:divBdr>
        </w:div>
        <w:div w:id="1299988631">
          <w:marLeft w:val="0"/>
          <w:marRight w:val="0"/>
          <w:marTop w:val="0"/>
          <w:marBottom w:val="0"/>
          <w:divBdr>
            <w:top w:val="none" w:sz="0" w:space="0" w:color="auto"/>
            <w:left w:val="none" w:sz="0" w:space="0" w:color="auto"/>
            <w:bottom w:val="none" w:sz="0" w:space="0" w:color="auto"/>
            <w:right w:val="none" w:sz="0" w:space="0" w:color="auto"/>
          </w:divBdr>
        </w:div>
        <w:div w:id="2072846644">
          <w:marLeft w:val="0"/>
          <w:marRight w:val="0"/>
          <w:marTop w:val="0"/>
          <w:marBottom w:val="0"/>
          <w:divBdr>
            <w:top w:val="none" w:sz="0" w:space="0" w:color="auto"/>
            <w:left w:val="none" w:sz="0" w:space="0" w:color="auto"/>
            <w:bottom w:val="none" w:sz="0" w:space="0" w:color="auto"/>
            <w:right w:val="none" w:sz="0" w:space="0" w:color="auto"/>
          </w:divBdr>
        </w:div>
      </w:divsChild>
    </w:div>
    <w:div w:id="626472626">
      <w:bodyDiv w:val="1"/>
      <w:marLeft w:val="0"/>
      <w:marRight w:val="0"/>
      <w:marTop w:val="0"/>
      <w:marBottom w:val="0"/>
      <w:divBdr>
        <w:top w:val="none" w:sz="0" w:space="0" w:color="auto"/>
        <w:left w:val="none" w:sz="0" w:space="0" w:color="auto"/>
        <w:bottom w:val="none" w:sz="0" w:space="0" w:color="auto"/>
        <w:right w:val="none" w:sz="0" w:space="0" w:color="auto"/>
      </w:divBdr>
    </w:div>
    <w:div w:id="627205579">
      <w:bodyDiv w:val="1"/>
      <w:marLeft w:val="0"/>
      <w:marRight w:val="0"/>
      <w:marTop w:val="0"/>
      <w:marBottom w:val="0"/>
      <w:divBdr>
        <w:top w:val="none" w:sz="0" w:space="0" w:color="auto"/>
        <w:left w:val="none" w:sz="0" w:space="0" w:color="auto"/>
        <w:bottom w:val="none" w:sz="0" w:space="0" w:color="auto"/>
        <w:right w:val="none" w:sz="0" w:space="0" w:color="auto"/>
      </w:divBdr>
    </w:div>
    <w:div w:id="633027249">
      <w:bodyDiv w:val="1"/>
      <w:marLeft w:val="0"/>
      <w:marRight w:val="0"/>
      <w:marTop w:val="0"/>
      <w:marBottom w:val="0"/>
      <w:divBdr>
        <w:top w:val="none" w:sz="0" w:space="0" w:color="auto"/>
        <w:left w:val="none" w:sz="0" w:space="0" w:color="auto"/>
        <w:bottom w:val="none" w:sz="0" w:space="0" w:color="auto"/>
        <w:right w:val="none" w:sz="0" w:space="0" w:color="auto"/>
      </w:divBdr>
    </w:div>
    <w:div w:id="637493371">
      <w:bodyDiv w:val="1"/>
      <w:marLeft w:val="0"/>
      <w:marRight w:val="0"/>
      <w:marTop w:val="0"/>
      <w:marBottom w:val="0"/>
      <w:divBdr>
        <w:top w:val="none" w:sz="0" w:space="0" w:color="auto"/>
        <w:left w:val="none" w:sz="0" w:space="0" w:color="auto"/>
        <w:bottom w:val="none" w:sz="0" w:space="0" w:color="auto"/>
        <w:right w:val="none" w:sz="0" w:space="0" w:color="auto"/>
      </w:divBdr>
    </w:div>
    <w:div w:id="638220867">
      <w:bodyDiv w:val="1"/>
      <w:marLeft w:val="0"/>
      <w:marRight w:val="0"/>
      <w:marTop w:val="0"/>
      <w:marBottom w:val="0"/>
      <w:divBdr>
        <w:top w:val="none" w:sz="0" w:space="0" w:color="auto"/>
        <w:left w:val="none" w:sz="0" w:space="0" w:color="auto"/>
        <w:bottom w:val="none" w:sz="0" w:space="0" w:color="auto"/>
        <w:right w:val="none" w:sz="0" w:space="0" w:color="auto"/>
      </w:divBdr>
    </w:div>
    <w:div w:id="644508923">
      <w:bodyDiv w:val="1"/>
      <w:marLeft w:val="0"/>
      <w:marRight w:val="0"/>
      <w:marTop w:val="0"/>
      <w:marBottom w:val="0"/>
      <w:divBdr>
        <w:top w:val="none" w:sz="0" w:space="0" w:color="auto"/>
        <w:left w:val="none" w:sz="0" w:space="0" w:color="auto"/>
        <w:bottom w:val="none" w:sz="0" w:space="0" w:color="auto"/>
        <w:right w:val="none" w:sz="0" w:space="0" w:color="auto"/>
      </w:divBdr>
    </w:div>
    <w:div w:id="655644589">
      <w:bodyDiv w:val="1"/>
      <w:marLeft w:val="0"/>
      <w:marRight w:val="0"/>
      <w:marTop w:val="0"/>
      <w:marBottom w:val="0"/>
      <w:divBdr>
        <w:top w:val="none" w:sz="0" w:space="0" w:color="auto"/>
        <w:left w:val="none" w:sz="0" w:space="0" w:color="auto"/>
        <w:bottom w:val="none" w:sz="0" w:space="0" w:color="auto"/>
        <w:right w:val="none" w:sz="0" w:space="0" w:color="auto"/>
      </w:divBdr>
    </w:div>
    <w:div w:id="656885977">
      <w:bodyDiv w:val="1"/>
      <w:marLeft w:val="0"/>
      <w:marRight w:val="0"/>
      <w:marTop w:val="0"/>
      <w:marBottom w:val="0"/>
      <w:divBdr>
        <w:top w:val="none" w:sz="0" w:space="0" w:color="auto"/>
        <w:left w:val="none" w:sz="0" w:space="0" w:color="auto"/>
        <w:bottom w:val="none" w:sz="0" w:space="0" w:color="auto"/>
        <w:right w:val="none" w:sz="0" w:space="0" w:color="auto"/>
      </w:divBdr>
    </w:div>
    <w:div w:id="657225121">
      <w:bodyDiv w:val="1"/>
      <w:marLeft w:val="0"/>
      <w:marRight w:val="0"/>
      <w:marTop w:val="0"/>
      <w:marBottom w:val="0"/>
      <w:divBdr>
        <w:top w:val="none" w:sz="0" w:space="0" w:color="auto"/>
        <w:left w:val="none" w:sz="0" w:space="0" w:color="auto"/>
        <w:bottom w:val="none" w:sz="0" w:space="0" w:color="auto"/>
        <w:right w:val="none" w:sz="0" w:space="0" w:color="auto"/>
      </w:divBdr>
    </w:div>
    <w:div w:id="657540518">
      <w:bodyDiv w:val="1"/>
      <w:marLeft w:val="0"/>
      <w:marRight w:val="0"/>
      <w:marTop w:val="0"/>
      <w:marBottom w:val="0"/>
      <w:divBdr>
        <w:top w:val="none" w:sz="0" w:space="0" w:color="auto"/>
        <w:left w:val="none" w:sz="0" w:space="0" w:color="auto"/>
        <w:bottom w:val="none" w:sz="0" w:space="0" w:color="auto"/>
        <w:right w:val="none" w:sz="0" w:space="0" w:color="auto"/>
      </w:divBdr>
    </w:div>
    <w:div w:id="658657001">
      <w:bodyDiv w:val="1"/>
      <w:marLeft w:val="0"/>
      <w:marRight w:val="0"/>
      <w:marTop w:val="0"/>
      <w:marBottom w:val="0"/>
      <w:divBdr>
        <w:top w:val="none" w:sz="0" w:space="0" w:color="auto"/>
        <w:left w:val="none" w:sz="0" w:space="0" w:color="auto"/>
        <w:bottom w:val="none" w:sz="0" w:space="0" w:color="auto"/>
        <w:right w:val="none" w:sz="0" w:space="0" w:color="auto"/>
      </w:divBdr>
    </w:div>
    <w:div w:id="659621691">
      <w:bodyDiv w:val="1"/>
      <w:marLeft w:val="0"/>
      <w:marRight w:val="0"/>
      <w:marTop w:val="0"/>
      <w:marBottom w:val="0"/>
      <w:divBdr>
        <w:top w:val="none" w:sz="0" w:space="0" w:color="auto"/>
        <w:left w:val="none" w:sz="0" w:space="0" w:color="auto"/>
        <w:bottom w:val="none" w:sz="0" w:space="0" w:color="auto"/>
        <w:right w:val="none" w:sz="0" w:space="0" w:color="auto"/>
      </w:divBdr>
    </w:div>
    <w:div w:id="660887866">
      <w:bodyDiv w:val="1"/>
      <w:marLeft w:val="0"/>
      <w:marRight w:val="0"/>
      <w:marTop w:val="0"/>
      <w:marBottom w:val="0"/>
      <w:divBdr>
        <w:top w:val="none" w:sz="0" w:space="0" w:color="auto"/>
        <w:left w:val="none" w:sz="0" w:space="0" w:color="auto"/>
        <w:bottom w:val="none" w:sz="0" w:space="0" w:color="auto"/>
        <w:right w:val="none" w:sz="0" w:space="0" w:color="auto"/>
      </w:divBdr>
    </w:div>
    <w:div w:id="669067336">
      <w:bodyDiv w:val="1"/>
      <w:marLeft w:val="0"/>
      <w:marRight w:val="0"/>
      <w:marTop w:val="0"/>
      <w:marBottom w:val="0"/>
      <w:divBdr>
        <w:top w:val="none" w:sz="0" w:space="0" w:color="auto"/>
        <w:left w:val="none" w:sz="0" w:space="0" w:color="auto"/>
        <w:bottom w:val="none" w:sz="0" w:space="0" w:color="auto"/>
        <w:right w:val="none" w:sz="0" w:space="0" w:color="auto"/>
      </w:divBdr>
    </w:div>
    <w:div w:id="669871552">
      <w:bodyDiv w:val="1"/>
      <w:marLeft w:val="0"/>
      <w:marRight w:val="0"/>
      <w:marTop w:val="0"/>
      <w:marBottom w:val="0"/>
      <w:divBdr>
        <w:top w:val="none" w:sz="0" w:space="0" w:color="auto"/>
        <w:left w:val="none" w:sz="0" w:space="0" w:color="auto"/>
        <w:bottom w:val="none" w:sz="0" w:space="0" w:color="auto"/>
        <w:right w:val="none" w:sz="0" w:space="0" w:color="auto"/>
      </w:divBdr>
    </w:div>
    <w:div w:id="671445986">
      <w:bodyDiv w:val="1"/>
      <w:marLeft w:val="0"/>
      <w:marRight w:val="0"/>
      <w:marTop w:val="0"/>
      <w:marBottom w:val="0"/>
      <w:divBdr>
        <w:top w:val="none" w:sz="0" w:space="0" w:color="auto"/>
        <w:left w:val="none" w:sz="0" w:space="0" w:color="auto"/>
        <w:bottom w:val="none" w:sz="0" w:space="0" w:color="auto"/>
        <w:right w:val="none" w:sz="0" w:space="0" w:color="auto"/>
      </w:divBdr>
    </w:div>
    <w:div w:id="673460920">
      <w:bodyDiv w:val="1"/>
      <w:marLeft w:val="0"/>
      <w:marRight w:val="0"/>
      <w:marTop w:val="0"/>
      <w:marBottom w:val="0"/>
      <w:divBdr>
        <w:top w:val="none" w:sz="0" w:space="0" w:color="auto"/>
        <w:left w:val="none" w:sz="0" w:space="0" w:color="auto"/>
        <w:bottom w:val="none" w:sz="0" w:space="0" w:color="auto"/>
        <w:right w:val="none" w:sz="0" w:space="0" w:color="auto"/>
      </w:divBdr>
    </w:div>
    <w:div w:id="679548448">
      <w:bodyDiv w:val="1"/>
      <w:marLeft w:val="0"/>
      <w:marRight w:val="0"/>
      <w:marTop w:val="0"/>
      <w:marBottom w:val="0"/>
      <w:divBdr>
        <w:top w:val="none" w:sz="0" w:space="0" w:color="auto"/>
        <w:left w:val="none" w:sz="0" w:space="0" w:color="auto"/>
        <w:bottom w:val="none" w:sz="0" w:space="0" w:color="auto"/>
        <w:right w:val="none" w:sz="0" w:space="0" w:color="auto"/>
      </w:divBdr>
    </w:div>
    <w:div w:id="681593552">
      <w:bodyDiv w:val="1"/>
      <w:marLeft w:val="0"/>
      <w:marRight w:val="0"/>
      <w:marTop w:val="0"/>
      <w:marBottom w:val="0"/>
      <w:divBdr>
        <w:top w:val="none" w:sz="0" w:space="0" w:color="auto"/>
        <w:left w:val="none" w:sz="0" w:space="0" w:color="auto"/>
        <w:bottom w:val="none" w:sz="0" w:space="0" w:color="auto"/>
        <w:right w:val="none" w:sz="0" w:space="0" w:color="auto"/>
      </w:divBdr>
    </w:div>
    <w:div w:id="683870990">
      <w:bodyDiv w:val="1"/>
      <w:marLeft w:val="0"/>
      <w:marRight w:val="0"/>
      <w:marTop w:val="0"/>
      <w:marBottom w:val="0"/>
      <w:divBdr>
        <w:top w:val="none" w:sz="0" w:space="0" w:color="auto"/>
        <w:left w:val="none" w:sz="0" w:space="0" w:color="auto"/>
        <w:bottom w:val="none" w:sz="0" w:space="0" w:color="auto"/>
        <w:right w:val="none" w:sz="0" w:space="0" w:color="auto"/>
      </w:divBdr>
    </w:div>
    <w:div w:id="684018102">
      <w:bodyDiv w:val="1"/>
      <w:marLeft w:val="0"/>
      <w:marRight w:val="0"/>
      <w:marTop w:val="0"/>
      <w:marBottom w:val="0"/>
      <w:divBdr>
        <w:top w:val="none" w:sz="0" w:space="0" w:color="auto"/>
        <w:left w:val="none" w:sz="0" w:space="0" w:color="auto"/>
        <w:bottom w:val="none" w:sz="0" w:space="0" w:color="auto"/>
        <w:right w:val="none" w:sz="0" w:space="0" w:color="auto"/>
      </w:divBdr>
    </w:div>
    <w:div w:id="685909810">
      <w:bodyDiv w:val="1"/>
      <w:marLeft w:val="0"/>
      <w:marRight w:val="0"/>
      <w:marTop w:val="0"/>
      <w:marBottom w:val="0"/>
      <w:divBdr>
        <w:top w:val="none" w:sz="0" w:space="0" w:color="auto"/>
        <w:left w:val="none" w:sz="0" w:space="0" w:color="auto"/>
        <w:bottom w:val="none" w:sz="0" w:space="0" w:color="auto"/>
        <w:right w:val="none" w:sz="0" w:space="0" w:color="auto"/>
      </w:divBdr>
    </w:div>
    <w:div w:id="688727272">
      <w:bodyDiv w:val="1"/>
      <w:marLeft w:val="0"/>
      <w:marRight w:val="0"/>
      <w:marTop w:val="0"/>
      <w:marBottom w:val="0"/>
      <w:divBdr>
        <w:top w:val="none" w:sz="0" w:space="0" w:color="auto"/>
        <w:left w:val="none" w:sz="0" w:space="0" w:color="auto"/>
        <w:bottom w:val="none" w:sz="0" w:space="0" w:color="auto"/>
        <w:right w:val="none" w:sz="0" w:space="0" w:color="auto"/>
      </w:divBdr>
    </w:div>
    <w:div w:id="701826105">
      <w:bodyDiv w:val="1"/>
      <w:marLeft w:val="0"/>
      <w:marRight w:val="0"/>
      <w:marTop w:val="0"/>
      <w:marBottom w:val="0"/>
      <w:divBdr>
        <w:top w:val="none" w:sz="0" w:space="0" w:color="auto"/>
        <w:left w:val="none" w:sz="0" w:space="0" w:color="auto"/>
        <w:bottom w:val="none" w:sz="0" w:space="0" w:color="auto"/>
        <w:right w:val="none" w:sz="0" w:space="0" w:color="auto"/>
      </w:divBdr>
    </w:div>
    <w:div w:id="711347836">
      <w:bodyDiv w:val="1"/>
      <w:marLeft w:val="0"/>
      <w:marRight w:val="0"/>
      <w:marTop w:val="0"/>
      <w:marBottom w:val="0"/>
      <w:divBdr>
        <w:top w:val="none" w:sz="0" w:space="0" w:color="auto"/>
        <w:left w:val="none" w:sz="0" w:space="0" w:color="auto"/>
        <w:bottom w:val="none" w:sz="0" w:space="0" w:color="auto"/>
        <w:right w:val="none" w:sz="0" w:space="0" w:color="auto"/>
      </w:divBdr>
    </w:div>
    <w:div w:id="715079755">
      <w:bodyDiv w:val="1"/>
      <w:marLeft w:val="0"/>
      <w:marRight w:val="0"/>
      <w:marTop w:val="0"/>
      <w:marBottom w:val="0"/>
      <w:divBdr>
        <w:top w:val="none" w:sz="0" w:space="0" w:color="auto"/>
        <w:left w:val="none" w:sz="0" w:space="0" w:color="auto"/>
        <w:bottom w:val="none" w:sz="0" w:space="0" w:color="auto"/>
        <w:right w:val="none" w:sz="0" w:space="0" w:color="auto"/>
      </w:divBdr>
    </w:div>
    <w:div w:id="717245828">
      <w:bodyDiv w:val="1"/>
      <w:marLeft w:val="0"/>
      <w:marRight w:val="0"/>
      <w:marTop w:val="0"/>
      <w:marBottom w:val="0"/>
      <w:divBdr>
        <w:top w:val="none" w:sz="0" w:space="0" w:color="auto"/>
        <w:left w:val="none" w:sz="0" w:space="0" w:color="auto"/>
        <w:bottom w:val="none" w:sz="0" w:space="0" w:color="auto"/>
        <w:right w:val="none" w:sz="0" w:space="0" w:color="auto"/>
      </w:divBdr>
    </w:div>
    <w:div w:id="718171641">
      <w:bodyDiv w:val="1"/>
      <w:marLeft w:val="0"/>
      <w:marRight w:val="0"/>
      <w:marTop w:val="0"/>
      <w:marBottom w:val="0"/>
      <w:divBdr>
        <w:top w:val="none" w:sz="0" w:space="0" w:color="auto"/>
        <w:left w:val="none" w:sz="0" w:space="0" w:color="auto"/>
        <w:bottom w:val="none" w:sz="0" w:space="0" w:color="auto"/>
        <w:right w:val="none" w:sz="0" w:space="0" w:color="auto"/>
      </w:divBdr>
    </w:div>
    <w:div w:id="733893691">
      <w:bodyDiv w:val="1"/>
      <w:marLeft w:val="0"/>
      <w:marRight w:val="0"/>
      <w:marTop w:val="0"/>
      <w:marBottom w:val="0"/>
      <w:divBdr>
        <w:top w:val="none" w:sz="0" w:space="0" w:color="auto"/>
        <w:left w:val="none" w:sz="0" w:space="0" w:color="auto"/>
        <w:bottom w:val="none" w:sz="0" w:space="0" w:color="auto"/>
        <w:right w:val="none" w:sz="0" w:space="0" w:color="auto"/>
      </w:divBdr>
    </w:div>
    <w:div w:id="738400435">
      <w:bodyDiv w:val="1"/>
      <w:marLeft w:val="0"/>
      <w:marRight w:val="0"/>
      <w:marTop w:val="0"/>
      <w:marBottom w:val="0"/>
      <w:divBdr>
        <w:top w:val="none" w:sz="0" w:space="0" w:color="auto"/>
        <w:left w:val="none" w:sz="0" w:space="0" w:color="auto"/>
        <w:bottom w:val="none" w:sz="0" w:space="0" w:color="auto"/>
        <w:right w:val="none" w:sz="0" w:space="0" w:color="auto"/>
      </w:divBdr>
    </w:div>
    <w:div w:id="739249409">
      <w:bodyDiv w:val="1"/>
      <w:marLeft w:val="0"/>
      <w:marRight w:val="0"/>
      <w:marTop w:val="0"/>
      <w:marBottom w:val="0"/>
      <w:divBdr>
        <w:top w:val="none" w:sz="0" w:space="0" w:color="auto"/>
        <w:left w:val="none" w:sz="0" w:space="0" w:color="auto"/>
        <w:bottom w:val="none" w:sz="0" w:space="0" w:color="auto"/>
        <w:right w:val="none" w:sz="0" w:space="0" w:color="auto"/>
      </w:divBdr>
    </w:div>
    <w:div w:id="740755879">
      <w:bodyDiv w:val="1"/>
      <w:marLeft w:val="0"/>
      <w:marRight w:val="0"/>
      <w:marTop w:val="0"/>
      <w:marBottom w:val="0"/>
      <w:divBdr>
        <w:top w:val="none" w:sz="0" w:space="0" w:color="auto"/>
        <w:left w:val="none" w:sz="0" w:space="0" w:color="auto"/>
        <w:bottom w:val="none" w:sz="0" w:space="0" w:color="auto"/>
        <w:right w:val="none" w:sz="0" w:space="0" w:color="auto"/>
      </w:divBdr>
    </w:div>
    <w:div w:id="741489035">
      <w:bodyDiv w:val="1"/>
      <w:marLeft w:val="0"/>
      <w:marRight w:val="0"/>
      <w:marTop w:val="0"/>
      <w:marBottom w:val="0"/>
      <w:divBdr>
        <w:top w:val="none" w:sz="0" w:space="0" w:color="auto"/>
        <w:left w:val="none" w:sz="0" w:space="0" w:color="auto"/>
        <w:bottom w:val="none" w:sz="0" w:space="0" w:color="auto"/>
        <w:right w:val="none" w:sz="0" w:space="0" w:color="auto"/>
      </w:divBdr>
    </w:div>
    <w:div w:id="750465781">
      <w:bodyDiv w:val="1"/>
      <w:marLeft w:val="0"/>
      <w:marRight w:val="0"/>
      <w:marTop w:val="0"/>
      <w:marBottom w:val="0"/>
      <w:divBdr>
        <w:top w:val="none" w:sz="0" w:space="0" w:color="auto"/>
        <w:left w:val="none" w:sz="0" w:space="0" w:color="auto"/>
        <w:bottom w:val="none" w:sz="0" w:space="0" w:color="auto"/>
        <w:right w:val="none" w:sz="0" w:space="0" w:color="auto"/>
      </w:divBdr>
    </w:div>
    <w:div w:id="753091001">
      <w:bodyDiv w:val="1"/>
      <w:marLeft w:val="0"/>
      <w:marRight w:val="0"/>
      <w:marTop w:val="0"/>
      <w:marBottom w:val="0"/>
      <w:divBdr>
        <w:top w:val="none" w:sz="0" w:space="0" w:color="auto"/>
        <w:left w:val="none" w:sz="0" w:space="0" w:color="auto"/>
        <w:bottom w:val="none" w:sz="0" w:space="0" w:color="auto"/>
        <w:right w:val="none" w:sz="0" w:space="0" w:color="auto"/>
      </w:divBdr>
    </w:div>
    <w:div w:id="760105871">
      <w:bodyDiv w:val="1"/>
      <w:marLeft w:val="0"/>
      <w:marRight w:val="0"/>
      <w:marTop w:val="0"/>
      <w:marBottom w:val="0"/>
      <w:divBdr>
        <w:top w:val="none" w:sz="0" w:space="0" w:color="auto"/>
        <w:left w:val="none" w:sz="0" w:space="0" w:color="auto"/>
        <w:bottom w:val="none" w:sz="0" w:space="0" w:color="auto"/>
        <w:right w:val="none" w:sz="0" w:space="0" w:color="auto"/>
      </w:divBdr>
    </w:div>
    <w:div w:id="765730338">
      <w:bodyDiv w:val="1"/>
      <w:marLeft w:val="0"/>
      <w:marRight w:val="0"/>
      <w:marTop w:val="0"/>
      <w:marBottom w:val="0"/>
      <w:divBdr>
        <w:top w:val="none" w:sz="0" w:space="0" w:color="auto"/>
        <w:left w:val="none" w:sz="0" w:space="0" w:color="auto"/>
        <w:bottom w:val="none" w:sz="0" w:space="0" w:color="auto"/>
        <w:right w:val="none" w:sz="0" w:space="0" w:color="auto"/>
      </w:divBdr>
    </w:div>
    <w:div w:id="770206713">
      <w:bodyDiv w:val="1"/>
      <w:marLeft w:val="0"/>
      <w:marRight w:val="0"/>
      <w:marTop w:val="0"/>
      <w:marBottom w:val="0"/>
      <w:divBdr>
        <w:top w:val="none" w:sz="0" w:space="0" w:color="auto"/>
        <w:left w:val="none" w:sz="0" w:space="0" w:color="auto"/>
        <w:bottom w:val="none" w:sz="0" w:space="0" w:color="auto"/>
        <w:right w:val="none" w:sz="0" w:space="0" w:color="auto"/>
      </w:divBdr>
    </w:div>
    <w:div w:id="775906761">
      <w:bodyDiv w:val="1"/>
      <w:marLeft w:val="0"/>
      <w:marRight w:val="0"/>
      <w:marTop w:val="0"/>
      <w:marBottom w:val="0"/>
      <w:divBdr>
        <w:top w:val="none" w:sz="0" w:space="0" w:color="auto"/>
        <w:left w:val="none" w:sz="0" w:space="0" w:color="auto"/>
        <w:bottom w:val="none" w:sz="0" w:space="0" w:color="auto"/>
        <w:right w:val="none" w:sz="0" w:space="0" w:color="auto"/>
      </w:divBdr>
    </w:div>
    <w:div w:id="780802314">
      <w:bodyDiv w:val="1"/>
      <w:marLeft w:val="0"/>
      <w:marRight w:val="0"/>
      <w:marTop w:val="0"/>
      <w:marBottom w:val="0"/>
      <w:divBdr>
        <w:top w:val="none" w:sz="0" w:space="0" w:color="auto"/>
        <w:left w:val="none" w:sz="0" w:space="0" w:color="auto"/>
        <w:bottom w:val="none" w:sz="0" w:space="0" w:color="auto"/>
        <w:right w:val="none" w:sz="0" w:space="0" w:color="auto"/>
      </w:divBdr>
    </w:div>
    <w:div w:id="783813945">
      <w:bodyDiv w:val="1"/>
      <w:marLeft w:val="0"/>
      <w:marRight w:val="0"/>
      <w:marTop w:val="0"/>
      <w:marBottom w:val="0"/>
      <w:divBdr>
        <w:top w:val="none" w:sz="0" w:space="0" w:color="auto"/>
        <w:left w:val="none" w:sz="0" w:space="0" w:color="auto"/>
        <w:bottom w:val="none" w:sz="0" w:space="0" w:color="auto"/>
        <w:right w:val="none" w:sz="0" w:space="0" w:color="auto"/>
      </w:divBdr>
    </w:div>
    <w:div w:id="784353949">
      <w:bodyDiv w:val="1"/>
      <w:marLeft w:val="0"/>
      <w:marRight w:val="0"/>
      <w:marTop w:val="0"/>
      <w:marBottom w:val="0"/>
      <w:divBdr>
        <w:top w:val="none" w:sz="0" w:space="0" w:color="auto"/>
        <w:left w:val="none" w:sz="0" w:space="0" w:color="auto"/>
        <w:bottom w:val="none" w:sz="0" w:space="0" w:color="auto"/>
        <w:right w:val="none" w:sz="0" w:space="0" w:color="auto"/>
      </w:divBdr>
    </w:div>
    <w:div w:id="784930962">
      <w:bodyDiv w:val="1"/>
      <w:marLeft w:val="0"/>
      <w:marRight w:val="0"/>
      <w:marTop w:val="0"/>
      <w:marBottom w:val="0"/>
      <w:divBdr>
        <w:top w:val="none" w:sz="0" w:space="0" w:color="auto"/>
        <w:left w:val="none" w:sz="0" w:space="0" w:color="auto"/>
        <w:bottom w:val="none" w:sz="0" w:space="0" w:color="auto"/>
        <w:right w:val="none" w:sz="0" w:space="0" w:color="auto"/>
      </w:divBdr>
    </w:div>
    <w:div w:id="785077207">
      <w:bodyDiv w:val="1"/>
      <w:marLeft w:val="0"/>
      <w:marRight w:val="0"/>
      <w:marTop w:val="0"/>
      <w:marBottom w:val="0"/>
      <w:divBdr>
        <w:top w:val="none" w:sz="0" w:space="0" w:color="auto"/>
        <w:left w:val="none" w:sz="0" w:space="0" w:color="auto"/>
        <w:bottom w:val="none" w:sz="0" w:space="0" w:color="auto"/>
        <w:right w:val="none" w:sz="0" w:space="0" w:color="auto"/>
      </w:divBdr>
    </w:div>
    <w:div w:id="786393881">
      <w:bodyDiv w:val="1"/>
      <w:marLeft w:val="0"/>
      <w:marRight w:val="0"/>
      <w:marTop w:val="0"/>
      <w:marBottom w:val="0"/>
      <w:divBdr>
        <w:top w:val="none" w:sz="0" w:space="0" w:color="auto"/>
        <w:left w:val="none" w:sz="0" w:space="0" w:color="auto"/>
        <w:bottom w:val="none" w:sz="0" w:space="0" w:color="auto"/>
        <w:right w:val="none" w:sz="0" w:space="0" w:color="auto"/>
      </w:divBdr>
    </w:div>
    <w:div w:id="786583438">
      <w:bodyDiv w:val="1"/>
      <w:marLeft w:val="0"/>
      <w:marRight w:val="0"/>
      <w:marTop w:val="0"/>
      <w:marBottom w:val="0"/>
      <w:divBdr>
        <w:top w:val="none" w:sz="0" w:space="0" w:color="auto"/>
        <w:left w:val="none" w:sz="0" w:space="0" w:color="auto"/>
        <w:bottom w:val="none" w:sz="0" w:space="0" w:color="auto"/>
        <w:right w:val="none" w:sz="0" w:space="0" w:color="auto"/>
      </w:divBdr>
    </w:div>
    <w:div w:id="788669191">
      <w:bodyDiv w:val="1"/>
      <w:marLeft w:val="0"/>
      <w:marRight w:val="0"/>
      <w:marTop w:val="0"/>
      <w:marBottom w:val="0"/>
      <w:divBdr>
        <w:top w:val="none" w:sz="0" w:space="0" w:color="auto"/>
        <w:left w:val="none" w:sz="0" w:space="0" w:color="auto"/>
        <w:bottom w:val="none" w:sz="0" w:space="0" w:color="auto"/>
        <w:right w:val="none" w:sz="0" w:space="0" w:color="auto"/>
      </w:divBdr>
    </w:div>
    <w:div w:id="790520106">
      <w:bodyDiv w:val="1"/>
      <w:marLeft w:val="0"/>
      <w:marRight w:val="0"/>
      <w:marTop w:val="0"/>
      <w:marBottom w:val="0"/>
      <w:divBdr>
        <w:top w:val="none" w:sz="0" w:space="0" w:color="auto"/>
        <w:left w:val="none" w:sz="0" w:space="0" w:color="auto"/>
        <w:bottom w:val="none" w:sz="0" w:space="0" w:color="auto"/>
        <w:right w:val="none" w:sz="0" w:space="0" w:color="auto"/>
      </w:divBdr>
    </w:div>
    <w:div w:id="796680385">
      <w:bodyDiv w:val="1"/>
      <w:marLeft w:val="0"/>
      <w:marRight w:val="0"/>
      <w:marTop w:val="0"/>
      <w:marBottom w:val="0"/>
      <w:divBdr>
        <w:top w:val="none" w:sz="0" w:space="0" w:color="auto"/>
        <w:left w:val="none" w:sz="0" w:space="0" w:color="auto"/>
        <w:bottom w:val="none" w:sz="0" w:space="0" w:color="auto"/>
        <w:right w:val="none" w:sz="0" w:space="0" w:color="auto"/>
      </w:divBdr>
    </w:div>
    <w:div w:id="800265196">
      <w:bodyDiv w:val="1"/>
      <w:marLeft w:val="0"/>
      <w:marRight w:val="0"/>
      <w:marTop w:val="0"/>
      <w:marBottom w:val="0"/>
      <w:divBdr>
        <w:top w:val="none" w:sz="0" w:space="0" w:color="auto"/>
        <w:left w:val="none" w:sz="0" w:space="0" w:color="auto"/>
        <w:bottom w:val="none" w:sz="0" w:space="0" w:color="auto"/>
        <w:right w:val="none" w:sz="0" w:space="0" w:color="auto"/>
      </w:divBdr>
    </w:div>
    <w:div w:id="802045485">
      <w:bodyDiv w:val="1"/>
      <w:marLeft w:val="0"/>
      <w:marRight w:val="0"/>
      <w:marTop w:val="0"/>
      <w:marBottom w:val="0"/>
      <w:divBdr>
        <w:top w:val="none" w:sz="0" w:space="0" w:color="auto"/>
        <w:left w:val="none" w:sz="0" w:space="0" w:color="auto"/>
        <w:bottom w:val="none" w:sz="0" w:space="0" w:color="auto"/>
        <w:right w:val="none" w:sz="0" w:space="0" w:color="auto"/>
      </w:divBdr>
    </w:div>
    <w:div w:id="805047729">
      <w:bodyDiv w:val="1"/>
      <w:marLeft w:val="0"/>
      <w:marRight w:val="0"/>
      <w:marTop w:val="0"/>
      <w:marBottom w:val="0"/>
      <w:divBdr>
        <w:top w:val="none" w:sz="0" w:space="0" w:color="auto"/>
        <w:left w:val="none" w:sz="0" w:space="0" w:color="auto"/>
        <w:bottom w:val="none" w:sz="0" w:space="0" w:color="auto"/>
        <w:right w:val="none" w:sz="0" w:space="0" w:color="auto"/>
      </w:divBdr>
    </w:div>
    <w:div w:id="806820705">
      <w:bodyDiv w:val="1"/>
      <w:marLeft w:val="0"/>
      <w:marRight w:val="0"/>
      <w:marTop w:val="0"/>
      <w:marBottom w:val="0"/>
      <w:divBdr>
        <w:top w:val="none" w:sz="0" w:space="0" w:color="auto"/>
        <w:left w:val="none" w:sz="0" w:space="0" w:color="auto"/>
        <w:bottom w:val="none" w:sz="0" w:space="0" w:color="auto"/>
        <w:right w:val="none" w:sz="0" w:space="0" w:color="auto"/>
      </w:divBdr>
    </w:div>
    <w:div w:id="808060480">
      <w:bodyDiv w:val="1"/>
      <w:marLeft w:val="0"/>
      <w:marRight w:val="0"/>
      <w:marTop w:val="0"/>
      <w:marBottom w:val="0"/>
      <w:divBdr>
        <w:top w:val="none" w:sz="0" w:space="0" w:color="auto"/>
        <w:left w:val="none" w:sz="0" w:space="0" w:color="auto"/>
        <w:bottom w:val="none" w:sz="0" w:space="0" w:color="auto"/>
        <w:right w:val="none" w:sz="0" w:space="0" w:color="auto"/>
      </w:divBdr>
    </w:div>
    <w:div w:id="808479669">
      <w:bodyDiv w:val="1"/>
      <w:marLeft w:val="0"/>
      <w:marRight w:val="0"/>
      <w:marTop w:val="0"/>
      <w:marBottom w:val="0"/>
      <w:divBdr>
        <w:top w:val="none" w:sz="0" w:space="0" w:color="auto"/>
        <w:left w:val="none" w:sz="0" w:space="0" w:color="auto"/>
        <w:bottom w:val="none" w:sz="0" w:space="0" w:color="auto"/>
        <w:right w:val="none" w:sz="0" w:space="0" w:color="auto"/>
      </w:divBdr>
    </w:div>
    <w:div w:id="813371118">
      <w:bodyDiv w:val="1"/>
      <w:marLeft w:val="0"/>
      <w:marRight w:val="0"/>
      <w:marTop w:val="0"/>
      <w:marBottom w:val="0"/>
      <w:divBdr>
        <w:top w:val="none" w:sz="0" w:space="0" w:color="auto"/>
        <w:left w:val="none" w:sz="0" w:space="0" w:color="auto"/>
        <w:bottom w:val="none" w:sz="0" w:space="0" w:color="auto"/>
        <w:right w:val="none" w:sz="0" w:space="0" w:color="auto"/>
      </w:divBdr>
    </w:div>
    <w:div w:id="816531645">
      <w:bodyDiv w:val="1"/>
      <w:marLeft w:val="0"/>
      <w:marRight w:val="0"/>
      <w:marTop w:val="0"/>
      <w:marBottom w:val="0"/>
      <w:divBdr>
        <w:top w:val="none" w:sz="0" w:space="0" w:color="auto"/>
        <w:left w:val="none" w:sz="0" w:space="0" w:color="auto"/>
        <w:bottom w:val="none" w:sz="0" w:space="0" w:color="auto"/>
        <w:right w:val="none" w:sz="0" w:space="0" w:color="auto"/>
      </w:divBdr>
    </w:div>
    <w:div w:id="820778932">
      <w:bodyDiv w:val="1"/>
      <w:marLeft w:val="0"/>
      <w:marRight w:val="0"/>
      <w:marTop w:val="0"/>
      <w:marBottom w:val="0"/>
      <w:divBdr>
        <w:top w:val="none" w:sz="0" w:space="0" w:color="auto"/>
        <w:left w:val="none" w:sz="0" w:space="0" w:color="auto"/>
        <w:bottom w:val="none" w:sz="0" w:space="0" w:color="auto"/>
        <w:right w:val="none" w:sz="0" w:space="0" w:color="auto"/>
      </w:divBdr>
    </w:div>
    <w:div w:id="824396523">
      <w:bodyDiv w:val="1"/>
      <w:marLeft w:val="0"/>
      <w:marRight w:val="0"/>
      <w:marTop w:val="0"/>
      <w:marBottom w:val="0"/>
      <w:divBdr>
        <w:top w:val="none" w:sz="0" w:space="0" w:color="auto"/>
        <w:left w:val="none" w:sz="0" w:space="0" w:color="auto"/>
        <w:bottom w:val="none" w:sz="0" w:space="0" w:color="auto"/>
        <w:right w:val="none" w:sz="0" w:space="0" w:color="auto"/>
      </w:divBdr>
    </w:div>
    <w:div w:id="826870073">
      <w:bodyDiv w:val="1"/>
      <w:marLeft w:val="0"/>
      <w:marRight w:val="0"/>
      <w:marTop w:val="0"/>
      <w:marBottom w:val="0"/>
      <w:divBdr>
        <w:top w:val="none" w:sz="0" w:space="0" w:color="auto"/>
        <w:left w:val="none" w:sz="0" w:space="0" w:color="auto"/>
        <w:bottom w:val="none" w:sz="0" w:space="0" w:color="auto"/>
        <w:right w:val="none" w:sz="0" w:space="0" w:color="auto"/>
      </w:divBdr>
    </w:div>
    <w:div w:id="827555128">
      <w:bodyDiv w:val="1"/>
      <w:marLeft w:val="0"/>
      <w:marRight w:val="0"/>
      <w:marTop w:val="0"/>
      <w:marBottom w:val="0"/>
      <w:divBdr>
        <w:top w:val="none" w:sz="0" w:space="0" w:color="auto"/>
        <w:left w:val="none" w:sz="0" w:space="0" w:color="auto"/>
        <w:bottom w:val="none" w:sz="0" w:space="0" w:color="auto"/>
        <w:right w:val="none" w:sz="0" w:space="0" w:color="auto"/>
      </w:divBdr>
    </w:div>
    <w:div w:id="832262172">
      <w:bodyDiv w:val="1"/>
      <w:marLeft w:val="0"/>
      <w:marRight w:val="0"/>
      <w:marTop w:val="0"/>
      <w:marBottom w:val="0"/>
      <w:divBdr>
        <w:top w:val="none" w:sz="0" w:space="0" w:color="auto"/>
        <w:left w:val="none" w:sz="0" w:space="0" w:color="auto"/>
        <w:bottom w:val="none" w:sz="0" w:space="0" w:color="auto"/>
        <w:right w:val="none" w:sz="0" w:space="0" w:color="auto"/>
      </w:divBdr>
    </w:div>
    <w:div w:id="832724371">
      <w:bodyDiv w:val="1"/>
      <w:marLeft w:val="0"/>
      <w:marRight w:val="0"/>
      <w:marTop w:val="0"/>
      <w:marBottom w:val="0"/>
      <w:divBdr>
        <w:top w:val="none" w:sz="0" w:space="0" w:color="auto"/>
        <w:left w:val="none" w:sz="0" w:space="0" w:color="auto"/>
        <w:bottom w:val="none" w:sz="0" w:space="0" w:color="auto"/>
        <w:right w:val="none" w:sz="0" w:space="0" w:color="auto"/>
      </w:divBdr>
    </w:div>
    <w:div w:id="835653742">
      <w:bodyDiv w:val="1"/>
      <w:marLeft w:val="0"/>
      <w:marRight w:val="0"/>
      <w:marTop w:val="0"/>
      <w:marBottom w:val="0"/>
      <w:divBdr>
        <w:top w:val="none" w:sz="0" w:space="0" w:color="auto"/>
        <w:left w:val="none" w:sz="0" w:space="0" w:color="auto"/>
        <w:bottom w:val="none" w:sz="0" w:space="0" w:color="auto"/>
        <w:right w:val="none" w:sz="0" w:space="0" w:color="auto"/>
      </w:divBdr>
    </w:div>
    <w:div w:id="845486124">
      <w:bodyDiv w:val="1"/>
      <w:marLeft w:val="0"/>
      <w:marRight w:val="0"/>
      <w:marTop w:val="0"/>
      <w:marBottom w:val="0"/>
      <w:divBdr>
        <w:top w:val="none" w:sz="0" w:space="0" w:color="auto"/>
        <w:left w:val="none" w:sz="0" w:space="0" w:color="auto"/>
        <w:bottom w:val="none" w:sz="0" w:space="0" w:color="auto"/>
        <w:right w:val="none" w:sz="0" w:space="0" w:color="auto"/>
      </w:divBdr>
    </w:div>
    <w:div w:id="845706871">
      <w:bodyDiv w:val="1"/>
      <w:marLeft w:val="0"/>
      <w:marRight w:val="0"/>
      <w:marTop w:val="0"/>
      <w:marBottom w:val="0"/>
      <w:divBdr>
        <w:top w:val="none" w:sz="0" w:space="0" w:color="auto"/>
        <w:left w:val="none" w:sz="0" w:space="0" w:color="auto"/>
        <w:bottom w:val="none" w:sz="0" w:space="0" w:color="auto"/>
        <w:right w:val="none" w:sz="0" w:space="0" w:color="auto"/>
      </w:divBdr>
    </w:div>
    <w:div w:id="845829450">
      <w:bodyDiv w:val="1"/>
      <w:marLeft w:val="0"/>
      <w:marRight w:val="0"/>
      <w:marTop w:val="0"/>
      <w:marBottom w:val="0"/>
      <w:divBdr>
        <w:top w:val="none" w:sz="0" w:space="0" w:color="auto"/>
        <w:left w:val="none" w:sz="0" w:space="0" w:color="auto"/>
        <w:bottom w:val="none" w:sz="0" w:space="0" w:color="auto"/>
        <w:right w:val="none" w:sz="0" w:space="0" w:color="auto"/>
      </w:divBdr>
    </w:div>
    <w:div w:id="848718320">
      <w:bodyDiv w:val="1"/>
      <w:marLeft w:val="0"/>
      <w:marRight w:val="0"/>
      <w:marTop w:val="0"/>
      <w:marBottom w:val="0"/>
      <w:divBdr>
        <w:top w:val="none" w:sz="0" w:space="0" w:color="auto"/>
        <w:left w:val="none" w:sz="0" w:space="0" w:color="auto"/>
        <w:bottom w:val="none" w:sz="0" w:space="0" w:color="auto"/>
        <w:right w:val="none" w:sz="0" w:space="0" w:color="auto"/>
      </w:divBdr>
    </w:div>
    <w:div w:id="853613698">
      <w:bodyDiv w:val="1"/>
      <w:marLeft w:val="0"/>
      <w:marRight w:val="0"/>
      <w:marTop w:val="0"/>
      <w:marBottom w:val="0"/>
      <w:divBdr>
        <w:top w:val="none" w:sz="0" w:space="0" w:color="auto"/>
        <w:left w:val="none" w:sz="0" w:space="0" w:color="auto"/>
        <w:bottom w:val="none" w:sz="0" w:space="0" w:color="auto"/>
        <w:right w:val="none" w:sz="0" w:space="0" w:color="auto"/>
      </w:divBdr>
    </w:div>
    <w:div w:id="857742638">
      <w:bodyDiv w:val="1"/>
      <w:marLeft w:val="0"/>
      <w:marRight w:val="0"/>
      <w:marTop w:val="0"/>
      <w:marBottom w:val="0"/>
      <w:divBdr>
        <w:top w:val="none" w:sz="0" w:space="0" w:color="auto"/>
        <w:left w:val="none" w:sz="0" w:space="0" w:color="auto"/>
        <w:bottom w:val="none" w:sz="0" w:space="0" w:color="auto"/>
        <w:right w:val="none" w:sz="0" w:space="0" w:color="auto"/>
      </w:divBdr>
    </w:div>
    <w:div w:id="859969816">
      <w:bodyDiv w:val="1"/>
      <w:marLeft w:val="0"/>
      <w:marRight w:val="0"/>
      <w:marTop w:val="0"/>
      <w:marBottom w:val="0"/>
      <w:divBdr>
        <w:top w:val="none" w:sz="0" w:space="0" w:color="auto"/>
        <w:left w:val="none" w:sz="0" w:space="0" w:color="auto"/>
        <w:bottom w:val="none" w:sz="0" w:space="0" w:color="auto"/>
        <w:right w:val="none" w:sz="0" w:space="0" w:color="auto"/>
      </w:divBdr>
    </w:div>
    <w:div w:id="861673112">
      <w:bodyDiv w:val="1"/>
      <w:marLeft w:val="0"/>
      <w:marRight w:val="0"/>
      <w:marTop w:val="0"/>
      <w:marBottom w:val="0"/>
      <w:divBdr>
        <w:top w:val="none" w:sz="0" w:space="0" w:color="auto"/>
        <w:left w:val="none" w:sz="0" w:space="0" w:color="auto"/>
        <w:bottom w:val="none" w:sz="0" w:space="0" w:color="auto"/>
        <w:right w:val="none" w:sz="0" w:space="0" w:color="auto"/>
      </w:divBdr>
    </w:div>
    <w:div w:id="865682159">
      <w:bodyDiv w:val="1"/>
      <w:marLeft w:val="0"/>
      <w:marRight w:val="0"/>
      <w:marTop w:val="0"/>
      <w:marBottom w:val="0"/>
      <w:divBdr>
        <w:top w:val="none" w:sz="0" w:space="0" w:color="auto"/>
        <w:left w:val="none" w:sz="0" w:space="0" w:color="auto"/>
        <w:bottom w:val="none" w:sz="0" w:space="0" w:color="auto"/>
        <w:right w:val="none" w:sz="0" w:space="0" w:color="auto"/>
      </w:divBdr>
    </w:div>
    <w:div w:id="872420133">
      <w:bodyDiv w:val="1"/>
      <w:marLeft w:val="0"/>
      <w:marRight w:val="0"/>
      <w:marTop w:val="0"/>
      <w:marBottom w:val="0"/>
      <w:divBdr>
        <w:top w:val="none" w:sz="0" w:space="0" w:color="auto"/>
        <w:left w:val="none" w:sz="0" w:space="0" w:color="auto"/>
        <w:bottom w:val="none" w:sz="0" w:space="0" w:color="auto"/>
        <w:right w:val="none" w:sz="0" w:space="0" w:color="auto"/>
      </w:divBdr>
    </w:div>
    <w:div w:id="876236936">
      <w:bodyDiv w:val="1"/>
      <w:marLeft w:val="0"/>
      <w:marRight w:val="0"/>
      <w:marTop w:val="0"/>
      <w:marBottom w:val="0"/>
      <w:divBdr>
        <w:top w:val="none" w:sz="0" w:space="0" w:color="auto"/>
        <w:left w:val="none" w:sz="0" w:space="0" w:color="auto"/>
        <w:bottom w:val="none" w:sz="0" w:space="0" w:color="auto"/>
        <w:right w:val="none" w:sz="0" w:space="0" w:color="auto"/>
      </w:divBdr>
    </w:div>
    <w:div w:id="882133578">
      <w:bodyDiv w:val="1"/>
      <w:marLeft w:val="0"/>
      <w:marRight w:val="0"/>
      <w:marTop w:val="0"/>
      <w:marBottom w:val="0"/>
      <w:divBdr>
        <w:top w:val="none" w:sz="0" w:space="0" w:color="auto"/>
        <w:left w:val="none" w:sz="0" w:space="0" w:color="auto"/>
        <w:bottom w:val="none" w:sz="0" w:space="0" w:color="auto"/>
        <w:right w:val="none" w:sz="0" w:space="0" w:color="auto"/>
      </w:divBdr>
    </w:div>
    <w:div w:id="885408009">
      <w:bodyDiv w:val="1"/>
      <w:marLeft w:val="0"/>
      <w:marRight w:val="0"/>
      <w:marTop w:val="0"/>
      <w:marBottom w:val="0"/>
      <w:divBdr>
        <w:top w:val="none" w:sz="0" w:space="0" w:color="auto"/>
        <w:left w:val="none" w:sz="0" w:space="0" w:color="auto"/>
        <w:bottom w:val="none" w:sz="0" w:space="0" w:color="auto"/>
        <w:right w:val="none" w:sz="0" w:space="0" w:color="auto"/>
      </w:divBdr>
    </w:div>
    <w:div w:id="890270070">
      <w:bodyDiv w:val="1"/>
      <w:marLeft w:val="0"/>
      <w:marRight w:val="0"/>
      <w:marTop w:val="0"/>
      <w:marBottom w:val="0"/>
      <w:divBdr>
        <w:top w:val="none" w:sz="0" w:space="0" w:color="auto"/>
        <w:left w:val="none" w:sz="0" w:space="0" w:color="auto"/>
        <w:bottom w:val="none" w:sz="0" w:space="0" w:color="auto"/>
        <w:right w:val="none" w:sz="0" w:space="0" w:color="auto"/>
      </w:divBdr>
    </w:div>
    <w:div w:id="890964482">
      <w:bodyDiv w:val="1"/>
      <w:marLeft w:val="0"/>
      <w:marRight w:val="0"/>
      <w:marTop w:val="0"/>
      <w:marBottom w:val="0"/>
      <w:divBdr>
        <w:top w:val="none" w:sz="0" w:space="0" w:color="auto"/>
        <w:left w:val="none" w:sz="0" w:space="0" w:color="auto"/>
        <w:bottom w:val="none" w:sz="0" w:space="0" w:color="auto"/>
        <w:right w:val="none" w:sz="0" w:space="0" w:color="auto"/>
      </w:divBdr>
    </w:div>
    <w:div w:id="894240066">
      <w:bodyDiv w:val="1"/>
      <w:marLeft w:val="0"/>
      <w:marRight w:val="0"/>
      <w:marTop w:val="0"/>
      <w:marBottom w:val="0"/>
      <w:divBdr>
        <w:top w:val="none" w:sz="0" w:space="0" w:color="auto"/>
        <w:left w:val="none" w:sz="0" w:space="0" w:color="auto"/>
        <w:bottom w:val="none" w:sz="0" w:space="0" w:color="auto"/>
        <w:right w:val="none" w:sz="0" w:space="0" w:color="auto"/>
      </w:divBdr>
    </w:div>
    <w:div w:id="896362499">
      <w:bodyDiv w:val="1"/>
      <w:marLeft w:val="0"/>
      <w:marRight w:val="0"/>
      <w:marTop w:val="0"/>
      <w:marBottom w:val="0"/>
      <w:divBdr>
        <w:top w:val="none" w:sz="0" w:space="0" w:color="auto"/>
        <w:left w:val="none" w:sz="0" w:space="0" w:color="auto"/>
        <w:bottom w:val="none" w:sz="0" w:space="0" w:color="auto"/>
        <w:right w:val="none" w:sz="0" w:space="0" w:color="auto"/>
      </w:divBdr>
    </w:div>
    <w:div w:id="897521093">
      <w:bodyDiv w:val="1"/>
      <w:marLeft w:val="0"/>
      <w:marRight w:val="0"/>
      <w:marTop w:val="0"/>
      <w:marBottom w:val="0"/>
      <w:divBdr>
        <w:top w:val="none" w:sz="0" w:space="0" w:color="auto"/>
        <w:left w:val="none" w:sz="0" w:space="0" w:color="auto"/>
        <w:bottom w:val="none" w:sz="0" w:space="0" w:color="auto"/>
        <w:right w:val="none" w:sz="0" w:space="0" w:color="auto"/>
      </w:divBdr>
    </w:div>
    <w:div w:id="903296738">
      <w:bodyDiv w:val="1"/>
      <w:marLeft w:val="0"/>
      <w:marRight w:val="0"/>
      <w:marTop w:val="0"/>
      <w:marBottom w:val="0"/>
      <w:divBdr>
        <w:top w:val="none" w:sz="0" w:space="0" w:color="auto"/>
        <w:left w:val="none" w:sz="0" w:space="0" w:color="auto"/>
        <w:bottom w:val="none" w:sz="0" w:space="0" w:color="auto"/>
        <w:right w:val="none" w:sz="0" w:space="0" w:color="auto"/>
      </w:divBdr>
    </w:div>
    <w:div w:id="903415018">
      <w:bodyDiv w:val="1"/>
      <w:marLeft w:val="0"/>
      <w:marRight w:val="0"/>
      <w:marTop w:val="0"/>
      <w:marBottom w:val="0"/>
      <w:divBdr>
        <w:top w:val="none" w:sz="0" w:space="0" w:color="auto"/>
        <w:left w:val="none" w:sz="0" w:space="0" w:color="auto"/>
        <w:bottom w:val="none" w:sz="0" w:space="0" w:color="auto"/>
        <w:right w:val="none" w:sz="0" w:space="0" w:color="auto"/>
      </w:divBdr>
    </w:div>
    <w:div w:id="911236855">
      <w:bodyDiv w:val="1"/>
      <w:marLeft w:val="0"/>
      <w:marRight w:val="0"/>
      <w:marTop w:val="0"/>
      <w:marBottom w:val="0"/>
      <w:divBdr>
        <w:top w:val="none" w:sz="0" w:space="0" w:color="auto"/>
        <w:left w:val="none" w:sz="0" w:space="0" w:color="auto"/>
        <w:bottom w:val="none" w:sz="0" w:space="0" w:color="auto"/>
        <w:right w:val="none" w:sz="0" w:space="0" w:color="auto"/>
      </w:divBdr>
    </w:div>
    <w:div w:id="912473157">
      <w:bodyDiv w:val="1"/>
      <w:marLeft w:val="0"/>
      <w:marRight w:val="0"/>
      <w:marTop w:val="0"/>
      <w:marBottom w:val="0"/>
      <w:divBdr>
        <w:top w:val="none" w:sz="0" w:space="0" w:color="auto"/>
        <w:left w:val="none" w:sz="0" w:space="0" w:color="auto"/>
        <w:bottom w:val="none" w:sz="0" w:space="0" w:color="auto"/>
        <w:right w:val="none" w:sz="0" w:space="0" w:color="auto"/>
      </w:divBdr>
    </w:div>
    <w:div w:id="913510345">
      <w:bodyDiv w:val="1"/>
      <w:marLeft w:val="0"/>
      <w:marRight w:val="0"/>
      <w:marTop w:val="0"/>
      <w:marBottom w:val="0"/>
      <w:divBdr>
        <w:top w:val="none" w:sz="0" w:space="0" w:color="auto"/>
        <w:left w:val="none" w:sz="0" w:space="0" w:color="auto"/>
        <w:bottom w:val="none" w:sz="0" w:space="0" w:color="auto"/>
        <w:right w:val="none" w:sz="0" w:space="0" w:color="auto"/>
      </w:divBdr>
    </w:div>
    <w:div w:id="913857726">
      <w:bodyDiv w:val="1"/>
      <w:marLeft w:val="0"/>
      <w:marRight w:val="0"/>
      <w:marTop w:val="0"/>
      <w:marBottom w:val="0"/>
      <w:divBdr>
        <w:top w:val="none" w:sz="0" w:space="0" w:color="auto"/>
        <w:left w:val="none" w:sz="0" w:space="0" w:color="auto"/>
        <w:bottom w:val="none" w:sz="0" w:space="0" w:color="auto"/>
        <w:right w:val="none" w:sz="0" w:space="0" w:color="auto"/>
      </w:divBdr>
    </w:div>
    <w:div w:id="915433015">
      <w:bodyDiv w:val="1"/>
      <w:marLeft w:val="0"/>
      <w:marRight w:val="0"/>
      <w:marTop w:val="0"/>
      <w:marBottom w:val="0"/>
      <w:divBdr>
        <w:top w:val="none" w:sz="0" w:space="0" w:color="auto"/>
        <w:left w:val="none" w:sz="0" w:space="0" w:color="auto"/>
        <w:bottom w:val="none" w:sz="0" w:space="0" w:color="auto"/>
        <w:right w:val="none" w:sz="0" w:space="0" w:color="auto"/>
      </w:divBdr>
    </w:div>
    <w:div w:id="917060972">
      <w:bodyDiv w:val="1"/>
      <w:marLeft w:val="0"/>
      <w:marRight w:val="0"/>
      <w:marTop w:val="0"/>
      <w:marBottom w:val="0"/>
      <w:divBdr>
        <w:top w:val="none" w:sz="0" w:space="0" w:color="auto"/>
        <w:left w:val="none" w:sz="0" w:space="0" w:color="auto"/>
        <w:bottom w:val="none" w:sz="0" w:space="0" w:color="auto"/>
        <w:right w:val="none" w:sz="0" w:space="0" w:color="auto"/>
      </w:divBdr>
    </w:div>
    <w:div w:id="920144085">
      <w:bodyDiv w:val="1"/>
      <w:marLeft w:val="0"/>
      <w:marRight w:val="0"/>
      <w:marTop w:val="0"/>
      <w:marBottom w:val="0"/>
      <w:divBdr>
        <w:top w:val="none" w:sz="0" w:space="0" w:color="auto"/>
        <w:left w:val="none" w:sz="0" w:space="0" w:color="auto"/>
        <w:bottom w:val="none" w:sz="0" w:space="0" w:color="auto"/>
        <w:right w:val="none" w:sz="0" w:space="0" w:color="auto"/>
      </w:divBdr>
    </w:div>
    <w:div w:id="920337562">
      <w:bodyDiv w:val="1"/>
      <w:marLeft w:val="0"/>
      <w:marRight w:val="0"/>
      <w:marTop w:val="0"/>
      <w:marBottom w:val="0"/>
      <w:divBdr>
        <w:top w:val="none" w:sz="0" w:space="0" w:color="auto"/>
        <w:left w:val="none" w:sz="0" w:space="0" w:color="auto"/>
        <w:bottom w:val="none" w:sz="0" w:space="0" w:color="auto"/>
        <w:right w:val="none" w:sz="0" w:space="0" w:color="auto"/>
      </w:divBdr>
    </w:div>
    <w:div w:id="923607680">
      <w:bodyDiv w:val="1"/>
      <w:marLeft w:val="0"/>
      <w:marRight w:val="0"/>
      <w:marTop w:val="0"/>
      <w:marBottom w:val="0"/>
      <w:divBdr>
        <w:top w:val="none" w:sz="0" w:space="0" w:color="auto"/>
        <w:left w:val="none" w:sz="0" w:space="0" w:color="auto"/>
        <w:bottom w:val="none" w:sz="0" w:space="0" w:color="auto"/>
        <w:right w:val="none" w:sz="0" w:space="0" w:color="auto"/>
      </w:divBdr>
    </w:div>
    <w:div w:id="924343324">
      <w:bodyDiv w:val="1"/>
      <w:marLeft w:val="0"/>
      <w:marRight w:val="0"/>
      <w:marTop w:val="0"/>
      <w:marBottom w:val="0"/>
      <w:divBdr>
        <w:top w:val="none" w:sz="0" w:space="0" w:color="auto"/>
        <w:left w:val="none" w:sz="0" w:space="0" w:color="auto"/>
        <w:bottom w:val="none" w:sz="0" w:space="0" w:color="auto"/>
        <w:right w:val="none" w:sz="0" w:space="0" w:color="auto"/>
      </w:divBdr>
    </w:div>
    <w:div w:id="931739874">
      <w:bodyDiv w:val="1"/>
      <w:marLeft w:val="0"/>
      <w:marRight w:val="0"/>
      <w:marTop w:val="0"/>
      <w:marBottom w:val="0"/>
      <w:divBdr>
        <w:top w:val="none" w:sz="0" w:space="0" w:color="auto"/>
        <w:left w:val="none" w:sz="0" w:space="0" w:color="auto"/>
        <w:bottom w:val="none" w:sz="0" w:space="0" w:color="auto"/>
        <w:right w:val="none" w:sz="0" w:space="0" w:color="auto"/>
      </w:divBdr>
    </w:div>
    <w:div w:id="943734774">
      <w:bodyDiv w:val="1"/>
      <w:marLeft w:val="0"/>
      <w:marRight w:val="0"/>
      <w:marTop w:val="0"/>
      <w:marBottom w:val="0"/>
      <w:divBdr>
        <w:top w:val="none" w:sz="0" w:space="0" w:color="auto"/>
        <w:left w:val="none" w:sz="0" w:space="0" w:color="auto"/>
        <w:bottom w:val="none" w:sz="0" w:space="0" w:color="auto"/>
        <w:right w:val="none" w:sz="0" w:space="0" w:color="auto"/>
      </w:divBdr>
    </w:div>
    <w:div w:id="945189178">
      <w:bodyDiv w:val="1"/>
      <w:marLeft w:val="0"/>
      <w:marRight w:val="0"/>
      <w:marTop w:val="0"/>
      <w:marBottom w:val="0"/>
      <w:divBdr>
        <w:top w:val="none" w:sz="0" w:space="0" w:color="auto"/>
        <w:left w:val="none" w:sz="0" w:space="0" w:color="auto"/>
        <w:bottom w:val="none" w:sz="0" w:space="0" w:color="auto"/>
        <w:right w:val="none" w:sz="0" w:space="0" w:color="auto"/>
      </w:divBdr>
    </w:div>
    <w:div w:id="945892421">
      <w:bodyDiv w:val="1"/>
      <w:marLeft w:val="0"/>
      <w:marRight w:val="0"/>
      <w:marTop w:val="0"/>
      <w:marBottom w:val="0"/>
      <w:divBdr>
        <w:top w:val="none" w:sz="0" w:space="0" w:color="auto"/>
        <w:left w:val="none" w:sz="0" w:space="0" w:color="auto"/>
        <w:bottom w:val="none" w:sz="0" w:space="0" w:color="auto"/>
        <w:right w:val="none" w:sz="0" w:space="0" w:color="auto"/>
      </w:divBdr>
    </w:div>
    <w:div w:id="954865384">
      <w:bodyDiv w:val="1"/>
      <w:marLeft w:val="0"/>
      <w:marRight w:val="0"/>
      <w:marTop w:val="0"/>
      <w:marBottom w:val="0"/>
      <w:divBdr>
        <w:top w:val="none" w:sz="0" w:space="0" w:color="auto"/>
        <w:left w:val="none" w:sz="0" w:space="0" w:color="auto"/>
        <w:bottom w:val="none" w:sz="0" w:space="0" w:color="auto"/>
        <w:right w:val="none" w:sz="0" w:space="0" w:color="auto"/>
      </w:divBdr>
    </w:div>
    <w:div w:id="955647611">
      <w:bodyDiv w:val="1"/>
      <w:marLeft w:val="0"/>
      <w:marRight w:val="0"/>
      <w:marTop w:val="0"/>
      <w:marBottom w:val="0"/>
      <w:divBdr>
        <w:top w:val="none" w:sz="0" w:space="0" w:color="auto"/>
        <w:left w:val="none" w:sz="0" w:space="0" w:color="auto"/>
        <w:bottom w:val="none" w:sz="0" w:space="0" w:color="auto"/>
        <w:right w:val="none" w:sz="0" w:space="0" w:color="auto"/>
      </w:divBdr>
    </w:div>
    <w:div w:id="958142499">
      <w:bodyDiv w:val="1"/>
      <w:marLeft w:val="0"/>
      <w:marRight w:val="0"/>
      <w:marTop w:val="0"/>
      <w:marBottom w:val="0"/>
      <w:divBdr>
        <w:top w:val="none" w:sz="0" w:space="0" w:color="auto"/>
        <w:left w:val="none" w:sz="0" w:space="0" w:color="auto"/>
        <w:bottom w:val="none" w:sz="0" w:space="0" w:color="auto"/>
        <w:right w:val="none" w:sz="0" w:space="0" w:color="auto"/>
      </w:divBdr>
    </w:div>
    <w:div w:id="964627592">
      <w:bodyDiv w:val="1"/>
      <w:marLeft w:val="0"/>
      <w:marRight w:val="0"/>
      <w:marTop w:val="0"/>
      <w:marBottom w:val="0"/>
      <w:divBdr>
        <w:top w:val="none" w:sz="0" w:space="0" w:color="auto"/>
        <w:left w:val="none" w:sz="0" w:space="0" w:color="auto"/>
        <w:bottom w:val="none" w:sz="0" w:space="0" w:color="auto"/>
        <w:right w:val="none" w:sz="0" w:space="0" w:color="auto"/>
      </w:divBdr>
    </w:div>
    <w:div w:id="968124561">
      <w:bodyDiv w:val="1"/>
      <w:marLeft w:val="0"/>
      <w:marRight w:val="0"/>
      <w:marTop w:val="0"/>
      <w:marBottom w:val="0"/>
      <w:divBdr>
        <w:top w:val="none" w:sz="0" w:space="0" w:color="auto"/>
        <w:left w:val="none" w:sz="0" w:space="0" w:color="auto"/>
        <w:bottom w:val="none" w:sz="0" w:space="0" w:color="auto"/>
        <w:right w:val="none" w:sz="0" w:space="0" w:color="auto"/>
      </w:divBdr>
    </w:div>
    <w:div w:id="976184995">
      <w:bodyDiv w:val="1"/>
      <w:marLeft w:val="0"/>
      <w:marRight w:val="0"/>
      <w:marTop w:val="0"/>
      <w:marBottom w:val="0"/>
      <w:divBdr>
        <w:top w:val="none" w:sz="0" w:space="0" w:color="auto"/>
        <w:left w:val="none" w:sz="0" w:space="0" w:color="auto"/>
        <w:bottom w:val="none" w:sz="0" w:space="0" w:color="auto"/>
        <w:right w:val="none" w:sz="0" w:space="0" w:color="auto"/>
      </w:divBdr>
    </w:div>
    <w:div w:id="977875339">
      <w:bodyDiv w:val="1"/>
      <w:marLeft w:val="0"/>
      <w:marRight w:val="0"/>
      <w:marTop w:val="0"/>
      <w:marBottom w:val="0"/>
      <w:divBdr>
        <w:top w:val="none" w:sz="0" w:space="0" w:color="auto"/>
        <w:left w:val="none" w:sz="0" w:space="0" w:color="auto"/>
        <w:bottom w:val="none" w:sz="0" w:space="0" w:color="auto"/>
        <w:right w:val="none" w:sz="0" w:space="0" w:color="auto"/>
      </w:divBdr>
    </w:div>
    <w:div w:id="978463718">
      <w:bodyDiv w:val="1"/>
      <w:marLeft w:val="0"/>
      <w:marRight w:val="0"/>
      <w:marTop w:val="0"/>
      <w:marBottom w:val="0"/>
      <w:divBdr>
        <w:top w:val="none" w:sz="0" w:space="0" w:color="auto"/>
        <w:left w:val="none" w:sz="0" w:space="0" w:color="auto"/>
        <w:bottom w:val="none" w:sz="0" w:space="0" w:color="auto"/>
        <w:right w:val="none" w:sz="0" w:space="0" w:color="auto"/>
      </w:divBdr>
    </w:div>
    <w:div w:id="979529642">
      <w:bodyDiv w:val="1"/>
      <w:marLeft w:val="0"/>
      <w:marRight w:val="0"/>
      <w:marTop w:val="0"/>
      <w:marBottom w:val="0"/>
      <w:divBdr>
        <w:top w:val="none" w:sz="0" w:space="0" w:color="auto"/>
        <w:left w:val="none" w:sz="0" w:space="0" w:color="auto"/>
        <w:bottom w:val="none" w:sz="0" w:space="0" w:color="auto"/>
        <w:right w:val="none" w:sz="0" w:space="0" w:color="auto"/>
      </w:divBdr>
    </w:div>
    <w:div w:id="981303230">
      <w:bodyDiv w:val="1"/>
      <w:marLeft w:val="0"/>
      <w:marRight w:val="0"/>
      <w:marTop w:val="0"/>
      <w:marBottom w:val="0"/>
      <w:divBdr>
        <w:top w:val="none" w:sz="0" w:space="0" w:color="auto"/>
        <w:left w:val="none" w:sz="0" w:space="0" w:color="auto"/>
        <w:bottom w:val="none" w:sz="0" w:space="0" w:color="auto"/>
        <w:right w:val="none" w:sz="0" w:space="0" w:color="auto"/>
      </w:divBdr>
    </w:div>
    <w:div w:id="988093036">
      <w:bodyDiv w:val="1"/>
      <w:marLeft w:val="0"/>
      <w:marRight w:val="0"/>
      <w:marTop w:val="0"/>
      <w:marBottom w:val="0"/>
      <w:divBdr>
        <w:top w:val="none" w:sz="0" w:space="0" w:color="auto"/>
        <w:left w:val="none" w:sz="0" w:space="0" w:color="auto"/>
        <w:bottom w:val="none" w:sz="0" w:space="0" w:color="auto"/>
        <w:right w:val="none" w:sz="0" w:space="0" w:color="auto"/>
      </w:divBdr>
    </w:div>
    <w:div w:id="989753650">
      <w:bodyDiv w:val="1"/>
      <w:marLeft w:val="0"/>
      <w:marRight w:val="0"/>
      <w:marTop w:val="0"/>
      <w:marBottom w:val="0"/>
      <w:divBdr>
        <w:top w:val="none" w:sz="0" w:space="0" w:color="auto"/>
        <w:left w:val="none" w:sz="0" w:space="0" w:color="auto"/>
        <w:bottom w:val="none" w:sz="0" w:space="0" w:color="auto"/>
        <w:right w:val="none" w:sz="0" w:space="0" w:color="auto"/>
      </w:divBdr>
    </w:div>
    <w:div w:id="997994976">
      <w:bodyDiv w:val="1"/>
      <w:marLeft w:val="0"/>
      <w:marRight w:val="0"/>
      <w:marTop w:val="0"/>
      <w:marBottom w:val="0"/>
      <w:divBdr>
        <w:top w:val="none" w:sz="0" w:space="0" w:color="auto"/>
        <w:left w:val="none" w:sz="0" w:space="0" w:color="auto"/>
        <w:bottom w:val="none" w:sz="0" w:space="0" w:color="auto"/>
        <w:right w:val="none" w:sz="0" w:space="0" w:color="auto"/>
      </w:divBdr>
    </w:div>
    <w:div w:id="1003313085">
      <w:bodyDiv w:val="1"/>
      <w:marLeft w:val="0"/>
      <w:marRight w:val="0"/>
      <w:marTop w:val="0"/>
      <w:marBottom w:val="0"/>
      <w:divBdr>
        <w:top w:val="none" w:sz="0" w:space="0" w:color="auto"/>
        <w:left w:val="none" w:sz="0" w:space="0" w:color="auto"/>
        <w:bottom w:val="none" w:sz="0" w:space="0" w:color="auto"/>
        <w:right w:val="none" w:sz="0" w:space="0" w:color="auto"/>
      </w:divBdr>
    </w:div>
    <w:div w:id="1005669890">
      <w:bodyDiv w:val="1"/>
      <w:marLeft w:val="0"/>
      <w:marRight w:val="0"/>
      <w:marTop w:val="0"/>
      <w:marBottom w:val="0"/>
      <w:divBdr>
        <w:top w:val="none" w:sz="0" w:space="0" w:color="auto"/>
        <w:left w:val="none" w:sz="0" w:space="0" w:color="auto"/>
        <w:bottom w:val="none" w:sz="0" w:space="0" w:color="auto"/>
        <w:right w:val="none" w:sz="0" w:space="0" w:color="auto"/>
      </w:divBdr>
    </w:div>
    <w:div w:id="1009680314">
      <w:bodyDiv w:val="1"/>
      <w:marLeft w:val="0"/>
      <w:marRight w:val="0"/>
      <w:marTop w:val="0"/>
      <w:marBottom w:val="0"/>
      <w:divBdr>
        <w:top w:val="none" w:sz="0" w:space="0" w:color="auto"/>
        <w:left w:val="none" w:sz="0" w:space="0" w:color="auto"/>
        <w:bottom w:val="none" w:sz="0" w:space="0" w:color="auto"/>
        <w:right w:val="none" w:sz="0" w:space="0" w:color="auto"/>
      </w:divBdr>
    </w:div>
    <w:div w:id="1019694759">
      <w:bodyDiv w:val="1"/>
      <w:marLeft w:val="0"/>
      <w:marRight w:val="0"/>
      <w:marTop w:val="0"/>
      <w:marBottom w:val="0"/>
      <w:divBdr>
        <w:top w:val="none" w:sz="0" w:space="0" w:color="auto"/>
        <w:left w:val="none" w:sz="0" w:space="0" w:color="auto"/>
        <w:bottom w:val="none" w:sz="0" w:space="0" w:color="auto"/>
        <w:right w:val="none" w:sz="0" w:space="0" w:color="auto"/>
      </w:divBdr>
    </w:div>
    <w:div w:id="1022821961">
      <w:bodyDiv w:val="1"/>
      <w:marLeft w:val="0"/>
      <w:marRight w:val="0"/>
      <w:marTop w:val="0"/>
      <w:marBottom w:val="0"/>
      <w:divBdr>
        <w:top w:val="none" w:sz="0" w:space="0" w:color="auto"/>
        <w:left w:val="none" w:sz="0" w:space="0" w:color="auto"/>
        <w:bottom w:val="none" w:sz="0" w:space="0" w:color="auto"/>
        <w:right w:val="none" w:sz="0" w:space="0" w:color="auto"/>
      </w:divBdr>
    </w:div>
    <w:div w:id="1030110405">
      <w:bodyDiv w:val="1"/>
      <w:marLeft w:val="0"/>
      <w:marRight w:val="0"/>
      <w:marTop w:val="0"/>
      <w:marBottom w:val="0"/>
      <w:divBdr>
        <w:top w:val="none" w:sz="0" w:space="0" w:color="auto"/>
        <w:left w:val="none" w:sz="0" w:space="0" w:color="auto"/>
        <w:bottom w:val="none" w:sz="0" w:space="0" w:color="auto"/>
        <w:right w:val="none" w:sz="0" w:space="0" w:color="auto"/>
      </w:divBdr>
    </w:div>
    <w:div w:id="1031764469">
      <w:bodyDiv w:val="1"/>
      <w:marLeft w:val="0"/>
      <w:marRight w:val="0"/>
      <w:marTop w:val="0"/>
      <w:marBottom w:val="0"/>
      <w:divBdr>
        <w:top w:val="none" w:sz="0" w:space="0" w:color="auto"/>
        <w:left w:val="none" w:sz="0" w:space="0" w:color="auto"/>
        <w:bottom w:val="none" w:sz="0" w:space="0" w:color="auto"/>
        <w:right w:val="none" w:sz="0" w:space="0" w:color="auto"/>
      </w:divBdr>
    </w:div>
    <w:div w:id="1037461922">
      <w:bodyDiv w:val="1"/>
      <w:marLeft w:val="0"/>
      <w:marRight w:val="0"/>
      <w:marTop w:val="0"/>
      <w:marBottom w:val="0"/>
      <w:divBdr>
        <w:top w:val="none" w:sz="0" w:space="0" w:color="auto"/>
        <w:left w:val="none" w:sz="0" w:space="0" w:color="auto"/>
        <w:bottom w:val="none" w:sz="0" w:space="0" w:color="auto"/>
        <w:right w:val="none" w:sz="0" w:space="0" w:color="auto"/>
      </w:divBdr>
    </w:div>
    <w:div w:id="1040596999">
      <w:bodyDiv w:val="1"/>
      <w:marLeft w:val="0"/>
      <w:marRight w:val="0"/>
      <w:marTop w:val="0"/>
      <w:marBottom w:val="0"/>
      <w:divBdr>
        <w:top w:val="none" w:sz="0" w:space="0" w:color="auto"/>
        <w:left w:val="none" w:sz="0" w:space="0" w:color="auto"/>
        <w:bottom w:val="none" w:sz="0" w:space="0" w:color="auto"/>
        <w:right w:val="none" w:sz="0" w:space="0" w:color="auto"/>
      </w:divBdr>
    </w:div>
    <w:div w:id="1041590186">
      <w:bodyDiv w:val="1"/>
      <w:marLeft w:val="0"/>
      <w:marRight w:val="0"/>
      <w:marTop w:val="0"/>
      <w:marBottom w:val="0"/>
      <w:divBdr>
        <w:top w:val="none" w:sz="0" w:space="0" w:color="auto"/>
        <w:left w:val="none" w:sz="0" w:space="0" w:color="auto"/>
        <w:bottom w:val="none" w:sz="0" w:space="0" w:color="auto"/>
        <w:right w:val="none" w:sz="0" w:space="0" w:color="auto"/>
      </w:divBdr>
    </w:div>
    <w:div w:id="1041904211">
      <w:bodyDiv w:val="1"/>
      <w:marLeft w:val="0"/>
      <w:marRight w:val="0"/>
      <w:marTop w:val="0"/>
      <w:marBottom w:val="0"/>
      <w:divBdr>
        <w:top w:val="none" w:sz="0" w:space="0" w:color="auto"/>
        <w:left w:val="none" w:sz="0" w:space="0" w:color="auto"/>
        <w:bottom w:val="none" w:sz="0" w:space="0" w:color="auto"/>
        <w:right w:val="none" w:sz="0" w:space="0" w:color="auto"/>
      </w:divBdr>
    </w:div>
    <w:div w:id="1044720999">
      <w:bodyDiv w:val="1"/>
      <w:marLeft w:val="0"/>
      <w:marRight w:val="0"/>
      <w:marTop w:val="0"/>
      <w:marBottom w:val="0"/>
      <w:divBdr>
        <w:top w:val="none" w:sz="0" w:space="0" w:color="auto"/>
        <w:left w:val="none" w:sz="0" w:space="0" w:color="auto"/>
        <w:bottom w:val="none" w:sz="0" w:space="0" w:color="auto"/>
        <w:right w:val="none" w:sz="0" w:space="0" w:color="auto"/>
      </w:divBdr>
    </w:div>
    <w:div w:id="1045134340">
      <w:bodyDiv w:val="1"/>
      <w:marLeft w:val="0"/>
      <w:marRight w:val="0"/>
      <w:marTop w:val="0"/>
      <w:marBottom w:val="0"/>
      <w:divBdr>
        <w:top w:val="none" w:sz="0" w:space="0" w:color="auto"/>
        <w:left w:val="none" w:sz="0" w:space="0" w:color="auto"/>
        <w:bottom w:val="none" w:sz="0" w:space="0" w:color="auto"/>
        <w:right w:val="none" w:sz="0" w:space="0" w:color="auto"/>
      </w:divBdr>
    </w:div>
    <w:div w:id="1056197214">
      <w:bodyDiv w:val="1"/>
      <w:marLeft w:val="0"/>
      <w:marRight w:val="0"/>
      <w:marTop w:val="0"/>
      <w:marBottom w:val="0"/>
      <w:divBdr>
        <w:top w:val="none" w:sz="0" w:space="0" w:color="auto"/>
        <w:left w:val="none" w:sz="0" w:space="0" w:color="auto"/>
        <w:bottom w:val="none" w:sz="0" w:space="0" w:color="auto"/>
        <w:right w:val="none" w:sz="0" w:space="0" w:color="auto"/>
      </w:divBdr>
    </w:div>
    <w:div w:id="1057557140">
      <w:bodyDiv w:val="1"/>
      <w:marLeft w:val="0"/>
      <w:marRight w:val="0"/>
      <w:marTop w:val="0"/>
      <w:marBottom w:val="0"/>
      <w:divBdr>
        <w:top w:val="none" w:sz="0" w:space="0" w:color="auto"/>
        <w:left w:val="none" w:sz="0" w:space="0" w:color="auto"/>
        <w:bottom w:val="none" w:sz="0" w:space="0" w:color="auto"/>
        <w:right w:val="none" w:sz="0" w:space="0" w:color="auto"/>
      </w:divBdr>
    </w:div>
    <w:div w:id="1068066698">
      <w:bodyDiv w:val="1"/>
      <w:marLeft w:val="0"/>
      <w:marRight w:val="0"/>
      <w:marTop w:val="0"/>
      <w:marBottom w:val="0"/>
      <w:divBdr>
        <w:top w:val="none" w:sz="0" w:space="0" w:color="auto"/>
        <w:left w:val="none" w:sz="0" w:space="0" w:color="auto"/>
        <w:bottom w:val="none" w:sz="0" w:space="0" w:color="auto"/>
        <w:right w:val="none" w:sz="0" w:space="0" w:color="auto"/>
      </w:divBdr>
    </w:div>
    <w:div w:id="1068576124">
      <w:bodyDiv w:val="1"/>
      <w:marLeft w:val="0"/>
      <w:marRight w:val="0"/>
      <w:marTop w:val="0"/>
      <w:marBottom w:val="0"/>
      <w:divBdr>
        <w:top w:val="none" w:sz="0" w:space="0" w:color="auto"/>
        <w:left w:val="none" w:sz="0" w:space="0" w:color="auto"/>
        <w:bottom w:val="none" w:sz="0" w:space="0" w:color="auto"/>
        <w:right w:val="none" w:sz="0" w:space="0" w:color="auto"/>
      </w:divBdr>
    </w:div>
    <w:div w:id="1069690907">
      <w:bodyDiv w:val="1"/>
      <w:marLeft w:val="0"/>
      <w:marRight w:val="0"/>
      <w:marTop w:val="0"/>
      <w:marBottom w:val="0"/>
      <w:divBdr>
        <w:top w:val="none" w:sz="0" w:space="0" w:color="auto"/>
        <w:left w:val="none" w:sz="0" w:space="0" w:color="auto"/>
        <w:bottom w:val="none" w:sz="0" w:space="0" w:color="auto"/>
        <w:right w:val="none" w:sz="0" w:space="0" w:color="auto"/>
      </w:divBdr>
    </w:div>
    <w:div w:id="1078820352">
      <w:bodyDiv w:val="1"/>
      <w:marLeft w:val="0"/>
      <w:marRight w:val="0"/>
      <w:marTop w:val="0"/>
      <w:marBottom w:val="0"/>
      <w:divBdr>
        <w:top w:val="none" w:sz="0" w:space="0" w:color="auto"/>
        <w:left w:val="none" w:sz="0" w:space="0" w:color="auto"/>
        <w:bottom w:val="none" w:sz="0" w:space="0" w:color="auto"/>
        <w:right w:val="none" w:sz="0" w:space="0" w:color="auto"/>
      </w:divBdr>
    </w:div>
    <w:div w:id="1081830469">
      <w:bodyDiv w:val="1"/>
      <w:marLeft w:val="0"/>
      <w:marRight w:val="0"/>
      <w:marTop w:val="0"/>
      <w:marBottom w:val="0"/>
      <w:divBdr>
        <w:top w:val="none" w:sz="0" w:space="0" w:color="auto"/>
        <w:left w:val="none" w:sz="0" w:space="0" w:color="auto"/>
        <w:bottom w:val="none" w:sz="0" w:space="0" w:color="auto"/>
        <w:right w:val="none" w:sz="0" w:space="0" w:color="auto"/>
      </w:divBdr>
    </w:div>
    <w:div w:id="1082216345">
      <w:bodyDiv w:val="1"/>
      <w:marLeft w:val="0"/>
      <w:marRight w:val="0"/>
      <w:marTop w:val="0"/>
      <w:marBottom w:val="0"/>
      <w:divBdr>
        <w:top w:val="none" w:sz="0" w:space="0" w:color="auto"/>
        <w:left w:val="none" w:sz="0" w:space="0" w:color="auto"/>
        <w:bottom w:val="none" w:sz="0" w:space="0" w:color="auto"/>
        <w:right w:val="none" w:sz="0" w:space="0" w:color="auto"/>
      </w:divBdr>
    </w:div>
    <w:div w:id="1083530940">
      <w:bodyDiv w:val="1"/>
      <w:marLeft w:val="0"/>
      <w:marRight w:val="0"/>
      <w:marTop w:val="0"/>
      <w:marBottom w:val="0"/>
      <w:divBdr>
        <w:top w:val="none" w:sz="0" w:space="0" w:color="auto"/>
        <w:left w:val="none" w:sz="0" w:space="0" w:color="auto"/>
        <w:bottom w:val="none" w:sz="0" w:space="0" w:color="auto"/>
        <w:right w:val="none" w:sz="0" w:space="0" w:color="auto"/>
      </w:divBdr>
    </w:div>
    <w:div w:id="1085490315">
      <w:bodyDiv w:val="1"/>
      <w:marLeft w:val="0"/>
      <w:marRight w:val="0"/>
      <w:marTop w:val="0"/>
      <w:marBottom w:val="0"/>
      <w:divBdr>
        <w:top w:val="none" w:sz="0" w:space="0" w:color="auto"/>
        <w:left w:val="none" w:sz="0" w:space="0" w:color="auto"/>
        <w:bottom w:val="none" w:sz="0" w:space="0" w:color="auto"/>
        <w:right w:val="none" w:sz="0" w:space="0" w:color="auto"/>
      </w:divBdr>
    </w:div>
    <w:div w:id="1086876427">
      <w:bodyDiv w:val="1"/>
      <w:marLeft w:val="0"/>
      <w:marRight w:val="0"/>
      <w:marTop w:val="0"/>
      <w:marBottom w:val="0"/>
      <w:divBdr>
        <w:top w:val="none" w:sz="0" w:space="0" w:color="auto"/>
        <w:left w:val="none" w:sz="0" w:space="0" w:color="auto"/>
        <w:bottom w:val="none" w:sz="0" w:space="0" w:color="auto"/>
        <w:right w:val="none" w:sz="0" w:space="0" w:color="auto"/>
      </w:divBdr>
    </w:div>
    <w:div w:id="1088427180">
      <w:bodyDiv w:val="1"/>
      <w:marLeft w:val="0"/>
      <w:marRight w:val="0"/>
      <w:marTop w:val="0"/>
      <w:marBottom w:val="0"/>
      <w:divBdr>
        <w:top w:val="none" w:sz="0" w:space="0" w:color="auto"/>
        <w:left w:val="none" w:sz="0" w:space="0" w:color="auto"/>
        <w:bottom w:val="none" w:sz="0" w:space="0" w:color="auto"/>
        <w:right w:val="none" w:sz="0" w:space="0" w:color="auto"/>
      </w:divBdr>
    </w:div>
    <w:div w:id="1088697190">
      <w:bodyDiv w:val="1"/>
      <w:marLeft w:val="0"/>
      <w:marRight w:val="0"/>
      <w:marTop w:val="0"/>
      <w:marBottom w:val="0"/>
      <w:divBdr>
        <w:top w:val="none" w:sz="0" w:space="0" w:color="auto"/>
        <w:left w:val="none" w:sz="0" w:space="0" w:color="auto"/>
        <w:bottom w:val="none" w:sz="0" w:space="0" w:color="auto"/>
        <w:right w:val="none" w:sz="0" w:space="0" w:color="auto"/>
      </w:divBdr>
    </w:div>
    <w:div w:id="1094670678">
      <w:bodyDiv w:val="1"/>
      <w:marLeft w:val="0"/>
      <w:marRight w:val="0"/>
      <w:marTop w:val="0"/>
      <w:marBottom w:val="0"/>
      <w:divBdr>
        <w:top w:val="none" w:sz="0" w:space="0" w:color="auto"/>
        <w:left w:val="none" w:sz="0" w:space="0" w:color="auto"/>
        <w:bottom w:val="none" w:sz="0" w:space="0" w:color="auto"/>
        <w:right w:val="none" w:sz="0" w:space="0" w:color="auto"/>
      </w:divBdr>
    </w:div>
    <w:div w:id="1102603502">
      <w:bodyDiv w:val="1"/>
      <w:marLeft w:val="0"/>
      <w:marRight w:val="0"/>
      <w:marTop w:val="0"/>
      <w:marBottom w:val="0"/>
      <w:divBdr>
        <w:top w:val="none" w:sz="0" w:space="0" w:color="auto"/>
        <w:left w:val="none" w:sz="0" w:space="0" w:color="auto"/>
        <w:bottom w:val="none" w:sz="0" w:space="0" w:color="auto"/>
        <w:right w:val="none" w:sz="0" w:space="0" w:color="auto"/>
      </w:divBdr>
    </w:div>
    <w:div w:id="1105004391">
      <w:bodyDiv w:val="1"/>
      <w:marLeft w:val="0"/>
      <w:marRight w:val="0"/>
      <w:marTop w:val="0"/>
      <w:marBottom w:val="0"/>
      <w:divBdr>
        <w:top w:val="none" w:sz="0" w:space="0" w:color="auto"/>
        <w:left w:val="none" w:sz="0" w:space="0" w:color="auto"/>
        <w:bottom w:val="none" w:sz="0" w:space="0" w:color="auto"/>
        <w:right w:val="none" w:sz="0" w:space="0" w:color="auto"/>
      </w:divBdr>
    </w:div>
    <w:div w:id="1106002252">
      <w:bodyDiv w:val="1"/>
      <w:marLeft w:val="0"/>
      <w:marRight w:val="0"/>
      <w:marTop w:val="0"/>
      <w:marBottom w:val="0"/>
      <w:divBdr>
        <w:top w:val="none" w:sz="0" w:space="0" w:color="auto"/>
        <w:left w:val="none" w:sz="0" w:space="0" w:color="auto"/>
        <w:bottom w:val="none" w:sz="0" w:space="0" w:color="auto"/>
        <w:right w:val="none" w:sz="0" w:space="0" w:color="auto"/>
      </w:divBdr>
    </w:div>
    <w:div w:id="1107584408">
      <w:bodyDiv w:val="1"/>
      <w:marLeft w:val="0"/>
      <w:marRight w:val="0"/>
      <w:marTop w:val="0"/>
      <w:marBottom w:val="0"/>
      <w:divBdr>
        <w:top w:val="none" w:sz="0" w:space="0" w:color="auto"/>
        <w:left w:val="none" w:sz="0" w:space="0" w:color="auto"/>
        <w:bottom w:val="none" w:sz="0" w:space="0" w:color="auto"/>
        <w:right w:val="none" w:sz="0" w:space="0" w:color="auto"/>
      </w:divBdr>
    </w:div>
    <w:div w:id="1110202398">
      <w:bodyDiv w:val="1"/>
      <w:marLeft w:val="0"/>
      <w:marRight w:val="0"/>
      <w:marTop w:val="0"/>
      <w:marBottom w:val="0"/>
      <w:divBdr>
        <w:top w:val="none" w:sz="0" w:space="0" w:color="auto"/>
        <w:left w:val="none" w:sz="0" w:space="0" w:color="auto"/>
        <w:bottom w:val="none" w:sz="0" w:space="0" w:color="auto"/>
        <w:right w:val="none" w:sz="0" w:space="0" w:color="auto"/>
      </w:divBdr>
    </w:div>
    <w:div w:id="1112164548">
      <w:bodyDiv w:val="1"/>
      <w:marLeft w:val="0"/>
      <w:marRight w:val="0"/>
      <w:marTop w:val="0"/>
      <w:marBottom w:val="0"/>
      <w:divBdr>
        <w:top w:val="none" w:sz="0" w:space="0" w:color="auto"/>
        <w:left w:val="none" w:sz="0" w:space="0" w:color="auto"/>
        <w:bottom w:val="none" w:sz="0" w:space="0" w:color="auto"/>
        <w:right w:val="none" w:sz="0" w:space="0" w:color="auto"/>
      </w:divBdr>
    </w:div>
    <w:div w:id="1115709222">
      <w:bodyDiv w:val="1"/>
      <w:marLeft w:val="0"/>
      <w:marRight w:val="0"/>
      <w:marTop w:val="0"/>
      <w:marBottom w:val="0"/>
      <w:divBdr>
        <w:top w:val="none" w:sz="0" w:space="0" w:color="auto"/>
        <w:left w:val="none" w:sz="0" w:space="0" w:color="auto"/>
        <w:bottom w:val="none" w:sz="0" w:space="0" w:color="auto"/>
        <w:right w:val="none" w:sz="0" w:space="0" w:color="auto"/>
      </w:divBdr>
    </w:div>
    <w:div w:id="1119907626">
      <w:bodyDiv w:val="1"/>
      <w:marLeft w:val="0"/>
      <w:marRight w:val="0"/>
      <w:marTop w:val="0"/>
      <w:marBottom w:val="0"/>
      <w:divBdr>
        <w:top w:val="none" w:sz="0" w:space="0" w:color="auto"/>
        <w:left w:val="none" w:sz="0" w:space="0" w:color="auto"/>
        <w:bottom w:val="none" w:sz="0" w:space="0" w:color="auto"/>
        <w:right w:val="none" w:sz="0" w:space="0" w:color="auto"/>
      </w:divBdr>
    </w:div>
    <w:div w:id="1128160309">
      <w:bodyDiv w:val="1"/>
      <w:marLeft w:val="0"/>
      <w:marRight w:val="0"/>
      <w:marTop w:val="0"/>
      <w:marBottom w:val="0"/>
      <w:divBdr>
        <w:top w:val="none" w:sz="0" w:space="0" w:color="auto"/>
        <w:left w:val="none" w:sz="0" w:space="0" w:color="auto"/>
        <w:bottom w:val="none" w:sz="0" w:space="0" w:color="auto"/>
        <w:right w:val="none" w:sz="0" w:space="0" w:color="auto"/>
      </w:divBdr>
    </w:div>
    <w:div w:id="1131904941">
      <w:bodyDiv w:val="1"/>
      <w:marLeft w:val="0"/>
      <w:marRight w:val="0"/>
      <w:marTop w:val="0"/>
      <w:marBottom w:val="0"/>
      <w:divBdr>
        <w:top w:val="none" w:sz="0" w:space="0" w:color="auto"/>
        <w:left w:val="none" w:sz="0" w:space="0" w:color="auto"/>
        <w:bottom w:val="none" w:sz="0" w:space="0" w:color="auto"/>
        <w:right w:val="none" w:sz="0" w:space="0" w:color="auto"/>
      </w:divBdr>
    </w:div>
    <w:div w:id="1141844278">
      <w:bodyDiv w:val="1"/>
      <w:marLeft w:val="0"/>
      <w:marRight w:val="0"/>
      <w:marTop w:val="0"/>
      <w:marBottom w:val="0"/>
      <w:divBdr>
        <w:top w:val="none" w:sz="0" w:space="0" w:color="auto"/>
        <w:left w:val="none" w:sz="0" w:space="0" w:color="auto"/>
        <w:bottom w:val="none" w:sz="0" w:space="0" w:color="auto"/>
        <w:right w:val="none" w:sz="0" w:space="0" w:color="auto"/>
      </w:divBdr>
    </w:div>
    <w:div w:id="1144004616">
      <w:bodyDiv w:val="1"/>
      <w:marLeft w:val="0"/>
      <w:marRight w:val="0"/>
      <w:marTop w:val="0"/>
      <w:marBottom w:val="0"/>
      <w:divBdr>
        <w:top w:val="none" w:sz="0" w:space="0" w:color="auto"/>
        <w:left w:val="none" w:sz="0" w:space="0" w:color="auto"/>
        <w:bottom w:val="none" w:sz="0" w:space="0" w:color="auto"/>
        <w:right w:val="none" w:sz="0" w:space="0" w:color="auto"/>
      </w:divBdr>
    </w:div>
    <w:div w:id="1148286597">
      <w:bodyDiv w:val="1"/>
      <w:marLeft w:val="0"/>
      <w:marRight w:val="0"/>
      <w:marTop w:val="0"/>
      <w:marBottom w:val="0"/>
      <w:divBdr>
        <w:top w:val="none" w:sz="0" w:space="0" w:color="auto"/>
        <w:left w:val="none" w:sz="0" w:space="0" w:color="auto"/>
        <w:bottom w:val="none" w:sz="0" w:space="0" w:color="auto"/>
        <w:right w:val="none" w:sz="0" w:space="0" w:color="auto"/>
      </w:divBdr>
    </w:div>
    <w:div w:id="1149249881">
      <w:bodyDiv w:val="1"/>
      <w:marLeft w:val="0"/>
      <w:marRight w:val="0"/>
      <w:marTop w:val="0"/>
      <w:marBottom w:val="0"/>
      <w:divBdr>
        <w:top w:val="none" w:sz="0" w:space="0" w:color="auto"/>
        <w:left w:val="none" w:sz="0" w:space="0" w:color="auto"/>
        <w:bottom w:val="none" w:sz="0" w:space="0" w:color="auto"/>
        <w:right w:val="none" w:sz="0" w:space="0" w:color="auto"/>
      </w:divBdr>
    </w:div>
    <w:div w:id="1155603937">
      <w:bodyDiv w:val="1"/>
      <w:marLeft w:val="0"/>
      <w:marRight w:val="0"/>
      <w:marTop w:val="0"/>
      <w:marBottom w:val="0"/>
      <w:divBdr>
        <w:top w:val="none" w:sz="0" w:space="0" w:color="auto"/>
        <w:left w:val="none" w:sz="0" w:space="0" w:color="auto"/>
        <w:bottom w:val="none" w:sz="0" w:space="0" w:color="auto"/>
        <w:right w:val="none" w:sz="0" w:space="0" w:color="auto"/>
      </w:divBdr>
    </w:div>
    <w:div w:id="1161769776">
      <w:bodyDiv w:val="1"/>
      <w:marLeft w:val="0"/>
      <w:marRight w:val="0"/>
      <w:marTop w:val="0"/>
      <w:marBottom w:val="0"/>
      <w:divBdr>
        <w:top w:val="none" w:sz="0" w:space="0" w:color="auto"/>
        <w:left w:val="none" w:sz="0" w:space="0" w:color="auto"/>
        <w:bottom w:val="none" w:sz="0" w:space="0" w:color="auto"/>
        <w:right w:val="none" w:sz="0" w:space="0" w:color="auto"/>
      </w:divBdr>
    </w:div>
    <w:div w:id="1168444159">
      <w:bodyDiv w:val="1"/>
      <w:marLeft w:val="0"/>
      <w:marRight w:val="0"/>
      <w:marTop w:val="0"/>
      <w:marBottom w:val="0"/>
      <w:divBdr>
        <w:top w:val="none" w:sz="0" w:space="0" w:color="auto"/>
        <w:left w:val="none" w:sz="0" w:space="0" w:color="auto"/>
        <w:bottom w:val="none" w:sz="0" w:space="0" w:color="auto"/>
        <w:right w:val="none" w:sz="0" w:space="0" w:color="auto"/>
      </w:divBdr>
    </w:div>
    <w:div w:id="1171142448">
      <w:bodyDiv w:val="1"/>
      <w:marLeft w:val="0"/>
      <w:marRight w:val="0"/>
      <w:marTop w:val="0"/>
      <w:marBottom w:val="0"/>
      <w:divBdr>
        <w:top w:val="none" w:sz="0" w:space="0" w:color="auto"/>
        <w:left w:val="none" w:sz="0" w:space="0" w:color="auto"/>
        <w:bottom w:val="none" w:sz="0" w:space="0" w:color="auto"/>
        <w:right w:val="none" w:sz="0" w:space="0" w:color="auto"/>
      </w:divBdr>
    </w:div>
    <w:div w:id="1175875951">
      <w:bodyDiv w:val="1"/>
      <w:marLeft w:val="0"/>
      <w:marRight w:val="0"/>
      <w:marTop w:val="0"/>
      <w:marBottom w:val="0"/>
      <w:divBdr>
        <w:top w:val="none" w:sz="0" w:space="0" w:color="auto"/>
        <w:left w:val="none" w:sz="0" w:space="0" w:color="auto"/>
        <w:bottom w:val="none" w:sz="0" w:space="0" w:color="auto"/>
        <w:right w:val="none" w:sz="0" w:space="0" w:color="auto"/>
      </w:divBdr>
    </w:div>
    <w:div w:id="1181816070">
      <w:bodyDiv w:val="1"/>
      <w:marLeft w:val="0"/>
      <w:marRight w:val="0"/>
      <w:marTop w:val="0"/>
      <w:marBottom w:val="0"/>
      <w:divBdr>
        <w:top w:val="none" w:sz="0" w:space="0" w:color="auto"/>
        <w:left w:val="none" w:sz="0" w:space="0" w:color="auto"/>
        <w:bottom w:val="none" w:sz="0" w:space="0" w:color="auto"/>
        <w:right w:val="none" w:sz="0" w:space="0" w:color="auto"/>
      </w:divBdr>
    </w:div>
    <w:div w:id="1184392658">
      <w:bodyDiv w:val="1"/>
      <w:marLeft w:val="0"/>
      <w:marRight w:val="0"/>
      <w:marTop w:val="0"/>
      <w:marBottom w:val="0"/>
      <w:divBdr>
        <w:top w:val="none" w:sz="0" w:space="0" w:color="auto"/>
        <w:left w:val="none" w:sz="0" w:space="0" w:color="auto"/>
        <w:bottom w:val="none" w:sz="0" w:space="0" w:color="auto"/>
        <w:right w:val="none" w:sz="0" w:space="0" w:color="auto"/>
      </w:divBdr>
    </w:div>
    <w:div w:id="1185435645">
      <w:bodyDiv w:val="1"/>
      <w:marLeft w:val="0"/>
      <w:marRight w:val="0"/>
      <w:marTop w:val="0"/>
      <w:marBottom w:val="0"/>
      <w:divBdr>
        <w:top w:val="none" w:sz="0" w:space="0" w:color="auto"/>
        <w:left w:val="none" w:sz="0" w:space="0" w:color="auto"/>
        <w:bottom w:val="none" w:sz="0" w:space="0" w:color="auto"/>
        <w:right w:val="none" w:sz="0" w:space="0" w:color="auto"/>
      </w:divBdr>
    </w:div>
    <w:div w:id="1191794003">
      <w:bodyDiv w:val="1"/>
      <w:marLeft w:val="0"/>
      <w:marRight w:val="0"/>
      <w:marTop w:val="0"/>
      <w:marBottom w:val="0"/>
      <w:divBdr>
        <w:top w:val="none" w:sz="0" w:space="0" w:color="auto"/>
        <w:left w:val="none" w:sz="0" w:space="0" w:color="auto"/>
        <w:bottom w:val="none" w:sz="0" w:space="0" w:color="auto"/>
        <w:right w:val="none" w:sz="0" w:space="0" w:color="auto"/>
      </w:divBdr>
    </w:div>
    <w:div w:id="1192375057">
      <w:bodyDiv w:val="1"/>
      <w:marLeft w:val="0"/>
      <w:marRight w:val="0"/>
      <w:marTop w:val="0"/>
      <w:marBottom w:val="0"/>
      <w:divBdr>
        <w:top w:val="none" w:sz="0" w:space="0" w:color="auto"/>
        <w:left w:val="none" w:sz="0" w:space="0" w:color="auto"/>
        <w:bottom w:val="none" w:sz="0" w:space="0" w:color="auto"/>
        <w:right w:val="none" w:sz="0" w:space="0" w:color="auto"/>
      </w:divBdr>
    </w:div>
    <w:div w:id="1192836583">
      <w:bodyDiv w:val="1"/>
      <w:marLeft w:val="0"/>
      <w:marRight w:val="0"/>
      <w:marTop w:val="0"/>
      <w:marBottom w:val="0"/>
      <w:divBdr>
        <w:top w:val="none" w:sz="0" w:space="0" w:color="auto"/>
        <w:left w:val="none" w:sz="0" w:space="0" w:color="auto"/>
        <w:bottom w:val="none" w:sz="0" w:space="0" w:color="auto"/>
        <w:right w:val="none" w:sz="0" w:space="0" w:color="auto"/>
      </w:divBdr>
    </w:div>
    <w:div w:id="1195769984">
      <w:bodyDiv w:val="1"/>
      <w:marLeft w:val="0"/>
      <w:marRight w:val="0"/>
      <w:marTop w:val="0"/>
      <w:marBottom w:val="0"/>
      <w:divBdr>
        <w:top w:val="none" w:sz="0" w:space="0" w:color="auto"/>
        <w:left w:val="none" w:sz="0" w:space="0" w:color="auto"/>
        <w:bottom w:val="none" w:sz="0" w:space="0" w:color="auto"/>
        <w:right w:val="none" w:sz="0" w:space="0" w:color="auto"/>
      </w:divBdr>
    </w:div>
    <w:div w:id="1195927071">
      <w:bodyDiv w:val="1"/>
      <w:marLeft w:val="0"/>
      <w:marRight w:val="0"/>
      <w:marTop w:val="0"/>
      <w:marBottom w:val="0"/>
      <w:divBdr>
        <w:top w:val="none" w:sz="0" w:space="0" w:color="auto"/>
        <w:left w:val="none" w:sz="0" w:space="0" w:color="auto"/>
        <w:bottom w:val="none" w:sz="0" w:space="0" w:color="auto"/>
        <w:right w:val="none" w:sz="0" w:space="0" w:color="auto"/>
      </w:divBdr>
    </w:div>
    <w:div w:id="1196114152">
      <w:bodyDiv w:val="1"/>
      <w:marLeft w:val="0"/>
      <w:marRight w:val="0"/>
      <w:marTop w:val="0"/>
      <w:marBottom w:val="0"/>
      <w:divBdr>
        <w:top w:val="none" w:sz="0" w:space="0" w:color="auto"/>
        <w:left w:val="none" w:sz="0" w:space="0" w:color="auto"/>
        <w:bottom w:val="none" w:sz="0" w:space="0" w:color="auto"/>
        <w:right w:val="none" w:sz="0" w:space="0" w:color="auto"/>
      </w:divBdr>
    </w:div>
    <w:div w:id="1204174504">
      <w:bodyDiv w:val="1"/>
      <w:marLeft w:val="0"/>
      <w:marRight w:val="0"/>
      <w:marTop w:val="0"/>
      <w:marBottom w:val="0"/>
      <w:divBdr>
        <w:top w:val="none" w:sz="0" w:space="0" w:color="auto"/>
        <w:left w:val="none" w:sz="0" w:space="0" w:color="auto"/>
        <w:bottom w:val="none" w:sz="0" w:space="0" w:color="auto"/>
        <w:right w:val="none" w:sz="0" w:space="0" w:color="auto"/>
      </w:divBdr>
    </w:div>
    <w:div w:id="1208755886">
      <w:bodyDiv w:val="1"/>
      <w:marLeft w:val="0"/>
      <w:marRight w:val="0"/>
      <w:marTop w:val="0"/>
      <w:marBottom w:val="0"/>
      <w:divBdr>
        <w:top w:val="none" w:sz="0" w:space="0" w:color="auto"/>
        <w:left w:val="none" w:sz="0" w:space="0" w:color="auto"/>
        <w:bottom w:val="none" w:sz="0" w:space="0" w:color="auto"/>
        <w:right w:val="none" w:sz="0" w:space="0" w:color="auto"/>
      </w:divBdr>
    </w:div>
    <w:div w:id="1211845753">
      <w:bodyDiv w:val="1"/>
      <w:marLeft w:val="0"/>
      <w:marRight w:val="0"/>
      <w:marTop w:val="0"/>
      <w:marBottom w:val="0"/>
      <w:divBdr>
        <w:top w:val="none" w:sz="0" w:space="0" w:color="auto"/>
        <w:left w:val="none" w:sz="0" w:space="0" w:color="auto"/>
        <w:bottom w:val="none" w:sz="0" w:space="0" w:color="auto"/>
        <w:right w:val="none" w:sz="0" w:space="0" w:color="auto"/>
      </w:divBdr>
    </w:div>
    <w:div w:id="1211914956">
      <w:bodyDiv w:val="1"/>
      <w:marLeft w:val="0"/>
      <w:marRight w:val="0"/>
      <w:marTop w:val="0"/>
      <w:marBottom w:val="0"/>
      <w:divBdr>
        <w:top w:val="none" w:sz="0" w:space="0" w:color="auto"/>
        <w:left w:val="none" w:sz="0" w:space="0" w:color="auto"/>
        <w:bottom w:val="none" w:sz="0" w:space="0" w:color="auto"/>
        <w:right w:val="none" w:sz="0" w:space="0" w:color="auto"/>
      </w:divBdr>
    </w:div>
    <w:div w:id="1212573430">
      <w:bodyDiv w:val="1"/>
      <w:marLeft w:val="0"/>
      <w:marRight w:val="0"/>
      <w:marTop w:val="0"/>
      <w:marBottom w:val="0"/>
      <w:divBdr>
        <w:top w:val="none" w:sz="0" w:space="0" w:color="auto"/>
        <w:left w:val="none" w:sz="0" w:space="0" w:color="auto"/>
        <w:bottom w:val="none" w:sz="0" w:space="0" w:color="auto"/>
        <w:right w:val="none" w:sz="0" w:space="0" w:color="auto"/>
      </w:divBdr>
    </w:div>
    <w:div w:id="1212959641">
      <w:bodyDiv w:val="1"/>
      <w:marLeft w:val="0"/>
      <w:marRight w:val="0"/>
      <w:marTop w:val="0"/>
      <w:marBottom w:val="0"/>
      <w:divBdr>
        <w:top w:val="none" w:sz="0" w:space="0" w:color="auto"/>
        <w:left w:val="none" w:sz="0" w:space="0" w:color="auto"/>
        <w:bottom w:val="none" w:sz="0" w:space="0" w:color="auto"/>
        <w:right w:val="none" w:sz="0" w:space="0" w:color="auto"/>
      </w:divBdr>
    </w:div>
    <w:div w:id="1215656955">
      <w:bodyDiv w:val="1"/>
      <w:marLeft w:val="0"/>
      <w:marRight w:val="0"/>
      <w:marTop w:val="0"/>
      <w:marBottom w:val="0"/>
      <w:divBdr>
        <w:top w:val="none" w:sz="0" w:space="0" w:color="auto"/>
        <w:left w:val="none" w:sz="0" w:space="0" w:color="auto"/>
        <w:bottom w:val="none" w:sz="0" w:space="0" w:color="auto"/>
        <w:right w:val="none" w:sz="0" w:space="0" w:color="auto"/>
      </w:divBdr>
    </w:div>
    <w:div w:id="1215849237">
      <w:bodyDiv w:val="1"/>
      <w:marLeft w:val="0"/>
      <w:marRight w:val="0"/>
      <w:marTop w:val="0"/>
      <w:marBottom w:val="0"/>
      <w:divBdr>
        <w:top w:val="none" w:sz="0" w:space="0" w:color="auto"/>
        <w:left w:val="none" w:sz="0" w:space="0" w:color="auto"/>
        <w:bottom w:val="none" w:sz="0" w:space="0" w:color="auto"/>
        <w:right w:val="none" w:sz="0" w:space="0" w:color="auto"/>
      </w:divBdr>
    </w:div>
    <w:div w:id="1219173267">
      <w:bodyDiv w:val="1"/>
      <w:marLeft w:val="0"/>
      <w:marRight w:val="0"/>
      <w:marTop w:val="0"/>
      <w:marBottom w:val="0"/>
      <w:divBdr>
        <w:top w:val="none" w:sz="0" w:space="0" w:color="auto"/>
        <w:left w:val="none" w:sz="0" w:space="0" w:color="auto"/>
        <w:bottom w:val="none" w:sz="0" w:space="0" w:color="auto"/>
        <w:right w:val="none" w:sz="0" w:space="0" w:color="auto"/>
      </w:divBdr>
    </w:div>
    <w:div w:id="1219591532">
      <w:bodyDiv w:val="1"/>
      <w:marLeft w:val="0"/>
      <w:marRight w:val="0"/>
      <w:marTop w:val="0"/>
      <w:marBottom w:val="0"/>
      <w:divBdr>
        <w:top w:val="none" w:sz="0" w:space="0" w:color="auto"/>
        <w:left w:val="none" w:sz="0" w:space="0" w:color="auto"/>
        <w:bottom w:val="none" w:sz="0" w:space="0" w:color="auto"/>
        <w:right w:val="none" w:sz="0" w:space="0" w:color="auto"/>
      </w:divBdr>
    </w:div>
    <w:div w:id="1221096883">
      <w:bodyDiv w:val="1"/>
      <w:marLeft w:val="0"/>
      <w:marRight w:val="0"/>
      <w:marTop w:val="0"/>
      <w:marBottom w:val="0"/>
      <w:divBdr>
        <w:top w:val="none" w:sz="0" w:space="0" w:color="auto"/>
        <w:left w:val="none" w:sz="0" w:space="0" w:color="auto"/>
        <w:bottom w:val="none" w:sz="0" w:space="0" w:color="auto"/>
        <w:right w:val="none" w:sz="0" w:space="0" w:color="auto"/>
      </w:divBdr>
    </w:div>
    <w:div w:id="1223100589">
      <w:bodyDiv w:val="1"/>
      <w:marLeft w:val="0"/>
      <w:marRight w:val="0"/>
      <w:marTop w:val="0"/>
      <w:marBottom w:val="0"/>
      <w:divBdr>
        <w:top w:val="none" w:sz="0" w:space="0" w:color="auto"/>
        <w:left w:val="none" w:sz="0" w:space="0" w:color="auto"/>
        <w:bottom w:val="none" w:sz="0" w:space="0" w:color="auto"/>
        <w:right w:val="none" w:sz="0" w:space="0" w:color="auto"/>
      </w:divBdr>
    </w:div>
    <w:div w:id="1223173235">
      <w:bodyDiv w:val="1"/>
      <w:marLeft w:val="0"/>
      <w:marRight w:val="0"/>
      <w:marTop w:val="0"/>
      <w:marBottom w:val="0"/>
      <w:divBdr>
        <w:top w:val="none" w:sz="0" w:space="0" w:color="auto"/>
        <w:left w:val="none" w:sz="0" w:space="0" w:color="auto"/>
        <w:bottom w:val="none" w:sz="0" w:space="0" w:color="auto"/>
        <w:right w:val="none" w:sz="0" w:space="0" w:color="auto"/>
      </w:divBdr>
    </w:div>
    <w:div w:id="1225216108">
      <w:bodyDiv w:val="1"/>
      <w:marLeft w:val="0"/>
      <w:marRight w:val="0"/>
      <w:marTop w:val="0"/>
      <w:marBottom w:val="0"/>
      <w:divBdr>
        <w:top w:val="none" w:sz="0" w:space="0" w:color="auto"/>
        <w:left w:val="none" w:sz="0" w:space="0" w:color="auto"/>
        <w:bottom w:val="none" w:sz="0" w:space="0" w:color="auto"/>
        <w:right w:val="none" w:sz="0" w:space="0" w:color="auto"/>
      </w:divBdr>
    </w:div>
    <w:div w:id="1225413202">
      <w:bodyDiv w:val="1"/>
      <w:marLeft w:val="0"/>
      <w:marRight w:val="0"/>
      <w:marTop w:val="0"/>
      <w:marBottom w:val="0"/>
      <w:divBdr>
        <w:top w:val="none" w:sz="0" w:space="0" w:color="auto"/>
        <w:left w:val="none" w:sz="0" w:space="0" w:color="auto"/>
        <w:bottom w:val="none" w:sz="0" w:space="0" w:color="auto"/>
        <w:right w:val="none" w:sz="0" w:space="0" w:color="auto"/>
      </w:divBdr>
    </w:div>
    <w:div w:id="1229611067">
      <w:bodyDiv w:val="1"/>
      <w:marLeft w:val="0"/>
      <w:marRight w:val="0"/>
      <w:marTop w:val="0"/>
      <w:marBottom w:val="0"/>
      <w:divBdr>
        <w:top w:val="none" w:sz="0" w:space="0" w:color="auto"/>
        <w:left w:val="none" w:sz="0" w:space="0" w:color="auto"/>
        <w:bottom w:val="none" w:sz="0" w:space="0" w:color="auto"/>
        <w:right w:val="none" w:sz="0" w:space="0" w:color="auto"/>
      </w:divBdr>
    </w:div>
    <w:div w:id="1231113781">
      <w:bodyDiv w:val="1"/>
      <w:marLeft w:val="0"/>
      <w:marRight w:val="0"/>
      <w:marTop w:val="0"/>
      <w:marBottom w:val="0"/>
      <w:divBdr>
        <w:top w:val="none" w:sz="0" w:space="0" w:color="auto"/>
        <w:left w:val="none" w:sz="0" w:space="0" w:color="auto"/>
        <w:bottom w:val="none" w:sz="0" w:space="0" w:color="auto"/>
        <w:right w:val="none" w:sz="0" w:space="0" w:color="auto"/>
      </w:divBdr>
    </w:div>
    <w:div w:id="1238057148">
      <w:bodyDiv w:val="1"/>
      <w:marLeft w:val="0"/>
      <w:marRight w:val="0"/>
      <w:marTop w:val="0"/>
      <w:marBottom w:val="0"/>
      <w:divBdr>
        <w:top w:val="none" w:sz="0" w:space="0" w:color="auto"/>
        <w:left w:val="none" w:sz="0" w:space="0" w:color="auto"/>
        <w:bottom w:val="none" w:sz="0" w:space="0" w:color="auto"/>
        <w:right w:val="none" w:sz="0" w:space="0" w:color="auto"/>
      </w:divBdr>
    </w:div>
    <w:div w:id="1240754272">
      <w:bodyDiv w:val="1"/>
      <w:marLeft w:val="0"/>
      <w:marRight w:val="0"/>
      <w:marTop w:val="0"/>
      <w:marBottom w:val="0"/>
      <w:divBdr>
        <w:top w:val="none" w:sz="0" w:space="0" w:color="auto"/>
        <w:left w:val="none" w:sz="0" w:space="0" w:color="auto"/>
        <w:bottom w:val="none" w:sz="0" w:space="0" w:color="auto"/>
        <w:right w:val="none" w:sz="0" w:space="0" w:color="auto"/>
      </w:divBdr>
    </w:div>
    <w:div w:id="1247112008">
      <w:bodyDiv w:val="1"/>
      <w:marLeft w:val="0"/>
      <w:marRight w:val="0"/>
      <w:marTop w:val="0"/>
      <w:marBottom w:val="0"/>
      <w:divBdr>
        <w:top w:val="none" w:sz="0" w:space="0" w:color="auto"/>
        <w:left w:val="none" w:sz="0" w:space="0" w:color="auto"/>
        <w:bottom w:val="none" w:sz="0" w:space="0" w:color="auto"/>
        <w:right w:val="none" w:sz="0" w:space="0" w:color="auto"/>
      </w:divBdr>
    </w:div>
    <w:div w:id="1249653643">
      <w:bodyDiv w:val="1"/>
      <w:marLeft w:val="0"/>
      <w:marRight w:val="0"/>
      <w:marTop w:val="0"/>
      <w:marBottom w:val="0"/>
      <w:divBdr>
        <w:top w:val="none" w:sz="0" w:space="0" w:color="auto"/>
        <w:left w:val="none" w:sz="0" w:space="0" w:color="auto"/>
        <w:bottom w:val="none" w:sz="0" w:space="0" w:color="auto"/>
        <w:right w:val="none" w:sz="0" w:space="0" w:color="auto"/>
      </w:divBdr>
    </w:div>
    <w:div w:id="1251426843">
      <w:bodyDiv w:val="1"/>
      <w:marLeft w:val="0"/>
      <w:marRight w:val="0"/>
      <w:marTop w:val="0"/>
      <w:marBottom w:val="0"/>
      <w:divBdr>
        <w:top w:val="none" w:sz="0" w:space="0" w:color="auto"/>
        <w:left w:val="none" w:sz="0" w:space="0" w:color="auto"/>
        <w:bottom w:val="none" w:sz="0" w:space="0" w:color="auto"/>
        <w:right w:val="none" w:sz="0" w:space="0" w:color="auto"/>
      </w:divBdr>
    </w:div>
    <w:div w:id="1255435224">
      <w:bodyDiv w:val="1"/>
      <w:marLeft w:val="0"/>
      <w:marRight w:val="0"/>
      <w:marTop w:val="0"/>
      <w:marBottom w:val="0"/>
      <w:divBdr>
        <w:top w:val="none" w:sz="0" w:space="0" w:color="auto"/>
        <w:left w:val="none" w:sz="0" w:space="0" w:color="auto"/>
        <w:bottom w:val="none" w:sz="0" w:space="0" w:color="auto"/>
        <w:right w:val="none" w:sz="0" w:space="0" w:color="auto"/>
      </w:divBdr>
    </w:div>
    <w:div w:id="1257403825">
      <w:bodyDiv w:val="1"/>
      <w:marLeft w:val="0"/>
      <w:marRight w:val="0"/>
      <w:marTop w:val="0"/>
      <w:marBottom w:val="0"/>
      <w:divBdr>
        <w:top w:val="none" w:sz="0" w:space="0" w:color="auto"/>
        <w:left w:val="none" w:sz="0" w:space="0" w:color="auto"/>
        <w:bottom w:val="none" w:sz="0" w:space="0" w:color="auto"/>
        <w:right w:val="none" w:sz="0" w:space="0" w:color="auto"/>
      </w:divBdr>
    </w:div>
    <w:div w:id="1269971669">
      <w:bodyDiv w:val="1"/>
      <w:marLeft w:val="0"/>
      <w:marRight w:val="0"/>
      <w:marTop w:val="0"/>
      <w:marBottom w:val="0"/>
      <w:divBdr>
        <w:top w:val="none" w:sz="0" w:space="0" w:color="auto"/>
        <w:left w:val="none" w:sz="0" w:space="0" w:color="auto"/>
        <w:bottom w:val="none" w:sz="0" w:space="0" w:color="auto"/>
        <w:right w:val="none" w:sz="0" w:space="0" w:color="auto"/>
      </w:divBdr>
    </w:div>
    <w:div w:id="1270354061">
      <w:bodyDiv w:val="1"/>
      <w:marLeft w:val="0"/>
      <w:marRight w:val="0"/>
      <w:marTop w:val="0"/>
      <w:marBottom w:val="0"/>
      <w:divBdr>
        <w:top w:val="none" w:sz="0" w:space="0" w:color="auto"/>
        <w:left w:val="none" w:sz="0" w:space="0" w:color="auto"/>
        <w:bottom w:val="none" w:sz="0" w:space="0" w:color="auto"/>
        <w:right w:val="none" w:sz="0" w:space="0" w:color="auto"/>
      </w:divBdr>
    </w:div>
    <w:div w:id="1271012475">
      <w:bodyDiv w:val="1"/>
      <w:marLeft w:val="0"/>
      <w:marRight w:val="0"/>
      <w:marTop w:val="0"/>
      <w:marBottom w:val="0"/>
      <w:divBdr>
        <w:top w:val="none" w:sz="0" w:space="0" w:color="auto"/>
        <w:left w:val="none" w:sz="0" w:space="0" w:color="auto"/>
        <w:bottom w:val="none" w:sz="0" w:space="0" w:color="auto"/>
        <w:right w:val="none" w:sz="0" w:space="0" w:color="auto"/>
      </w:divBdr>
    </w:div>
    <w:div w:id="1277638391">
      <w:bodyDiv w:val="1"/>
      <w:marLeft w:val="0"/>
      <w:marRight w:val="0"/>
      <w:marTop w:val="0"/>
      <w:marBottom w:val="0"/>
      <w:divBdr>
        <w:top w:val="none" w:sz="0" w:space="0" w:color="auto"/>
        <w:left w:val="none" w:sz="0" w:space="0" w:color="auto"/>
        <w:bottom w:val="none" w:sz="0" w:space="0" w:color="auto"/>
        <w:right w:val="none" w:sz="0" w:space="0" w:color="auto"/>
      </w:divBdr>
    </w:div>
    <w:div w:id="1278950874">
      <w:bodyDiv w:val="1"/>
      <w:marLeft w:val="0"/>
      <w:marRight w:val="0"/>
      <w:marTop w:val="0"/>
      <w:marBottom w:val="0"/>
      <w:divBdr>
        <w:top w:val="none" w:sz="0" w:space="0" w:color="auto"/>
        <w:left w:val="none" w:sz="0" w:space="0" w:color="auto"/>
        <w:bottom w:val="none" w:sz="0" w:space="0" w:color="auto"/>
        <w:right w:val="none" w:sz="0" w:space="0" w:color="auto"/>
      </w:divBdr>
    </w:div>
    <w:div w:id="1280262119">
      <w:bodyDiv w:val="1"/>
      <w:marLeft w:val="0"/>
      <w:marRight w:val="0"/>
      <w:marTop w:val="0"/>
      <w:marBottom w:val="0"/>
      <w:divBdr>
        <w:top w:val="none" w:sz="0" w:space="0" w:color="auto"/>
        <w:left w:val="none" w:sz="0" w:space="0" w:color="auto"/>
        <w:bottom w:val="none" w:sz="0" w:space="0" w:color="auto"/>
        <w:right w:val="none" w:sz="0" w:space="0" w:color="auto"/>
      </w:divBdr>
    </w:div>
    <w:div w:id="1280450864">
      <w:bodyDiv w:val="1"/>
      <w:marLeft w:val="0"/>
      <w:marRight w:val="0"/>
      <w:marTop w:val="0"/>
      <w:marBottom w:val="0"/>
      <w:divBdr>
        <w:top w:val="none" w:sz="0" w:space="0" w:color="auto"/>
        <w:left w:val="none" w:sz="0" w:space="0" w:color="auto"/>
        <w:bottom w:val="none" w:sz="0" w:space="0" w:color="auto"/>
        <w:right w:val="none" w:sz="0" w:space="0" w:color="auto"/>
      </w:divBdr>
    </w:div>
    <w:div w:id="1282148233">
      <w:bodyDiv w:val="1"/>
      <w:marLeft w:val="0"/>
      <w:marRight w:val="0"/>
      <w:marTop w:val="0"/>
      <w:marBottom w:val="0"/>
      <w:divBdr>
        <w:top w:val="none" w:sz="0" w:space="0" w:color="auto"/>
        <w:left w:val="none" w:sz="0" w:space="0" w:color="auto"/>
        <w:bottom w:val="none" w:sz="0" w:space="0" w:color="auto"/>
        <w:right w:val="none" w:sz="0" w:space="0" w:color="auto"/>
      </w:divBdr>
    </w:div>
    <w:div w:id="1285233701">
      <w:bodyDiv w:val="1"/>
      <w:marLeft w:val="0"/>
      <w:marRight w:val="0"/>
      <w:marTop w:val="0"/>
      <w:marBottom w:val="0"/>
      <w:divBdr>
        <w:top w:val="none" w:sz="0" w:space="0" w:color="auto"/>
        <w:left w:val="none" w:sz="0" w:space="0" w:color="auto"/>
        <w:bottom w:val="none" w:sz="0" w:space="0" w:color="auto"/>
        <w:right w:val="none" w:sz="0" w:space="0" w:color="auto"/>
      </w:divBdr>
    </w:div>
    <w:div w:id="1287201328">
      <w:bodyDiv w:val="1"/>
      <w:marLeft w:val="0"/>
      <w:marRight w:val="0"/>
      <w:marTop w:val="0"/>
      <w:marBottom w:val="0"/>
      <w:divBdr>
        <w:top w:val="none" w:sz="0" w:space="0" w:color="auto"/>
        <w:left w:val="none" w:sz="0" w:space="0" w:color="auto"/>
        <w:bottom w:val="none" w:sz="0" w:space="0" w:color="auto"/>
        <w:right w:val="none" w:sz="0" w:space="0" w:color="auto"/>
      </w:divBdr>
    </w:div>
    <w:div w:id="1295990783">
      <w:bodyDiv w:val="1"/>
      <w:marLeft w:val="0"/>
      <w:marRight w:val="0"/>
      <w:marTop w:val="0"/>
      <w:marBottom w:val="0"/>
      <w:divBdr>
        <w:top w:val="none" w:sz="0" w:space="0" w:color="auto"/>
        <w:left w:val="none" w:sz="0" w:space="0" w:color="auto"/>
        <w:bottom w:val="none" w:sz="0" w:space="0" w:color="auto"/>
        <w:right w:val="none" w:sz="0" w:space="0" w:color="auto"/>
      </w:divBdr>
    </w:div>
    <w:div w:id="1300038293">
      <w:bodyDiv w:val="1"/>
      <w:marLeft w:val="0"/>
      <w:marRight w:val="0"/>
      <w:marTop w:val="0"/>
      <w:marBottom w:val="0"/>
      <w:divBdr>
        <w:top w:val="none" w:sz="0" w:space="0" w:color="auto"/>
        <w:left w:val="none" w:sz="0" w:space="0" w:color="auto"/>
        <w:bottom w:val="none" w:sz="0" w:space="0" w:color="auto"/>
        <w:right w:val="none" w:sz="0" w:space="0" w:color="auto"/>
      </w:divBdr>
    </w:div>
    <w:div w:id="1301154879">
      <w:bodyDiv w:val="1"/>
      <w:marLeft w:val="0"/>
      <w:marRight w:val="0"/>
      <w:marTop w:val="0"/>
      <w:marBottom w:val="0"/>
      <w:divBdr>
        <w:top w:val="none" w:sz="0" w:space="0" w:color="auto"/>
        <w:left w:val="none" w:sz="0" w:space="0" w:color="auto"/>
        <w:bottom w:val="none" w:sz="0" w:space="0" w:color="auto"/>
        <w:right w:val="none" w:sz="0" w:space="0" w:color="auto"/>
      </w:divBdr>
    </w:div>
    <w:div w:id="1302004335">
      <w:bodyDiv w:val="1"/>
      <w:marLeft w:val="0"/>
      <w:marRight w:val="0"/>
      <w:marTop w:val="0"/>
      <w:marBottom w:val="0"/>
      <w:divBdr>
        <w:top w:val="none" w:sz="0" w:space="0" w:color="auto"/>
        <w:left w:val="none" w:sz="0" w:space="0" w:color="auto"/>
        <w:bottom w:val="none" w:sz="0" w:space="0" w:color="auto"/>
        <w:right w:val="none" w:sz="0" w:space="0" w:color="auto"/>
      </w:divBdr>
    </w:div>
    <w:div w:id="1303190817">
      <w:bodyDiv w:val="1"/>
      <w:marLeft w:val="0"/>
      <w:marRight w:val="0"/>
      <w:marTop w:val="0"/>
      <w:marBottom w:val="0"/>
      <w:divBdr>
        <w:top w:val="none" w:sz="0" w:space="0" w:color="auto"/>
        <w:left w:val="none" w:sz="0" w:space="0" w:color="auto"/>
        <w:bottom w:val="none" w:sz="0" w:space="0" w:color="auto"/>
        <w:right w:val="none" w:sz="0" w:space="0" w:color="auto"/>
      </w:divBdr>
    </w:div>
    <w:div w:id="1303803954">
      <w:bodyDiv w:val="1"/>
      <w:marLeft w:val="0"/>
      <w:marRight w:val="0"/>
      <w:marTop w:val="0"/>
      <w:marBottom w:val="0"/>
      <w:divBdr>
        <w:top w:val="none" w:sz="0" w:space="0" w:color="auto"/>
        <w:left w:val="none" w:sz="0" w:space="0" w:color="auto"/>
        <w:bottom w:val="none" w:sz="0" w:space="0" w:color="auto"/>
        <w:right w:val="none" w:sz="0" w:space="0" w:color="auto"/>
      </w:divBdr>
    </w:div>
    <w:div w:id="1303850864">
      <w:bodyDiv w:val="1"/>
      <w:marLeft w:val="0"/>
      <w:marRight w:val="0"/>
      <w:marTop w:val="0"/>
      <w:marBottom w:val="0"/>
      <w:divBdr>
        <w:top w:val="none" w:sz="0" w:space="0" w:color="auto"/>
        <w:left w:val="none" w:sz="0" w:space="0" w:color="auto"/>
        <w:bottom w:val="none" w:sz="0" w:space="0" w:color="auto"/>
        <w:right w:val="none" w:sz="0" w:space="0" w:color="auto"/>
      </w:divBdr>
    </w:div>
    <w:div w:id="1312363927">
      <w:bodyDiv w:val="1"/>
      <w:marLeft w:val="0"/>
      <w:marRight w:val="0"/>
      <w:marTop w:val="0"/>
      <w:marBottom w:val="0"/>
      <w:divBdr>
        <w:top w:val="none" w:sz="0" w:space="0" w:color="auto"/>
        <w:left w:val="none" w:sz="0" w:space="0" w:color="auto"/>
        <w:bottom w:val="none" w:sz="0" w:space="0" w:color="auto"/>
        <w:right w:val="none" w:sz="0" w:space="0" w:color="auto"/>
      </w:divBdr>
    </w:div>
    <w:div w:id="1313752109">
      <w:bodyDiv w:val="1"/>
      <w:marLeft w:val="0"/>
      <w:marRight w:val="0"/>
      <w:marTop w:val="0"/>
      <w:marBottom w:val="0"/>
      <w:divBdr>
        <w:top w:val="none" w:sz="0" w:space="0" w:color="auto"/>
        <w:left w:val="none" w:sz="0" w:space="0" w:color="auto"/>
        <w:bottom w:val="none" w:sz="0" w:space="0" w:color="auto"/>
        <w:right w:val="none" w:sz="0" w:space="0" w:color="auto"/>
      </w:divBdr>
    </w:div>
    <w:div w:id="1319729003">
      <w:bodyDiv w:val="1"/>
      <w:marLeft w:val="0"/>
      <w:marRight w:val="0"/>
      <w:marTop w:val="0"/>
      <w:marBottom w:val="0"/>
      <w:divBdr>
        <w:top w:val="none" w:sz="0" w:space="0" w:color="auto"/>
        <w:left w:val="none" w:sz="0" w:space="0" w:color="auto"/>
        <w:bottom w:val="none" w:sz="0" w:space="0" w:color="auto"/>
        <w:right w:val="none" w:sz="0" w:space="0" w:color="auto"/>
      </w:divBdr>
    </w:div>
    <w:div w:id="1320844757">
      <w:bodyDiv w:val="1"/>
      <w:marLeft w:val="0"/>
      <w:marRight w:val="0"/>
      <w:marTop w:val="0"/>
      <w:marBottom w:val="0"/>
      <w:divBdr>
        <w:top w:val="none" w:sz="0" w:space="0" w:color="auto"/>
        <w:left w:val="none" w:sz="0" w:space="0" w:color="auto"/>
        <w:bottom w:val="none" w:sz="0" w:space="0" w:color="auto"/>
        <w:right w:val="none" w:sz="0" w:space="0" w:color="auto"/>
      </w:divBdr>
    </w:div>
    <w:div w:id="1322074621">
      <w:bodyDiv w:val="1"/>
      <w:marLeft w:val="0"/>
      <w:marRight w:val="0"/>
      <w:marTop w:val="0"/>
      <w:marBottom w:val="0"/>
      <w:divBdr>
        <w:top w:val="none" w:sz="0" w:space="0" w:color="auto"/>
        <w:left w:val="none" w:sz="0" w:space="0" w:color="auto"/>
        <w:bottom w:val="none" w:sz="0" w:space="0" w:color="auto"/>
        <w:right w:val="none" w:sz="0" w:space="0" w:color="auto"/>
      </w:divBdr>
    </w:div>
    <w:div w:id="1326126581">
      <w:bodyDiv w:val="1"/>
      <w:marLeft w:val="0"/>
      <w:marRight w:val="0"/>
      <w:marTop w:val="0"/>
      <w:marBottom w:val="0"/>
      <w:divBdr>
        <w:top w:val="none" w:sz="0" w:space="0" w:color="auto"/>
        <w:left w:val="none" w:sz="0" w:space="0" w:color="auto"/>
        <w:bottom w:val="none" w:sz="0" w:space="0" w:color="auto"/>
        <w:right w:val="none" w:sz="0" w:space="0" w:color="auto"/>
      </w:divBdr>
    </w:div>
    <w:div w:id="1331105620">
      <w:bodyDiv w:val="1"/>
      <w:marLeft w:val="0"/>
      <w:marRight w:val="0"/>
      <w:marTop w:val="0"/>
      <w:marBottom w:val="0"/>
      <w:divBdr>
        <w:top w:val="none" w:sz="0" w:space="0" w:color="auto"/>
        <w:left w:val="none" w:sz="0" w:space="0" w:color="auto"/>
        <w:bottom w:val="none" w:sz="0" w:space="0" w:color="auto"/>
        <w:right w:val="none" w:sz="0" w:space="0" w:color="auto"/>
      </w:divBdr>
    </w:div>
    <w:div w:id="1334576404">
      <w:bodyDiv w:val="1"/>
      <w:marLeft w:val="0"/>
      <w:marRight w:val="0"/>
      <w:marTop w:val="0"/>
      <w:marBottom w:val="0"/>
      <w:divBdr>
        <w:top w:val="none" w:sz="0" w:space="0" w:color="auto"/>
        <w:left w:val="none" w:sz="0" w:space="0" w:color="auto"/>
        <w:bottom w:val="none" w:sz="0" w:space="0" w:color="auto"/>
        <w:right w:val="none" w:sz="0" w:space="0" w:color="auto"/>
      </w:divBdr>
    </w:div>
    <w:div w:id="1336689415">
      <w:bodyDiv w:val="1"/>
      <w:marLeft w:val="0"/>
      <w:marRight w:val="0"/>
      <w:marTop w:val="0"/>
      <w:marBottom w:val="0"/>
      <w:divBdr>
        <w:top w:val="none" w:sz="0" w:space="0" w:color="auto"/>
        <w:left w:val="none" w:sz="0" w:space="0" w:color="auto"/>
        <w:bottom w:val="none" w:sz="0" w:space="0" w:color="auto"/>
        <w:right w:val="none" w:sz="0" w:space="0" w:color="auto"/>
      </w:divBdr>
    </w:div>
    <w:div w:id="1340162746">
      <w:bodyDiv w:val="1"/>
      <w:marLeft w:val="0"/>
      <w:marRight w:val="0"/>
      <w:marTop w:val="0"/>
      <w:marBottom w:val="0"/>
      <w:divBdr>
        <w:top w:val="none" w:sz="0" w:space="0" w:color="auto"/>
        <w:left w:val="none" w:sz="0" w:space="0" w:color="auto"/>
        <w:bottom w:val="none" w:sz="0" w:space="0" w:color="auto"/>
        <w:right w:val="none" w:sz="0" w:space="0" w:color="auto"/>
      </w:divBdr>
    </w:div>
    <w:div w:id="1340932871">
      <w:bodyDiv w:val="1"/>
      <w:marLeft w:val="0"/>
      <w:marRight w:val="0"/>
      <w:marTop w:val="0"/>
      <w:marBottom w:val="0"/>
      <w:divBdr>
        <w:top w:val="none" w:sz="0" w:space="0" w:color="auto"/>
        <w:left w:val="none" w:sz="0" w:space="0" w:color="auto"/>
        <w:bottom w:val="none" w:sz="0" w:space="0" w:color="auto"/>
        <w:right w:val="none" w:sz="0" w:space="0" w:color="auto"/>
      </w:divBdr>
    </w:div>
    <w:div w:id="1341395794">
      <w:bodyDiv w:val="1"/>
      <w:marLeft w:val="0"/>
      <w:marRight w:val="0"/>
      <w:marTop w:val="0"/>
      <w:marBottom w:val="0"/>
      <w:divBdr>
        <w:top w:val="none" w:sz="0" w:space="0" w:color="auto"/>
        <w:left w:val="none" w:sz="0" w:space="0" w:color="auto"/>
        <w:bottom w:val="none" w:sz="0" w:space="0" w:color="auto"/>
        <w:right w:val="none" w:sz="0" w:space="0" w:color="auto"/>
      </w:divBdr>
    </w:div>
    <w:div w:id="1346051158">
      <w:bodyDiv w:val="1"/>
      <w:marLeft w:val="0"/>
      <w:marRight w:val="0"/>
      <w:marTop w:val="0"/>
      <w:marBottom w:val="0"/>
      <w:divBdr>
        <w:top w:val="none" w:sz="0" w:space="0" w:color="auto"/>
        <w:left w:val="none" w:sz="0" w:space="0" w:color="auto"/>
        <w:bottom w:val="none" w:sz="0" w:space="0" w:color="auto"/>
        <w:right w:val="none" w:sz="0" w:space="0" w:color="auto"/>
      </w:divBdr>
    </w:div>
    <w:div w:id="1348629722">
      <w:bodyDiv w:val="1"/>
      <w:marLeft w:val="0"/>
      <w:marRight w:val="0"/>
      <w:marTop w:val="0"/>
      <w:marBottom w:val="0"/>
      <w:divBdr>
        <w:top w:val="none" w:sz="0" w:space="0" w:color="auto"/>
        <w:left w:val="none" w:sz="0" w:space="0" w:color="auto"/>
        <w:bottom w:val="none" w:sz="0" w:space="0" w:color="auto"/>
        <w:right w:val="none" w:sz="0" w:space="0" w:color="auto"/>
      </w:divBdr>
    </w:div>
    <w:div w:id="1349990466">
      <w:bodyDiv w:val="1"/>
      <w:marLeft w:val="0"/>
      <w:marRight w:val="0"/>
      <w:marTop w:val="0"/>
      <w:marBottom w:val="0"/>
      <w:divBdr>
        <w:top w:val="none" w:sz="0" w:space="0" w:color="auto"/>
        <w:left w:val="none" w:sz="0" w:space="0" w:color="auto"/>
        <w:bottom w:val="none" w:sz="0" w:space="0" w:color="auto"/>
        <w:right w:val="none" w:sz="0" w:space="0" w:color="auto"/>
      </w:divBdr>
    </w:div>
    <w:div w:id="1352296035">
      <w:bodyDiv w:val="1"/>
      <w:marLeft w:val="0"/>
      <w:marRight w:val="0"/>
      <w:marTop w:val="0"/>
      <w:marBottom w:val="0"/>
      <w:divBdr>
        <w:top w:val="none" w:sz="0" w:space="0" w:color="auto"/>
        <w:left w:val="none" w:sz="0" w:space="0" w:color="auto"/>
        <w:bottom w:val="none" w:sz="0" w:space="0" w:color="auto"/>
        <w:right w:val="none" w:sz="0" w:space="0" w:color="auto"/>
      </w:divBdr>
    </w:div>
    <w:div w:id="1357272099">
      <w:bodyDiv w:val="1"/>
      <w:marLeft w:val="0"/>
      <w:marRight w:val="0"/>
      <w:marTop w:val="0"/>
      <w:marBottom w:val="0"/>
      <w:divBdr>
        <w:top w:val="none" w:sz="0" w:space="0" w:color="auto"/>
        <w:left w:val="none" w:sz="0" w:space="0" w:color="auto"/>
        <w:bottom w:val="none" w:sz="0" w:space="0" w:color="auto"/>
        <w:right w:val="none" w:sz="0" w:space="0" w:color="auto"/>
      </w:divBdr>
    </w:div>
    <w:div w:id="1363944255">
      <w:bodyDiv w:val="1"/>
      <w:marLeft w:val="0"/>
      <w:marRight w:val="0"/>
      <w:marTop w:val="0"/>
      <w:marBottom w:val="0"/>
      <w:divBdr>
        <w:top w:val="none" w:sz="0" w:space="0" w:color="auto"/>
        <w:left w:val="none" w:sz="0" w:space="0" w:color="auto"/>
        <w:bottom w:val="none" w:sz="0" w:space="0" w:color="auto"/>
        <w:right w:val="none" w:sz="0" w:space="0" w:color="auto"/>
      </w:divBdr>
    </w:div>
    <w:div w:id="1367171311">
      <w:bodyDiv w:val="1"/>
      <w:marLeft w:val="0"/>
      <w:marRight w:val="0"/>
      <w:marTop w:val="0"/>
      <w:marBottom w:val="0"/>
      <w:divBdr>
        <w:top w:val="none" w:sz="0" w:space="0" w:color="auto"/>
        <w:left w:val="none" w:sz="0" w:space="0" w:color="auto"/>
        <w:bottom w:val="none" w:sz="0" w:space="0" w:color="auto"/>
        <w:right w:val="none" w:sz="0" w:space="0" w:color="auto"/>
      </w:divBdr>
    </w:div>
    <w:div w:id="1368720092">
      <w:bodyDiv w:val="1"/>
      <w:marLeft w:val="0"/>
      <w:marRight w:val="0"/>
      <w:marTop w:val="0"/>
      <w:marBottom w:val="0"/>
      <w:divBdr>
        <w:top w:val="none" w:sz="0" w:space="0" w:color="auto"/>
        <w:left w:val="none" w:sz="0" w:space="0" w:color="auto"/>
        <w:bottom w:val="none" w:sz="0" w:space="0" w:color="auto"/>
        <w:right w:val="none" w:sz="0" w:space="0" w:color="auto"/>
      </w:divBdr>
    </w:div>
    <w:div w:id="1368987622">
      <w:bodyDiv w:val="1"/>
      <w:marLeft w:val="0"/>
      <w:marRight w:val="0"/>
      <w:marTop w:val="0"/>
      <w:marBottom w:val="0"/>
      <w:divBdr>
        <w:top w:val="none" w:sz="0" w:space="0" w:color="auto"/>
        <w:left w:val="none" w:sz="0" w:space="0" w:color="auto"/>
        <w:bottom w:val="none" w:sz="0" w:space="0" w:color="auto"/>
        <w:right w:val="none" w:sz="0" w:space="0" w:color="auto"/>
      </w:divBdr>
    </w:div>
    <w:div w:id="1376613306">
      <w:bodyDiv w:val="1"/>
      <w:marLeft w:val="0"/>
      <w:marRight w:val="0"/>
      <w:marTop w:val="0"/>
      <w:marBottom w:val="0"/>
      <w:divBdr>
        <w:top w:val="none" w:sz="0" w:space="0" w:color="auto"/>
        <w:left w:val="none" w:sz="0" w:space="0" w:color="auto"/>
        <w:bottom w:val="none" w:sz="0" w:space="0" w:color="auto"/>
        <w:right w:val="none" w:sz="0" w:space="0" w:color="auto"/>
      </w:divBdr>
      <w:divsChild>
        <w:div w:id="94401576">
          <w:marLeft w:val="0"/>
          <w:marRight w:val="0"/>
          <w:marTop w:val="0"/>
          <w:marBottom w:val="0"/>
          <w:divBdr>
            <w:top w:val="none" w:sz="0" w:space="0" w:color="auto"/>
            <w:left w:val="none" w:sz="0" w:space="0" w:color="auto"/>
            <w:bottom w:val="none" w:sz="0" w:space="0" w:color="auto"/>
            <w:right w:val="none" w:sz="0" w:space="0" w:color="auto"/>
          </w:divBdr>
        </w:div>
        <w:div w:id="594292648">
          <w:marLeft w:val="0"/>
          <w:marRight w:val="0"/>
          <w:marTop w:val="0"/>
          <w:marBottom w:val="0"/>
          <w:divBdr>
            <w:top w:val="none" w:sz="0" w:space="0" w:color="auto"/>
            <w:left w:val="none" w:sz="0" w:space="0" w:color="auto"/>
            <w:bottom w:val="none" w:sz="0" w:space="0" w:color="auto"/>
            <w:right w:val="none" w:sz="0" w:space="0" w:color="auto"/>
          </w:divBdr>
        </w:div>
        <w:div w:id="1452280617">
          <w:marLeft w:val="0"/>
          <w:marRight w:val="0"/>
          <w:marTop w:val="0"/>
          <w:marBottom w:val="0"/>
          <w:divBdr>
            <w:top w:val="none" w:sz="0" w:space="0" w:color="auto"/>
            <w:left w:val="none" w:sz="0" w:space="0" w:color="auto"/>
            <w:bottom w:val="none" w:sz="0" w:space="0" w:color="auto"/>
            <w:right w:val="none" w:sz="0" w:space="0" w:color="auto"/>
          </w:divBdr>
        </w:div>
      </w:divsChild>
    </w:div>
    <w:div w:id="1381245255">
      <w:bodyDiv w:val="1"/>
      <w:marLeft w:val="0"/>
      <w:marRight w:val="0"/>
      <w:marTop w:val="0"/>
      <w:marBottom w:val="0"/>
      <w:divBdr>
        <w:top w:val="none" w:sz="0" w:space="0" w:color="auto"/>
        <w:left w:val="none" w:sz="0" w:space="0" w:color="auto"/>
        <w:bottom w:val="none" w:sz="0" w:space="0" w:color="auto"/>
        <w:right w:val="none" w:sz="0" w:space="0" w:color="auto"/>
      </w:divBdr>
    </w:div>
    <w:div w:id="1385910097">
      <w:bodyDiv w:val="1"/>
      <w:marLeft w:val="0"/>
      <w:marRight w:val="0"/>
      <w:marTop w:val="0"/>
      <w:marBottom w:val="0"/>
      <w:divBdr>
        <w:top w:val="none" w:sz="0" w:space="0" w:color="auto"/>
        <w:left w:val="none" w:sz="0" w:space="0" w:color="auto"/>
        <w:bottom w:val="none" w:sz="0" w:space="0" w:color="auto"/>
        <w:right w:val="none" w:sz="0" w:space="0" w:color="auto"/>
      </w:divBdr>
    </w:div>
    <w:div w:id="1386105576">
      <w:bodyDiv w:val="1"/>
      <w:marLeft w:val="0"/>
      <w:marRight w:val="0"/>
      <w:marTop w:val="0"/>
      <w:marBottom w:val="0"/>
      <w:divBdr>
        <w:top w:val="none" w:sz="0" w:space="0" w:color="auto"/>
        <w:left w:val="none" w:sz="0" w:space="0" w:color="auto"/>
        <w:bottom w:val="none" w:sz="0" w:space="0" w:color="auto"/>
        <w:right w:val="none" w:sz="0" w:space="0" w:color="auto"/>
      </w:divBdr>
    </w:div>
    <w:div w:id="1389375439">
      <w:bodyDiv w:val="1"/>
      <w:marLeft w:val="0"/>
      <w:marRight w:val="0"/>
      <w:marTop w:val="0"/>
      <w:marBottom w:val="0"/>
      <w:divBdr>
        <w:top w:val="none" w:sz="0" w:space="0" w:color="auto"/>
        <w:left w:val="none" w:sz="0" w:space="0" w:color="auto"/>
        <w:bottom w:val="none" w:sz="0" w:space="0" w:color="auto"/>
        <w:right w:val="none" w:sz="0" w:space="0" w:color="auto"/>
      </w:divBdr>
    </w:div>
    <w:div w:id="1394114368">
      <w:bodyDiv w:val="1"/>
      <w:marLeft w:val="0"/>
      <w:marRight w:val="0"/>
      <w:marTop w:val="0"/>
      <w:marBottom w:val="0"/>
      <w:divBdr>
        <w:top w:val="none" w:sz="0" w:space="0" w:color="auto"/>
        <w:left w:val="none" w:sz="0" w:space="0" w:color="auto"/>
        <w:bottom w:val="none" w:sz="0" w:space="0" w:color="auto"/>
        <w:right w:val="none" w:sz="0" w:space="0" w:color="auto"/>
      </w:divBdr>
    </w:div>
    <w:div w:id="1396854964">
      <w:bodyDiv w:val="1"/>
      <w:marLeft w:val="0"/>
      <w:marRight w:val="0"/>
      <w:marTop w:val="0"/>
      <w:marBottom w:val="0"/>
      <w:divBdr>
        <w:top w:val="none" w:sz="0" w:space="0" w:color="auto"/>
        <w:left w:val="none" w:sz="0" w:space="0" w:color="auto"/>
        <w:bottom w:val="none" w:sz="0" w:space="0" w:color="auto"/>
        <w:right w:val="none" w:sz="0" w:space="0" w:color="auto"/>
      </w:divBdr>
    </w:div>
    <w:div w:id="1399009571">
      <w:bodyDiv w:val="1"/>
      <w:marLeft w:val="0"/>
      <w:marRight w:val="0"/>
      <w:marTop w:val="0"/>
      <w:marBottom w:val="0"/>
      <w:divBdr>
        <w:top w:val="none" w:sz="0" w:space="0" w:color="auto"/>
        <w:left w:val="none" w:sz="0" w:space="0" w:color="auto"/>
        <w:bottom w:val="none" w:sz="0" w:space="0" w:color="auto"/>
        <w:right w:val="none" w:sz="0" w:space="0" w:color="auto"/>
      </w:divBdr>
    </w:div>
    <w:div w:id="1404062594">
      <w:bodyDiv w:val="1"/>
      <w:marLeft w:val="0"/>
      <w:marRight w:val="0"/>
      <w:marTop w:val="0"/>
      <w:marBottom w:val="0"/>
      <w:divBdr>
        <w:top w:val="none" w:sz="0" w:space="0" w:color="auto"/>
        <w:left w:val="none" w:sz="0" w:space="0" w:color="auto"/>
        <w:bottom w:val="none" w:sz="0" w:space="0" w:color="auto"/>
        <w:right w:val="none" w:sz="0" w:space="0" w:color="auto"/>
      </w:divBdr>
    </w:div>
    <w:div w:id="1405251747">
      <w:bodyDiv w:val="1"/>
      <w:marLeft w:val="0"/>
      <w:marRight w:val="0"/>
      <w:marTop w:val="0"/>
      <w:marBottom w:val="0"/>
      <w:divBdr>
        <w:top w:val="none" w:sz="0" w:space="0" w:color="auto"/>
        <w:left w:val="none" w:sz="0" w:space="0" w:color="auto"/>
        <w:bottom w:val="none" w:sz="0" w:space="0" w:color="auto"/>
        <w:right w:val="none" w:sz="0" w:space="0" w:color="auto"/>
      </w:divBdr>
    </w:div>
    <w:div w:id="1409419958">
      <w:bodyDiv w:val="1"/>
      <w:marLeft w:val="0"/>
      <w:marRight w:val="0"/>
      <w:marTop w:val="0"/>
      <w:marBottom w:val="0"/>
      <w:divBdr>
        <w:top w:val="none" w:sz="0" w:space="0" w:color="auto"/>
        <w:left w:val="none" w:sz="0" w:space="0" w:color="auto"/>
        <w:bottom w:val="none" w:sz="0" w:space="0" w:color="auto"/>
        <w:right w:val="none" w:sz="0" w:space="0" w:color="auto"/>
      </w:divBdr>
    </w:div>
    <w:div w:id="1410033303">
      <w:bodyDiv w:val="1"/>
      <w:marLeft w:val="0"/>
      <w:marRight w:val="0"/>
      <w:marTop w:val="0"/>
      <w:marBottom w:val="0"/>
      <w:divBdr>
        <w:top w:val="none" w:sz="0" w:space="0" w:color="auto"/>
        <w:left w:val="none" w:sz="0" w:space="0" w:color="auto"/>
        <w:bottom w:val="none" w:sz="0" w:space="0" w:color="auto"/>
        <w:right w:val="none" w:sz="0" w:space="0" w:color="auto"/>
      </w:divBdr>
    </w:div>
    <w:div w:id="1412779123">
      <w:bodyDiv w:val="1"/>
      <w:marLeft w:val="0"/>
      <w:marRight w:val="0"/>
      <w:marTop w:val="0"/>
      <w:marBottom w:val="0"/>
      <w:divBdr>
        <w:top w:val="none" w:sz="0" w:space="0" w:color="auto"/>
        <w:left w:val="none" w:sz="0" w:space="0" w:color="auto"/>
        <w:bottom w:val="none" w:sz="0" w:space="0" w:color="auto"/>
        <w:right w:val="none" w:sz="0" w:space="0" w:color="auto"/>
      </w:divBdr>
    </w:div>
    <w:div w:id="1413165780">
      <w:bodyDiv w:val="1"/>
      <w:marLeft w:val="0"/>
      <w:marRight w:val="0"/>
      <w:marTop w:val="0"/>
      <w:marBottom w:val="0"/>
      <w:divBdr>
        <w:top w:val="none" w:sz="0" w:space="0" w:color="auto"/>
        <w:left w:val="none" w:sz="0" w:space="0" w:color="auto"/>
        <w:bottom w:val="none" w:sz="0" w:space="0" w:color="auto"/>
        <w:right w:val="none" w:sz="0" w:space="0" w:color="auto"/>
      </w:divBdr>
    </w:div>
    <w:div w:id="1421557664">
      <w:bodyDiv w:val="1"/>
      <w:marLeft w:val="0"/>
      <w:marRight w:val="0"/>
      <w:marTop w:val="0"/>
      <w:marBottom w:val="0"/>
      <w:divBdr>
        <w:top w:val="none" w:sz="0" w:space="0" w:color="auto"/>
        <w:left w:val="none" w:sz="0" w:space="0" w:color="auto"/>
        <w:bottom w:val="none" w:sz="0" w:space="0" w:color="auto"/>
        <w:right w:val="none" w:sz="0" w:space="0" w:color="auto"/>
      </w:divBdr>
    </w:div>
    <w:div w:id="1422215061">
      <w:bodyDiv w:val="1"/>
      <w:marLeft w:val="0"/>
      <w:marRight w:val="0"/>
      <w:marTop w:val="0"/>
      <w:marBottom w:val="0"/>
      <w:divBdr>
        <w:top w:val="none" w:sz="0" w:space="0" w:color="auto"/>
        <w:left w:val="none" w:sz="0" w:space="0" w:color="auto"/>
        <w:bottom w:val="none" w:sz="0" w:space="0" w:color="auto"/>
        <w:right w:val="none" w:sz="0" w:space="0" w:color="auto"/>
      </w:divBdr>
    </w:div>
    <w:div w:id="1423381327">
      <w:bodyDiv w:val="1"/>
      <w:marLeft w:val="0"/>
      <w:marRight w:val="0"/>
      <w:marTop w:val="0"/>
      <w:marBottom w:val="0"/>
      <w:divBdr>
        <w:top w:val="none" w:sz="0" w:space="0" w:color="auto"/>
        <w:left w:val="none" w:sz="0" w:space="0" w:color="auto"/>
        <w:bottom w:val="none" w:sz="0" w:space="0" w:color="auto"/>
        <w:right w:val="none" w:sz="0" w:space="0" w:color="auto"/>
      </w:divBdr>
    </w:div>
    <w:div w:id="1427192645">
      <w:bodyDiv w:val="1"/>
      <w:marLeft w:val="0"/>
      <w:marRight w:val="0"/>
      <w:marTop w:val="0"/>
      <w:marBottom w:val="0"/>
      <w:divBdr>
        <w:top w:val="none" w:sz="0" w:space="0" w:color="auto"/>
        <w:left w:val="none" w:sz="0" w:space="0" w:color="auto"/>
        <w:bottom w:val="none" w:sz="0" w:space="0" w:color="auto"/>
        <w:right w:val="none" w:sz="0" w:space="0" w:color="auto"/>
      </w:divBdr>
    </w:div>
    <w:div w:id="1428693544">
      <w:bodyDiv w:val="1"/>
      <w:marLeft w:val="0"/>
      <w:marRight w:val="0"/>
      <w:marTop w:val="0"/>
      <w:marBottom w:val="0"/>
      <w:divBdr>
        <w:top w:val="none" w:sz="0" w:space="0" w:color="auto"/>
        <w:left w:val="none" w:sz="0" w:space="0" w:color="auto"/>
        <w:bottom w:val="none" w:sz="0" w:space="0" w:color="auto"/>
        <w:right w:val="none" w:sz="0" w:space="0" w:color="auto"/>
      </w:divBdr>
    </w:div>
    <w:div w:id="1430543176">
      <w:bodyDiv w:val="1"/>
      <w:marLeft w:val="0"/>
      <w:marRight w:val="0"/>
      <w:marTop w:val="0"/>
      <w:marBottom w:val="0"/>
      <w:divBdr>
        <w:top w:val="none" w:sz="0" w:space="0" w:color="auto"/>
        <w:left w:val="none" w:sz="0" w:space="0" w:color="auto"/>
        <w:bottom w:val="none" w:sz="0" w:space="0" w:color="auto"/>
        <w:right w:val="none" w:sz="0" w:space="0" w:color="auto"/>
      </w:divBdr>
    </w:div>
    <w:div w:id="1431660399">
      <w:bodyDiv w:val="1"/>
      <w:marLeft w:val="0"/>
      <w:marRight w:val="0"/>
      <w:marTop w:val="0"/>
      <w:marBottom w:val="0"/>
      <w:divBdr>
        <w:top w:val="none" w:sz="0" w:space="0" w:color="auto"/>
        <w:left w:val="none" w:sz="0" w:space="0" w:color="auto"/>
        <w:bottom w:val="none" w:sz="0" w:space="0" w:color="auto"/>
        <w:right w:val="none" w:sz="0" w:space="0" w:color="auto"/>
      </w:divBdr>
    </w:div>
    <w:div w:id="1432504584">
      <w:bodyDiv w:val="1"/>
      <w:marLeft w:val="0"/>
      <w:marRight w:val="0"/>
      <w:marTop w:val="0"/>
      <w:marBottom w:val="0"/>
      <w:divBdr>
        <w:top w:val="none" w:sz="0" w:space="0" w:color="auto"/>
        <w:left w:val="none" w:sz="0" w:space="0" w:color="auto"/>
        <w:bottom w:val="none" w:sz="0" w:space="0" w:color="auto"/>
        <w:right w:val="none" w:sz="0" w:space="0" w:color="auto"/>
      </w:divBdr>
    </w:div>
    <w:div w:id="1435130036">
      <w:bodyDiv w:val="1"/>
      <w:marLeft w:val="0"/>
      <w:marRight w:val="0"/>
      <w:marTop w:val="0"/>
      <w:marBottom w:val="0"/>
      <w:divBdr>
        <w:top w:val="none" w:sz="0" w:space="0" w:color="auto"/>
        <w:left w:val="none" w:sz="0" w:space="0" w:color="auto"/>
        <w:bottom w:val="none" w:sz="0" w:space="0" w:color="auto"/>
        <w:right w:val="none" w:sz="0" w:space="0" w:color="auto"/>
      </w:divBdr>
    </w:div>
    <w:div w:id="1436752380">
      <w:bodyDiv w:val="1"/>
      <w:marLeft w:val="0"/>
      <w:marRight w:val="0"/>
      <w:marTop w:val="0"/>
      <w:marBottom w:val="0"/>
      <w:divBdr>
        <w:top w:val="none" w:sz="0" w:space="0" w:color="auto"/>
        <w:left w:val="none" w:sz="0" w:space="0" w:color="auto"/>
        <w:bottom w:val="none" w:sz="0" w:space="0" w:color="auto"/>
        <w:right w:val="none" w:sz="0" w:space="0" w:color="auto"/>
      </w:divBdr>
    </w:div>
    <w:div w:id="1439523337">
      <w:bodyDiv w:val="1"/>
      <w:marLeft w:val="0"/>
      <w:marRight w:val="0"/>
      <w:marTop w:val="0"/>
      <w:marBottom w:val="0"/>
      <w:divBdr>
        <w:top w:val="none" w:sz="0" w:space="0" w:color="auto"/>
        <w:left w:val="none" w:sz="0" w:space="0" w:color="auto"/>
        <w:bottom w:val="none" w:sz="0" w:space="0" w:color="auto"/>
        <w:right w:val="none" w:sz="0" w:space="0" w:color="auto"/>
      </w:divBdr>
    </w:div>
    <w:div w:id="1439718808">
      <w:bodyDiv w:val="1"/>
      <w:marLeft w:val="0"/>
      <w:marRight w:val="0"/>
      <w:marTop w:val="0"/>
      <w:marBottom w:val="0"/>
      <w:divBdr>
        <w:top w:val="none" w:sz="0" w:space="0" w:color="auto"/>
        <w:left w:val="none" w:sz="0" w:space="0" w:color="auto"/>
        <w:bottom w:val="none" w:sz="0" w:space="0" w:color="auto"/>
        <w:right w:val="none" w:sz="0" w:space="0" w:color="auto"/>
      </w:divBdr>
    </w:div>
    <w:div w:id="1440680172">
      <w:bodyDiv w:val="1"/>
      <w:marLeft w:val="0"/>
      <w:marRight w:val="0"/>
      <w:marTop w:val="0"/>
      <w:marBottom w:val="0"/>
      <w:divBdr>
        <w:top w:val="none" w:sz="0" w:space="0" w:color="auto"/>
        <w:left w:val="none" w:sz="0" w:space="0" w:color="auto"/>
        <w:bottom w:val="none" w:sz="0" w:space="0" w:color="auto"/>
        <w:right w:val="none" w:sz="0" w:space="0" w:color="auto"/>
      </w:divBdr>
    </w:div>
    <w:div w:id="1444229485">
      <w:bodyDiv w:val="1"/>
      <w:marLeft w:val="0"/>
      <w:marRight w:val="0"/>
      <w:marTop w:val="0"/>
      <w:marBottom w:val="0"/>
      <w:divBdr>
        <w:top w:val="none" w:sz="0" w:space="0" w:color="auto"/>
        <w:left w:val="none" w:sz="0" w:space="0" w:color="auto"/>
        <w:bottom w:val="none" w:sz="0" w:space="0" w:color="auto"/>
        <w:right w:val="none" w:sz="0" w:space="0" w:color="auto"/>
      </w:divBdr>
    </w:div>
    <w:div w:id="1453594822">
      <w:bodyDiv w:val="1"/>
      <w:marLeft w:val="0"/>
      <w:marRight w:val="0"/>
      <w:marTop w:val="0"/>
      <w:marBottom w:val="0"/>
      <w:divBdr>
        <w:top w:val="none" w:sz="0" w:space="0" w:color="auto"/>
        <w:left w:val="none" w:sz="0" w:space="0" w:color="auto"/>
        <w:bottom w:val="none" w:sz="0" w:space="0" w:color="auto"/>
        <w:right w:val="none" w:sz="0" w:space="0" w:color="auto"/>
      </w:divBdr>
    </w:div>
    <w:div w:id="1466892554">
      <w:bodyDiv w:val="1"/>
      <w:marLeft w:val="0"/>
      <w:marRight w:val="0"/>
      <w:marTop w:val="0"/>
      <w:marBottom w:val="0"/>
      <w:divBdr>
        <w:top w:val="none" w:sz="0" w:space="0" w:color="auto"/>
        <w:left w:val="none" w:sz="0" w:space="0" w:color="auto"/>
        <w:bottom w:val="none" w:sz="0" w:space="0" w:color="auto"/>
        <w:right w:val="none" w:sz="0" w:space="0" w:color="auto"/>
      </w:divBdr>
    </w:div>
    <w:div w:id="1468745475">
      <w:bodyDiv w:val="1"/>
      <w:marLeft w:val="0"/>
      <w:marRight w:val="0"/>
      <w:marTop w:val="0"/>
      <w:marBottom w:val="0"/>
      <w:divBdr>
        <w:top w:val="none" w:sz="0" w:space="0" w:color="auto"/>
        <w:left w:val="none" w:sz="0" w:space="0" w:color="auto"/>
        <w:bottom w:val="none" w:sz="0" w:space="0" w:color="auto"/>
        <w:right w:val="none" w:sz="0" w:space="0" w:color="auto"/>
      </w:divBdr>
    </w:div>
    <w:div w:id="1477337202">
      <w:bodyDiv w:val="1"/>
      <w:marLeft w:val="0"/>
      <w:marRight w:val="0"/>
      <w:marTop w:val="0"/>
      <w:marBottom w:val="0"/>
      <w:divBdr>
        <w:top w:val="none" w:sz="0" w:space="0" w:color="auto"/>
        <w:left w:val="none" w:sz="0" w:space="0" w:color="auto"/>
        <w:bottom w:val="none" w:sz="0" w:space="0" w:color="auto"/>
        <w:right w:val="none" w:sz="0" w:space="0" w:color="auto"/>
      </w:divBdr>
    </w:div>
    <w:div w:id="1478451814">
      <w:bodyDiv w:val="1"/>
      <w:marLeft w:val="0"/>
      <w:marRight w:val="0"/>
      <w:marTop w:val="0"/>
      <w:marBottom w:val="0"/>
      <w:divBdr>
        <w:top w:val="none" w:sz="0" w:space="0" w:color="auto"/>
        <w:left w:val="none" w:sz="0" w:space="0" w:color="auto"/>
        <w:bottom w:val="none" w:sz="0" w:space="0" w:color="auto"/>
        <w:right w:val="none" w:sz="0" w:space="0" w:color="auto"/>
      </w:divBdr>
    </w:div>
    <w:div w:id="1480073601">
      <w:bodyDiv w:val="1"/>
      <w:marLeft w:val="0"/>
      <w:marRight w:val="0"/>
      <w:marTop w:val="0"/>
      <w:marBottom w:val="0"/>
      <w:divBdr>
        <w:top w:val="none" w:sz="0" w:space="0" w:color="auto"/>
        <w:left w:val="none" w:sz="0" w:space="0" w:color="auto"/>
        <w:bottom w:val="none" w:sz="0" w:space="0" w:color="auto"/>
        <w:right w:val="none" w:sz="0" w:space="0" w:color="auto"/>
      </w:divBdr>
    </w:div>
    <w:div w:id="1482575895">
      <w:bodyDiv w:val="1"/>
      <w:marLeft w:val="0"/>
      <w:marRight w:val="0"/>
      <w:marTop w:val="0"/>
      <w:marBottom w:val="0"/>
      <w:divBdr>
        <w:top w:val="none" w:sz="0" w:space="0" w:color="auto"/>
        <w:left w:val="none" w:sz="0" w:space="0" w:color="auto"/>
        <w:bottom w:val="none" w:sz="0" w:space="0" w:color="auto"/>
        <w:right w:val="none" w:sz="0" w:space="0" w:color="auto"/>
      </w:divBdr>
    </w:div>
    <w:div w:id="1483229102">
      <w:bodyDiv w:val="1"/>
      <w:marLeft w:val="0"/>
      <w:marRight w:val="0"/>
      <w:marTop w:val="0"/>
      <w:marBottom w:val="0"/>
      <w:divBdr>
        <w:top w:val="none" w:sz="0" w:space="0" w:color="auto"/>
        <w:left w:val="none" w:sz="0" w:space="0" w:color="auto"/>
        <w:bottom w:val="none" w:sz="0" w:space="0" w:color="auto"/>
        <w:right w:val="none" w:sz="0" w:space="0" w:color="auto"/>
      </w:divBdr>
    </w:div>
    <w:div w:id="1483542462">
      <w:bodyDiv w:val="1"/>
      <w:marLeft w:val="0"/>
      <w:marRight w:val="0"/>
      <w:marTop w:val="0"/>
      <w:marBottom w:val="0"/>
      <w:divBdr>
        <w:top w:val="none" w:sz="0" w:space="0" w:color="auto"/>
        <w:left w:val="none" w:sz="0" w:space="0" w:color="auto"/>
        <w:bottom w:val="none" w:sz="0" w:space="0" w:color="auto"/>
        <w:right w:val="none" w:sz="0" w:space="0" w:color="auto"/>
      </w:divBdr>
    </w:div>
    <w:div w:id="1500583299">
      <w:bodyDiv w:val="1"/>
      <w:marLeft w:val="0"/>
      <w:marRight w:val="0"/>
      <w:marTop w:val="0"/>
      <w:marBottom w:val="0"/>
      <w:divBdr>
        <w:top w:val="none" w:sz="0" w:space="0" w:color="auto"/>
        <w:left w:val="none" w:sz="0" w:space="0" w:color="auto"/>
        <w:bottom w:val="none" w:sz="0" w:space="0" w:color="auto"/>
        <w:right w:val="none" w:sz="0" w:space="0" w:color="auto"/>
      </w:divBdr>
    </w:div>
    <w:div w:id="1501313990">
      <w:bodyDiv w:val="1"/>
      <w:marLeft w:val="0"/>
      <w:marRight w:val="0"/>
      <w:marTop w:val="0"/>
      <w:marBottom w:val="0"/>
      <w:divBdr>
        <w:top w:val="none" w:sz="0" w:space="0" w:color="auto"/>
        <w:left w:val="none" w:sz="0" w:space="0" w:color="auto"/>
        <w:bottom w:val="none" w:sz="0" w:space="0" w:color="auto"/>
        <w:right w:val="none" w:sz="0" w:space="0" w:color="auto"/>
      </w:divBdr>
    </w:div>
    <w:div w:id="1502156104">
      <w:bodyDiv w:val="1"/>
      <w:marLeft w:val="0"/>
      <w:marRight w:val="0"/>
      <w:marTop w:val="0"/>
      <w:marBottom w:val="0"/>
      <w:divBdr>
        <w:top w:val="none" w:sz="0" w:space="0" w:color="auto"/>
        <w:left w:val="none" w:sz="0" w:space="0" w:color="auto"/>
        <w:bottom w:val="none" w:sz="0" w:space="0" w:color="auto"/>
        <w:right w:val="none" w:sz="0" w:space="0" w:color="auto"/>
      </w:divBdr>
    </w:div>
    <w:div w:id="1506045656">
      <w:bodyDiv w:val="1"/>
      <w:marLeft w:val="0"/>
      <w:marRight w:val="0"/>
      <w:marTop w:val="0"/>
      <w:marBottom w:val="0"/>
      <w:divBdr>
        <w:top w:val="none" w:sz="0" w:space="0" w:color="auto"/>
        <w:left w:val="none" w:sz="0" w:space="0" w:color="auto"/>
        <w:bottom w:val="none" w:sz="0" w:space="0" w:color="auto"/>
        <w:right w:val="none" w:sz="0" w:space="0" w:color="auto"/>
      </w:divBdr>
    </w:div>
    <w:div w:id="1506939227">
      <w:bodyDiv w:val="1"/>
      <w:marLeft w:val="0"/>
      <w:marRight w:val="0"/>
      <w:marTop w:val="0"/>
      <w:marBottom w:val="0"/>
      <w:divBdr>
        <w:top w:val="none" w:sz="0" w:space="0" w:color="auto"/>
        <w:left w:val="none" w:sz="0" w:space="0" w:color="auto"/>
        <w:bottom w:val="none" w:sz="0" w:space="0" w:color="auto"/>
        <w:right w:val="none" w:sz="0" w:space="0" w:color="auto"/>
      </w:divBdr>
    </w:div>
    <w:div w:id="1510683688">
      <w:bodyDiv w:val="1"/>
      <w:marLeft w:val="0"/>
      <w:marRight w:val="0"/>
      <w:marTop w:val="0"/>
      <w:marBottom w:val="0"/>
      <w:divBdr>
        <w:top w:val="none" w:sz="0" w:space="0" w:color="auto"/>
        <w:left w:val="none" w:sz="0" w:space="0" w:color="auto"/>
        <w:bottom w:val="none" w:sz="0" w:space="0" w:color="auto"/>
        <w:right w:val="none" w:sz="0" w:space="0" w:color="auto"/>
      </w:divBdr>
    </w:div>
    <w:div w:id="1514373087">
      <w:bodyDiv w:val="1"/>
      <w:marLeft w:val="0"/>
      <w:marRight w:val="0"/>
      <w:marTop w:val="0"/>
      <w:marBottom w:val="0"/>
      <w:divBdr>
        <w:top w:val="none" w:sz="0" w:space="0" w:color="auto"/>
        <w:left w:val="none" w:sz="0" w:space="0" w:color="auto"/>
        <w:bottom w:val="none" w:sz="0" w:space="0" w:color="auto"/>
        <w:right w:val="none" w:sz="0" w:space="0" w:color="auto"/>
      </w:divBdr>
    </w:div>
    <w:div w:id="1517501033">
      <w:bodyDiv w:val="1"/>
      <w:marLeft w:val="0"/>
      <w:marRight w:val="0"/>
      <w:marTop w:val="0"/>
      <w:marBottom w:val="0"/>
      <w:divBdr>
        <w:top w:val="none" w:sz="0" w:space="0" w:color="auto"/>
        <w:left w:val="none" w:sz="0" w:space="0" w:color="auto"/>
        <w:bottom w:val="none" w:sz="0" w:space="0" w:color="auto"/>
        <w:right w:val="none" w:sz="0" w:space="0" w:color="auto"/>
      </w:divBdr>
    </w:div>
    <w:div w:id="1521579397">
      <w:bodyDiv w:val="1"/>
      <w:marLeft w:val="0"/>
      <w:marRight w:val="0"/>
      <w:marTop w:val="0"/>
      <w:marBottom w:val="0"/>
      <w:divBdr>
        <w:top w:val="none" w:sz="0" w:space="0" w:color="auto"/>
        <w:left w:val="none" w:sz="0" w:space="0" w:color="auto"/>
        <w:bottom w:val="none" w:sz="0" w:space="0" w:color="auto"/>
        <w:right w:val="none" w:sz="0" w:space="0" w:color="auto"/>
      </w:divBdr>
    </w:div>
    <w:div w:id="1532843658">
      <w:bodyDiv w:val="1"/>
      <w:marLeft w:val="0"/>
      <w:marRight w:val="0"/>
      <w:marTop w:val="0"/>
      <w:marBottom w:val="0"/>
      <w:divBdr>
        <w:top w:val="none" w:sz="0" w:space="0" w:color="auto"/>
        <w:left w:val="none" w:sz="0" w:space="0" w:color="auto"/>
        <w:bottom w:val="none" w:sz="0" w:space="0" w:color="auto"/>
        <w:right w:val="none" w:sz="0" w:space="0" w:color="auto"/>
      </w:divBdr>
    </w:div>
    <w:div w:id="1534152119">
      <w:bodyDiv w:val="1"/>
      <w:marLeft w:val="0"/>
      <w:marRight w:val="0"/>
      <w:marTop w:val="0"/>
      <w:marBottom w:val="0"/>
      <w:divBdr>
        <w:top w:val="none" w:sz="0" w:space="0" w:color="auto"/>
        <w:left w:val="none" w:sz="0" w:space="0" w:color="auto"/>
        <w:bottom w:val="none" w:sz="0" w:space="0" w:color="auto"/>
        <w:right w:val="none" w:sz="0" w:space="0" w:color="auto"/>
      </w:divBdr>
    </w:div>
    <w:div w:id="1534414409">
      <w:bodyDiv w:val="1"/>
      <w:marLeft w:val="0"/>
      <w:marRight w:val="0"/>
      <w:marTop w:val="0"/>
      <w:marBottom w:val="0"/>
      <w:divBdr>
        <w:top w:val="none" w:sz="0" w:space="0" w:color="auto"/>
        <w:left w:val="none" w:sz="0" w:space="0" w:color="auto"/>
        <w:bottom w:val="none" w:sz="0" w:space="0" w:color="auto"/>
        <w:right w:val="none" w:sz="0" w:space="0" w:color="auto"/>
      </w:divBdr>
    </w:div>
    <w:div w:id="1535266051">
      <w:bodyDiv w:val="1"/>
      <w:marLeft w:val="0"/>
      <w:marRight w:val="0"/>
      <w:marTop w:val="0"/>
      <w:marBottom w:val="0"/>
      <w:divBdr>
        <w:top w:val="none" w:sz="0" w:space="0" w:color="auto"/>
        <w:left w:val="none" w:sz="0" w:space="0" w:color="auto"/>
        <w:bottom w:val="none" w:sz="0" w:space="0" w:color="auto"/>
        <w:right w:val="none" w:sz="0" w:space="0" w:color="auto"/>
      </w:divBdr>
    </w:div>
    <w:div w:id="1537424749">
      <w:bodyDiv w:val="1"/>
      <w:marLeft w:val="0"/>
      <w:marRight w:val="0"/>
      <w:marTop w:val="0"/>
      <w:marBottom w:val="0"/>
      <w:divBdr>
        <w:top w:val="none" w:sz="0" w:space="0" w:color="auto"/>
        <w:left w:val="none" w:sz="0" w:space="0" w:color="auto"/>
        <w:bottom w:val="none" w:sz="0" w:space="0" w:color="auto"/>
        <w:right w:val="none" w:sz="0" w:space="0" w:color="auto"/>
      </w:divBdr>
    </w:div>
    <w:div w:id="1537692711">
      <w:bodyDiv w:val="1"/>
      <w:marLeft w:val="0"/>
      <w:marRight w:val="0"/>
      <w:marTop w:val="0"/>
      <w:marBottom w:val="0"/>
      <w:divBdr>
        <w:top w:val="none" w:sz="0" w:space="0" w:color="auto"/>
        <w:left w:val="none" w:sz="0" w:space="0" w:color="auto"/>
        <w:bottom w:val="none" w:sz="0" w:space="0" w:color="auto"/>
        <w:right w:val="none" w:sz="0" w:space="0" w:color="auto"/>
      </w:divBdr>
    </w:div>
    <w:div w:id="1538929608">
      <w:bodyDiv w:val="1"/>
      <w:marLeft w:val="0"/>
      <w:marRight w:val="0"/>
      <w:marTop w:val="0"/>
      <w:marBottom w:val="0"/>
      <w:divBdr>
        <w:top w:val="none" w:sz="0" w:space="0" w:color="auto"/>
        <w:left w:val="none" w:sz="0" w:space="0" w:color="auto"/>
        <w:bottom w:val="none" w:sz="0" w:space="0" w:color="auto"/>
        <w:right w:val="none" w:sz="0" w:space="0" w:color="auto"/>
      </w:divBdr>
    </w:div>
    <w:div w:id="1543324076">
      <w:bodyDiv w:val="1"/>
      <w:marLeft w:val="0"/>
      <w:marRight w:val="0"/>
      <w:marTop w:val="0"/>
      <w:marBottom w:val="0"/>
      <w:divBdr>
        <w:top w:val="none" w:sz="0" w:space="0" w:color="auto"/>
        <w:left w:val="none" w:sz="0" w:space="0" w:color="auto"/>
        <w:bottom w:val="none" w:sz="0" w:space="0" w:color="auto"/>
        <w:right w:val="none" w:sz="0" w:space="0" w:color="auto"/>
      </w:divBdr>
    </w:div>
    <w:div w:id="1544099239">
      <w:bodyDiv w:val="1"/>
      <w:marLeft w:val="0"/>
      <w:marRight w:val="0"/>
      <w:marTop w:val="0"/>
      <w:marBottom w:val="0"/>
      <w:divBdr>
        <w:top w:val="none" w:sz="0" w:space="0" w:color="auto"/>
        <w:left w:val="none" w:sz="0" w:space="0" w:color="auto"/>
        <w:bottom w:val="none" w:sz="0" w:space="0" w:color="auto"/>
        <w:right w:val="none" w:sz="0" w:space="0" w:color="auto"/>
      </w:divBdr>
    </w:div>
    <w:div w:id="1547523914">
      <w:bodyDiv w:val="1"/>
      <w:marLeft w:val="0"/>
      <w:marRight w:val="0"/>
      <w:marTop w:val="0"/>
      <w:marBottom w:val="0"/>
      <w:divBdr>
        <w:top w:val="none" w:sz="0" w:space="0" w:color="auto"/>
        <w:left w:val="none" w:sz="0" w:space="0" w:color="auto"/>
        <w:bottom w:val="none" w:sz="0" w:space="0" w:color="auto"/>
        <w:right w:val="none" w:sz="0" w:space="0" w:color="auto"/>
      </w:divBdr>
    </w:div>
    <w:div w:id="1550268251">
      <w:bodyDiv w:val="1"/>
      <w:marLeft w:val="0"/>
      <w:marRight w:val="0"/>
      <w:marTop w:val="0"/>
      <w:marBottom w:val="0"/>
      <w:divBdr>
        <w:top w:val="none" w:sz="0" w:space="0" w:color="auto"/>
        <w:left w:val="none" w:sz="0" w:space="0" w:color="auto"/>
        <w:bottom w:val="none" w:sz="0" w:space="0" w:color="auto"/>
        <w:right w:val="none" w:sz="0" w:space="0" w:color="auto"/>
      </w:divBdr>
    </w:div>
    <w:div w:id="1567572666">
      <w:bodyDiv w:val="1"/>
      <w:marLeft w:val="0"/>
      <w:marRight w:val="0"/>
      <w:marTop w:val="0"/>
      <w:marBottom w:val="0"/>
      <w:divBdr>
        <w:top w:val="none" w:sz="0" w:space="0" w:color="auto"/>
        <w:left w:val="none" w:sz="0" w:space="0" w:color="auto"/>
        <w:bottom w:val="none" w:sz="0" w:space="0" w:color="auto"/>
        <w:right w:val="none" w:sz="0" w:space="0" w:color="auto"/>
      </w:divBdr>
    </w:div>
    <w:div w:id="1570918199">
      <w:bodyDiv w:val="1"/>
      <w:marLeft w:val="0"/>
      <w:marRight w:val="0"/>
      <w:marTop w:val="0"/>
      <w:marBottom w:val="0"/>
      <w:divBdr>
        <w:top w:val="none" w:sz="0" w:space="0" w:color="auto"/>
        <w:left w:val="none" w:sz="0" w:space="0" w:color="auto"/>
        <w:bottom w:val="none" w:sz="0" w:space="0" w:color="auto"/>
        <w:right w:val="none" w:sz="0" w:space="0" w:color="auto"/>
      </w:divBdr>
    </w:div>
    <w:div w:id="1575361437">
      <w:bodyDiv w:val="1"/>
      <w:marLeft w:val="0"/>
      <w:marRight w:val="0"/>
      <w:marTop w:val="0"/>
      <w:marBottom w:val="0"/>
      <w:divBdr>
        <w:top w:val="none" w:sz="0" w:space="0" w:color="auto"/>
        <w:left w:val="none" w:sz="0" w:space="0" w:color="auto"/>
        <w:bottom w:val="none" w:sz="0" w:space="0" w:color="auto"/>
        <w:right w:val="none" w:sz="0" w:space="0" w:color="auto"/>
      </w:divBdr>
    </w:div>
    <w:div w:id="1577472817">
      <w:bodyDiv w:val="1"/>
      <w:marLeft w:val="0"/>
      <w:marRight w:val="0"/>
      <w:marTop w:val="0"/>
      <w:marBottom w:val="0"/>
      <w:divBdr>
        <w:top w:val="none" w:sz="0" w:space="0" w:color="auto"/>
        <w:left w:val="none" w:sz="0" w:space="0" w:color="auto"/>
        <w:bottom w:val="none" w:sz="0" w:space="0" w:color="auto"/>
        <w:right w:val="none" w:sz="0" w:space="0" w:color="auto"/>
      </w:divBdr>
    </w:div>
    <w:div w:id="1577739083">
      <w:bodyDiv w:val="1"/>
      <w:marLeft w:val="0"/>
      <w:marRight w:val="0"/>
      <w:marTop w:val="0"/>
      <w:marBottom w:val="0"/>
      <w:divBdr>
        <w:top w:val="none" w:sz="0" w:space="0" w:color="auto"/>
        <w:left w:val="none" w:sz="0" w:space="0" w:color="auto"/>
        <w:bottom w:val="none" w:sz="0" w:space="0" w:color="auto"/>
        <w:right w:val="none" w:sz="0" w:space="0" w:color="auto"/>
      </w:divBdr>
    </w:div>
    <w:div w:id="1580018619">
      <w:bodyDiv w:val="1"/>
      <w:marLeft w:val="0"/>
      <w:marRight w:val="0"/>
      <w:marTop w:val="0"/>
      <w:marBottom w:val="0"/>
      <w:divBdr>
        <w:top w:val="none" w:sz="0" w:space="0" w:color="auto"/>
        <w:left w:val="none" w:sz="0" w:space="0" w:color="auto"/>
        <w:bottom w:val="none" w:sz="0" w:space="0" w:color="auto"/>
        <w:right w:val="none" w:sz="0" w:space="0" w:color="auto"/>
      </w:divBdr>
    </w:div>
    <w:div w:id="1582131365">
      <w:bodyDiv w:val="1"/>
      <w:marLeft w:val="0"/>
      <w:marRight w:val="0"/>
      <w:marTop w:val="0"/>
      <w:marBottom w:val="0"/>
      <w:divBdr>
        <w:top w:val="none" w:sz="0" w:space="0" w:color="auto"/>
        <w:left w:val="none" w:sz="0" w:space="0" w:color="auto"/>
        <w:bottom w:val="none" w:sz="0" w:space="0" w:color="auto"/>
        <w:right w:val="none" w:sz="0" w:space="0" w:color="auto"/>
      </w:divBdr>
    </w:div>
    <w:div w:id="1587766679">
      <w:bodyDiv w:val="1"/>
      <w:marLeft w:val="0"/>
      <w:marRight w:val="0"/>
      <w:marTop w:val="0"/>
      <w:marBottom w:val="0"/>
      <w:divBdr>
        <w:top w:val="none" w:sz="0" w:space="0" w:color="auto"/>
        <w:left w:val="none" w:sz="0" w:space="0" w:color="auto"/>
        <w:bottom w:val="none" w:sz="0" w:space="0" w:color="auto"/>
        <w:right w:val="none" w:sz="0" w:space="0" w:color="auto"/>
      </w:divBdr>
    </w:div>
    <w:div w:id="1593314677">
      <w:bodyDiv w:val="1"/>
      <w:marLeft w:val="0"/>
      <w:marRight w:val="0"/>
      <w:marTop w:val="0"/>
      <w:marBottom w:val="0"/>
      <w:divBdr>
        <w:top w:val="none" w:sz="0" w:space="0" w:color="auto"/>
        <w:left w:val="none" w:sz="0" w:space="0" w:color="auto"/>
        <w:bottom w:val="none" w:sz="0" w:space="0" w:color="auto"/>
        <w:right w:val="none" w:sz="0" w:space="0" w:color="auto"/>
      </w:divBdr>
    </w:div>
    <w:div w:id="1600332418">
      <w:bodyDiv w:val="1"/>
      <w:marLeft w:val="0"/>
      <w:marRight w:val="0"/>
      <w:marTop w:val="0"/>
      <w:marBottom w:val="0"/>
      <w:divBdr>
        <w:top w:val="none" w:sz="0" w:space="0" w:color="auto"/>
        <w:left w:val="none" w:sz="0" w:space="0" w:color="auto"/>
        <w:bottom w:val="none" w:sz="0" w:space="0" w:color="auto"/>
        <w:right w:val="none" w:sz="0" w:space="0" w:color="auto"/>
      </w:divBdr>
    </w:div>
    <w:div w:id="1601059323">
      <w:bodyDiv w:val="1"/>
      <w:marLeft w:val="0"/>
      <w:marRight w:val="0"/>
      <w:marTop w:val="0"/>
      <w:marBottom w:val="0"/>
      <w:divBdr>
        <w:top w:val="none" w:sz="0" w:space="0" w:color="auto"/>
        <w:left w:val="none" w:sz="0" w:space="0" w:color="auto"/>
        <w:bottom w:val="none" w:sz="0" w:space="0" w:color="auto"/>
        <w:right w:val="none" w:sz="0" w:space="0" w:color="auto"/>
      </w:divBdr>
    </w:div>
    <w:div w:id="1604996535">
      <w:bodyDiv w:val="1"/>
      <w:marLeft w:val="0"/>
      <w:marRight w:val="0"/>
      <w:marTop w:val="0"/>
      <w:marBottom w:val="0"/>
      <w:divBdr>
        <w:top w:val="none" w:sz="0" w:space="0" w:color="auto"/>
        <w:left w:val="none" w:sz="0" w:space="0" w:color="auto"/>
        <w:bottom w:val="none" w:sz="0" w:space="0" w:color="auto"/>
        <w:right w:val="none" w:sz="0" w:space="0" w:color="auto"/>
      </w:divBdr>
    </w:div>
    <w:div w:id="1605110418">
      <w:bodyDiv w:val="1"/>
      <w:marLeft w:val="0"/>
      <w:marRight w:val="0"/>
      <w:marTop w:val="0"/>
      <w:marBottom w:val="0"/>
      <w:divBdr>
        <w:top w:val="none" w:sz="0" w:space="0" w:color="auto"/>
        <w:left w:val="none" w:sz="0" w:space="0" w:color="auto"/>
        <w:bottom w:val="none" w:sz="0" w:space="0" w:color="auto"/>
        <w:right w:val="none" w:sz="0" w:space="0" w:color="auto"/>
      </w:divBdr>
    </w:div>
    <w:div w:id="1607691933">
      <w:bodyDiv w:val="1"/>
      <w:marLeft w:val="0"/>
      <w:marRight w:val="0"/>
      <w:marTop w:val="0"/>
      <w:marBottom w:val="0"/>
      <w:divBdr>
        <w:top w:val="none" w:sz="0" w:space="0" w:color="auto"/>
        <w:left w:val="none" w:sz="0" w:space="0" w:color="auto"/>
        <w:bottom w:val="none" w:sz="0" w:space="0" w:color="auto"/>
        <w:right w:val="none" w:sz="0" w:space="0" w:color="auto"/>
      </w:divBdr>
    </w:div>
    <w:div w:id="1610695967">
      <w:bodyDiv w:val="1"/>
      <w:marLeft w:val="0"/>
      <w:marRight w:val="0"/>
      <w:marTop w:val="0"/>
      <w:marBottom w:val="0"/>
      <w:divBdr>
        <w:top w:val="none" w:sz="0" w:space="0" w:color="auto"/>
        <w:left w:val="none" w:sz="0" w:space="0" w:color="auto"/>
        <w:bottom w:val="none" w:sz="0" w:space="0" w:color="auto"/>
        <w:right w:val="none" w:sz="0" w:space="0" w:color="auto"/>
      </w:divBdr>
    </w:div>
    <w:div w:id="1611739570">
      <w:bodyDiv w:val="1"/>
      <w:marLeft w:val="0"/>
      <w:marRight w:val="0"/>
      <w:marTop w:val="0"/>
      <w:marBottom w:val="0"/>
      <w:divBdr>
        <w:top w:val="none" w:sz="0" w:space="0" w:color="auto"/>
        <w:left w:val="none" w:sz="0" w:space="0" w:color="auto"/>
        <w:bottom w:val="none" w:sz="0" w:space="0" w:color="auto"/>
        <w:right w:val="none" w:sz="0" w:space="0" w:color="auto"/>
      </w:divBdr>
    </w:div>
    <w:div w:id="1612083943">
      <w:bodyDiv w:val="1"/>
      <w:marLeft w:val="0"/>
      <w:marRight w:val="0"/>
      <w:marTop w:val="0"/>
      <w:marBottom w:val="0"/>
      <w:divBdr>
        <w:top w:val="none" w:sz="0" w:space="0" w:color="auto"/>
        <w:left w:val="none" w:sz="0" w:space="0" w:color="auto"/>
        <w:bottom w:val="none" w:sz="0" w:space="0" w:color="auto"/>
        <w:right w:val="none" w:sz="0" w:space="0" w:color="auto"/>
      </w:divBdr>
    </w:div>
    <w:div w:id="1612519043">
      <w:bodyDiv w:val="1"/>
      <w:marLeft w:val="0"/>
      <w:marRight w:val="0"/>
      <w:marTop w:val="0"/>
      <w:marBottom w:val="0"/>
      <w:divBdr>
        <w:top w:val="none" w:sz="0" w:space="0" w:color="auto"/>
        <w:left w:val="none" w:sz="0" w:space="0" w:color="auto"/>
        <w:bottom w:val="none" w:sz="0" w:space="0" w:color="auto"/>
        <w:right w:val="none" w:sz="0" w:space="0" w:color="auto"/>
      </w:divBdr>
    </w:div>
    <w:div w:id="1617440197">
      <w:bodyDiv w:val="1"/>
      <w:marLeft w:val="0"/>
      <w:marRight w:val="0"/>
      <w:marTop w:val="0"/>
      <w:marBottom w:val="0"/>
      <w:divBdr>
        <w:top w:val="none" w:sz="0" w:space="0" w:color="auto"/>
        <w:left w:val="none" w:sz="0" w:space="0" w:color="auto"/>
        <w:bottom w:val="none" w:sz="0" w:space="0" w:color="auto"/>
        <w:right w:val="none" w:sz="0" w:space="0" w:color="auto"/>
      </w:divBdr>
    </w:div>
    <w:div w:id="1620528722">
      <w:bodyDiv w:val="1"/>
      <w:marLeft w:val="0"/>
      <w:marRight w:val="0"/>
      <w:marTop w:val="0"/>
      <w:marBottom w:val="0"/>
      <w:divBdr>
        <w:top w:val="none" w:sz="0" w:space="0" w:color="auto"/>
        <w:left w:val="none" w:sz="0" w:space="0" w:color="auto"/>
        <w:bottom w:val="none" w:sz="0" w:space="0" w:color="auto"/>
        <w:right w:val="none" w:sz="0" w:space="0" w:color="auto"/>
      </w:divBdr>
    </w:div>
    <w:div w:id="1623919155">
      <w:bodyDiv w:val="1"/>
      <w:marLeft w:val="0"/>
      <w:marRight w:val="0"/>
      <w:marTop w:val="0"/>
      <w:marBottom w:val="0"/>
      <w:divBdr>
        <w:top w:val="none" w:sz="0" w:space="0" w:color="auto"/>
        <w:left w:val="none" w:sz="0" w:space="0" w:color="auto"/>
        <w:bottom w:val="none" w:sz="0" w:space="0" w:color="auto"/>
        <w:right w:val="none" w:sz="0" w:space="0" w:color="auto"/>
      </w:divBdr>
    </w:div>
    <w:div w:id="1623919439">
      <w:bodyDiv w:val="1"/>
      <w:marLeft w:val="0"/>
      <w:marRight w:val="0"/>
      <w:marTop w:val="0"/>
      <w:marBottom w:val="0"/>
      <w:divBdr>
        <w:top w:val="none" w:sz="0" w:space="0" w:color="auto"/>
        <w:left w:val="none" w:sz="0" w:space="0" w:color="auto"/>
        <w:bottom w:val="none" w:sz="0" w:space="0" w:color="auto"/>
        <w:right w:val="none" w:sz="0" w:space="0" w:color="auto"/>
      </w:divBdr>
    </w:div>
    <w:div w:id="1627472158">
      <w:bodyDiv w:val="1"/>
      <w:marLeft w:val="0"/>
      <w:marRight w:val="0"/>
      <w:marTop w:val="0"/>
      <w:marBottom w:val="0"/>
      <w:divBdr>
        <w:top w:val="none" w:sz="0" w:space="0" w:color="auto"/>
        <w:left w:val="none" w:sz="0" w:space="0" w:color="auto"/>
        <w:bottom w:val="none" w:sz="0" w:space="0" w:color="auto"/>
        <w:right w:val="none" w:sz="0" w:space="0" w:color="auto"/>
      </w:divBdr>
    </w:div>
    <w:div w:id="1629432464">
      <w:bodyDiv w:val="1"/>
      <w:marLeft w:val="0"/>
      <w:marRight w:val="0"/>
      <w:marTop w:val="0"/>
      <w:marBottom w:val="0"/>
      <w:divBdr>
        <w:top w:val="none" w:sz="0" w:space="0" w:color="auto"/>
        <w:left w:val="none" w:sz="0" w:space="0" w:color="auto"/>
        <w:bottom w:val="none" w:sz="0" w:space="0" w:color="auto"/>
        <w:right w:val="none" w:sz="0" w:space="0" w:color="auto"/>
      </w:divBdr>
    </w:div>
    <w:div w:id="1632861245">
      <w:bodyDiv w:val="1"/>
      <w:marLeft w:val="0"/>
      <w:marRight w:val="0"/>
      <w:marTop w:val="0"/>
      <w:marBottom w:val="0"/>
      <w:divBdr>
        <w:top w:val="none" w:sz="0" w:space="0" w:color="auto"/>
        <w:left w:val="none" w:sz="0" w:space="0" w:color="auto"/>
        <w:bottom w:val="none" w:sz="0" w:space="0" w:color="auto"/>
        <w:right w:val="none" w:sz="0" w:space="0" w:color="auto"/>
      </w:divBdr>
    </w:div>
    <w:div w:id="1633320032">
      <w:bodyDiv w:val="1"/>
      <w:marLeft w:val="0"/>
      <w:marRight w:val="0"/>
      <w:marTop w:val="0"/>
      <w:marBottom w:val="0"/>
      <w:divBdr>
        <w:top w:val="none" w:sz="0" w:space="0" w:color="auto"/>
        <w:left w:val="none" w:sz="0" w:space="0" w:color="auto"/>
        <w:bottom w:val="none" w:sz="0" w:space="0" w:color="auto"/>
        <w:right w:val="none" w:sz="0" w:space="0" w:color="auto"/>
      </w:divBdr>
    </w:div>
    <w:div w:id="1633440174">
      <w:bodyDiv w:val="1"/>
      <w:marLeft w:val="0"/>
      <w:marRight w:val="0"/>
      <w:marTop w:val="0"/>
      <w:marBottom w:val="0"/>
      <w:divBdr>
        <w:top w:val="none" w:sz="0" w:space="0" w:color="auto"/>
        <w:left w:val="none" w:sz="0" w:space="0" w:color="auto"/>
        <w:bottom w:val="none" w:sz="0" w:space="0" w:color="auto"/>
        <w:right w:val="none" w:sz="0" w:space="0" w:color="auto"/>
      </w:divBdr>
    </w:div>
    <w:div w:id="1634140250">
      <w:bodyDiv w:val="1"/>
      <w:marLeft w:val="0"/>
      <w:marRight w:val="0"/>
      <w:marTop w:val="0"/>
      <w:marBottom w:val="0"/>
      <w:divBdr>
        <w:top w:val="none" w:sz="0" w:space="0" w:color="auto"/>
        <w:left w:val="none" w:sz="0" w:space="0" w:color="auto"/>
        <w:bottom w:val="none" w:sz="0" w:space="0" w:color="auto"/>
        <w:right w:val="none" w:sz="0" w:space="0" w:color="auto"/>
      </w:divBdr>
    </w:div>
    <w:div w:id="1638871840">
      <w:bodyDiv w:val="1"/>
      <w:marLeft w:val="0"/>
      <w:marRight w:val="0"/>
      <w:marTop w:val="0"/>
      <w:marBottom w:val="0"/>
      <w:divBdr>
        <w:top w:val="none" w:sz="0" w:space="0" w:color="auto"/>
        <w:left w:val="none" w:sz="0" w:space="0" w:color="auto"/>
        <w:bottom w:val="none" w:sz="0" w:space="0" w:color="auto"/>
        <w:right w:val="none" w:sz="0" w:space="0" w:color="auto"/>
      </w:divBdr>
    </w:div>
    <w:div w:id="1645239475">
      <w:bodyDiv w:val="1"/>
      <w:marLeft w:val="0"/>
      <w:marRight w:val="0"/>
      <w:marTop w:val="0"/>
      <w:marBottom w:val="0"/>
      <w:divBdr>
        <w:top w:val="none" w:sz="0" w:space="0" w:color="auto"/>
        <w:left w:val="none" w:sz="0" w:space="0" w:color="auto"/>
        <w:bottom w:val="none" w:sz="0" w:space="0" w:color="auto"/>
        <w:right w:val="none" w:sz="0" w:space="0" w:color="auto"/>
      </w:divBdr>
    </w:div>
    <w:div w:id="1647541892">
      <w:bodyDiv w:val="1"/>
      <w:marLeft w:val="0"/>
      <w:marRight w:val="0"/>
      <w:marTop w:val="0"/>
      <w:marBottom w:val="0"/>
      <w:divBdr>
        <w:top w:val="none" w:sz="0" w:space="0" w:color="auto"/>
        <w:left w:val="none" w:sz="0" w:space="0" w:color="auto"/>
        <w:bottom w:val="none" w:sz="0" w:space="0" w:color="auto"/>
        <w:right w:val="none" w:sz="0" w:space="0" w:color="auto"/>
      </w:divBdr>
    </w:div>
    <w:div w:id="1656253676">
      <w:bodyDiv w:val="1"/>
      <w:marLeft w:val="0"/>
      <w:marRight w:val="0"/>
      <w:marTop w:val="0"/>
      <w:marBottom w:val="0"/>
      <w:divBdr>
        <w:top w:val="none" w:sz="0" w:space="0" w:color="auto"/>
        <w:left w:val="none" w:sz="0" w:space="0" w:color="auto"/>
        <w:bottom w:val="none" w:sz="0" w:space="0" w:color="auto"/>
        <w:right w:val="none" w:sz="0" w:space="0" w:color="auto"/>
      </w:divBdr>
    </w:div>
    <w:div w:id="1656496541">
      <w:bodyDiv w:val="1"/>
      <w:marLeft w:val="0"/>
      <w:marRight w:val="0"/>
      <w:marTop w:val="0"/>
      <w:marBottom w:val="0"/>
      <w:divBdr>
        <w:top w:val="none" w:sz="0" w:space="0" w:color="auto"/>
        <w:left w:val="none" w:sz="0" w:space="0" w:color="auto"/>
        <w:bottom w:val="none" w:sz="0" w:space="0" w:color="auto"/>
        <w:right w:val="none" w:sz="0" w:space="0" w:color="auto"/>
      </w:divBdr>
    </w:div>
    <w:div w:id="1657537094">
      <w:bodyDiv w:val="1"/>
      <w:marLeft w:val="0"/>
      <w:marRight w:val="0"/>
      <w:marTop w:val="0"/>
      <w:marBottom w:val="0"/>
      <w:divBdr>
        <w:top w:val="none" w:sz="0" w:space="0" w:color="auto"/>
        <w:left w:val="none" w:sz="0" w:space="0" w:color="auto"/>
        <w:bottom w:val="none" w:sz="0" w:space="0" w:color="auto"/>
        <w:right w:val="none" w:sz="0" w:space="0" w:color="auto"/>
      </w:divBdr>
    </w:div>
    <w:div w:id="1665471220">
      <w:bodyDiv w:val="1"/>
      <w:marLeft w:val="0"/>
      <w:marRight w:val="0"/>
      <w:marTop w:val="0"/>
      <w:marBottom w:val="0"/>
      <w:divBdr>
        <w:top w:val="none" w:sz="0" w:space="0" w:color="auto"/>
        <w:left w:val="none" w:sz="0" w:space="0" w:color="auto"/>
        <w:bottom w:val="none" w:sz="0" w:space="0" w:color="auto"/>
        <w:right w:val="none" w:sz="0" w:space="0" w:color="auto"/>
      </w:divBdr>
    </w:div>
    <w:div w:id="1671710108">
      <w:bodyDiv w:val="1"/>
      <w:marLeft w:val="0"/>
      <w:marRight w:val="0"/>
      <w:marTop w:val="0"/>
      <w:marBottom w:val="0"/>
      <w:divBdr>
        <w:top w:val="none" w:sz="0" w:space="0" w:color="auto"/>
        <w:left w:val="none" w:sz="0" w:space="0" w:color="auto"/>
        <w:bottom w:val="none" w:sz="0" w:space="0" w:color="auto"/>
        <w:right w:val="none" w:sz="0" w:space="0" w:color="auto"/>
      </w:divBdr>
    </w:div>
    <w:div w:id="1674452610">
      <w:bodyDiv w:val="1"/>
      <w:marLeft w:val="0"/>
      <w:marRight w:val="0"/>
      <w:marTop w:val="0"/>
      <w:marBottom w:val="0"/>
      <w:divBdr>
        <w:top w:val="none" w:sz="0" w:space="0" w:color="auto"/>
        <w:left w:val="none" w:sz="0" w:space="0" w:color="auto"/>
        <w:bottom w:val="none" w:sz="0" w:space="0" w:color="auto"/>
        <w:right w:val="none" w:sz="0" w:space="0" w:color="auto"/>
      </w:divBdr>
    </w:div>
    <w:div w:id="1678457446">
      <w:bodyDiv w:val="1"/>
      <w:marLeft w:val="0"/>
      <w:marRight w:val="0"/>
      <w:marTop w:val="0"/>
      <w:marBottom w:val="0"/>
      <w:divBdr>
        <w:top w:val="none" w:sz="0" w:space="0" w:color="auto"/>
        <w:left w:val="none" w:sz="0" w:space="0" w:color="auto"/>
        <w:bottom w:val="none" w:sz="0" w:space="0" w:color="auto"/>
        <w:right w:val="none" w:sz="0" w:space="0" w:color="auto"/>
      </w:divBdr>
    </w:div>
    <w:div w:id="1678652292">
      <w:bodyDiv w:val="1"/>
      <w:marLeft w:val="0"/>
      <w:marRight w:val="0"/>
      <w:marTop w:val="0"/>
      <w:marBottom w:val="0"/>
      <w:divBdr>
        <w:top w:val="none" w:sz="0" w:space="0" w:color="auto"/>
        <w:left w:val="none" w:sz="0" w:space="0" w:color="auto"/>
        <w:bottom w:val="none" w:sz="0" w:space="0" w:color="auto"/>
        <w:right w:val="none" w:sz="0" w:space="0" w:color="auto"/>
      </w:divBdr>
    </w:div>
    <w:div w:id="1679652383">
      <w:bodyDiv w:val="1"/>
      <w:marLeft w:val="0"/>
      <w:marRight w:val="0"/>
      <w:marTop w:val="0"/>
      <w:marBottom w:val="0"/>
      <w:divBdr>
        <w:top w:val="none" w:sz="0" w:space="0" w:color="auto"/>
        <w:left w:val="none" w:sz="0" w:space="0" w:color="auto"/>
        <w:bottom w:val="none" w:sz="0" w:space="0" w:color="auto"/>
        <w:right w:val="none" w:sz="0" w:space="0" w:color="auto"/>
      </w:divBdr>
    </w:div>
    <w:div w:id="1686131688">
      <w:bodyDiv w:val="1"/>
      <w:marLeft w:val="0"/>
      <w:marRight w:val="0"/>
      <w:marTop w:val="0"/>
      <w:marBottom w:val="0"/>
      <w:divBdr>
        <w:top w:val="none" w:sz="0" w:space="0" w:color="auto"/>
        <w:left w:val="none" w:sz="0" w:space="0" w:color="auto"/>
        <w:bottom w:val="none" w:sz="0" w:space="0" w:color="auto"/>
        <w:right w:val="none" w:sz="0" w:space="0" w:color="auto"/>
      </w:divBdr>
    </w:div>
    <w:div w:id="1686132787">
      <w:bodyDiv w:val="1"/>
      <w:marLeft w:val="0"/>
      <w:marRight w:val="0"/>
      <w:marTop w:val="0"/>
      <w:marBottom w:val="0"/>
      <w:divBdr>
        <w:top w:val="none" w:sz="0" w:space="0" w:color="auto"/>
        <w:left w:val="none" w:sz="0" w:space="0" w:color="auto"/>
        <w:bottom w:val="none" w:sz="0" w:space="0" w:color="auto"/>
        <w:right w:val="none" w:sz="0" w:space="0" w:color="auto"/>
      </w:divBdr>
    </w:div>
    <w:div w:id="1689794401">
      <w:bodyDiv w:val="1"/>
      <w:marLeft w:val="0"/>
      <w:marRight w:val="0"/>
      <w:marTop w:val="0"/>
      <w:marBottom w:val="0"/>
      <w:divBdr>
        <w:top w:val="none" w:sz="0" w:space="0" w:color="auto"/>
        <w:left w:val="none" w:sz="0" w:space="0" w:color="auto"/>
        <w:bottom w:val="none" w:sz="0" w:space="0" w:color="auto"/>
        <w:right w:val="none" w:sz="0" w:space="0" w:color="auto"/>
      </w:divBdr>
    </w:div>
    <w:div w:id="1696349694">
      <w:bodyDiv w:val="1"/>
      <w:marLeft w:val="0"/>
      <w:marRight w:val="0"/>
      <w:marTop w:val="0"/>
      <w:marBottom w:val="0"/>
      <w:divBdr>
        <w:top w:val="none" w:sz="0" w:space="0" w:color="auto"/>
        <w:left w:val="none" w:sz="0" w:space="0" w:color="auto"/>
        <w:bottom w:val="none" w:sz="0" w:space="0" w:color="auto"/>
        <w:right w:val="none" w:sz="0" w:space="0" w:color="auto"/>
      </w:divBdr>
    </w:div>
    <w:div w:id="1699351120">
      <w:bodyDiv w:val="1"/>
      <w:marLeft w:val="0"/>
      <w:marRight w:val="0"/>
      <w:marTop w:val="0"/>
      <w:marBottom w:val="0"/>
      <w:divBdr>
        <w:top w:val="none" w:sz="0" w:space="0" w:color="auto"/>
        <w:left w:val="none" w:sz="0" w:space="0" w:color="auto"/>
        <w:bottom w:val="none" w:sz="0" w:space="0" w:color="auto"/>
        <w:right w:val="none" w:sz="0" w:space="0" w:color="auto"/>
      </w:divBdr>
    </w:div>
    <w:div w:id="1700861308">
      <w:bodyDiv w:val="1"/>
      <w:marLeft w:val="0"/>
      <w:marRight w:val="0"/>
      <w:marTop w:val="0"/>
      <w:marBottom w:val="0"/>
      <w:divBdr>
        <w:top w:val="none" w:sz="0" w:space="0" w:color="auto"/>
        <w:left w:val="none" w:sz="0" w:space="0" w:color="auto"/>
        <w:bottom w:val="none" w:sz="0" w:space="0" w:color="auto"/>
        <w:right w:val="none" w:sz="0" w:space="0" w:color="auto"/>
      </w:divBdr>
    </w:div>
    <w:div w:id="1708605369">
      <w:bodyDiv w:val="1"/>
      <w:marLeft w:val="0"/>
      <w:marRight w:val="0"/>
      <w:marTop w:val="0"/>
      <w:marBottom w:val="0"/>
      <w:divBdr>
        <w:top w:val="none" w:sz="0" w:space="0" w:color="auto"/>
        <w:left w:val="none" w:sz="0" w:space="0" w:color="auto"/>
        <w:bottom w:val="none" w:sz="0" w:space="0" w:color="auto"/>
        <w:right w:val="none" w:sz="0" w:space="0" w:color="auto"/>
      </w:divBdr>
    </w:div>
    <w:div w:id="1709716263">
      <w:bodyDiv w:val="1"/>
      <w:marLeft w:val="0"/>
      <w:marRight w:val="0"/>
      <w:marTop w:val="0"/>
      <w:marBottom w:val="0"/>
      <w:divBdr>
        <w:top w:val="none" w:sz="0" w:space="0" w:color="auto"/>
        <w:left w:val="none" w:sz="0" w:space="0" w:color="auto"/>
        <w:bottom w:val="none" w:sz="0" w:space="0" w:color="auto"/>
        <w:right w:val="none" w:sz="0" w:space="0" w:color="auto"/>
      </w:divBdr>
    </w:div>
    <w:div w:id="1713387731">
      <w:bodyDiv w:val="1"/>
      <w:marLeft w:val="0"/>
      <w:marRight w:val="0"/>
      <w:marTop w:val="0"/>
      <w:marBottom w:val="0"/>
      <w:divBdr>
        <w:top w:val="none" w:sz="0" w:space="0" w:color="auto"/>
        <w:left w:val="none" w:sz="0" w:space="0" w:color="auto"/>
        <w:bottom w:val="none" w:sz="0" w:space="0" w:color="auto"/>
        <w:right w:val="none" w:sz="0" w:space="0" w:color="auto"/>
      </w:divBdr>
    </w:div>
    <w:div w:id="1714379934">
      <w:bodyDiv w:val="1"/>
      <w:marLeft w:val="0"/>
      <w:marRight w:val="0"/>
      <w:marTop w:val="0"/>
      <w:marBottom w:val="0"/>
      <w:divBdr>
        <w:top w:val="none" w:sz="0" w:space="0" w:color="auto"/>
        <w:left w:val="none" w:sz="0" w:space="0" w:color="auto"/>
        <w:bottom w:val="none" w:sz="0" w:space="0" w:color="auto"/>
        <w:right w:val="none" w:sz="0" w:space="0" w:color="auto"/>
      </w:divBdr>
    </w:div>
    <w:div w:id="1715739650">
      <w:bodyDiv w:val="1"/>
      <w:marLeft w:val="0"/>
      <w:marRight w:val="0"/>
      <w:marTop w:val="0"/>
      <w:marBottom w:val="0"/>
      <w:divBdr>
        <w:top w:val="none" w:sz="0" w:space="0" w:color="auto"/>
        <w:left w:val="none" w:sz="0" w:space="0" w:color="auto"/>
        <w:bottom w:val="none" w:sz="0" w:space="0" w:color="auto"/>
        <w:right w:val="none" w:sz="0" w:space="0" w:color="auto"/>
      </w:divBdr>
    </w:div>
    <w:div w:id="1717778429">
      <w:bodyDiv w:val="1"/>
      <w:marLeft w:val="0"/>
      <w:marRight w:val="0"/>
      <w:marTop w:val="0"/>
      <w:marBottom w:val="0"/>
      <w:divBdr>
        <w:top w:val="none" w:sz="0" w:space="0" w:color="auto"/>
        <w:left w:val="none" w:sz="0" w:space="0" w:color="auto"/>
        <w:bottom w:val="none" w:sz="0" w:space="0" w:color="auto"/>
        <w:right w:val="none" w:sz="0" w:space="0" w:color="auto"/>
      </w:divBdr>
    </w:div>
    <w:div w:id="1717855717">
      <w:bodyDiv w:val="1"/>
      <w:marLeft w:val="0"/>
      <w:marRight w:val="0"/>
      <w:marTop w:val="0"/>
      <w:marBottom w:val="0"/>
      <w:divBdr>
        <w:top w:val="none" w:sz="0" w:space="0" w:color="auto"/>
        <w:left w:val="none" w:sz="0" w:space="0" w:color="auto"/>
        <w:bottom w:val="none" w:sz="0" w:space="0" w:color="auto"/>
        <w:right w:val="none" w:sz="0" w:space="0" w:color="auto"/>
      </w:divBdr>
    </w:div>
    <w:div w:id="1717924201">
      <w:bodyDiv w:val="1"/>
      <w:marLeft w:val="0"/>
      <w:marRight w:val="0"/>
      <w:marTop w:val="0"/>
      <w:marBottom w:val="0"/>
      <w:divBdr>
        <w:top w:val="none" w:sz="0" w:space="0" w:color="auto"/>
        <w:left w:val="none" w:sz="0" w:space="0" w:color="auto"/>
        <w:bottom w:val="none" w:sz="0" w:space="0" w:color="auto"/>
        <w:right w:val="none" w:sz="0" w:space="0" w:color="auto"/>
      </w:divBdr>
    </w:div>
    <w:div w:id="1720980717">
      <w:bodyDiv w:val="1"/>
      <w:marLeft w:val="0"/>
      <w:marRight w:val="0"/>
      <w:marTop w:val="0"/>
      <w:marBottom w:val="0"/>
      <w:divBdr>
        <w:top w:val="none" w:sz="0" w:space="0" w:color="auto"/>
        <w:left w:val="none" w:sz="0" w:space="0" w:color="auto"/>
        <w:bottom w:val="none" w:sz="0" w:space="0" w:color="auto"/>
        <w:right w:val="none" w:sz="0" w:space="0" w:color="auto"/>
      </w:divBdr>
    </w:div>
    <w:div w:id="1721512086">
      <w:bodyDiv w:val="1"/>
      <w:marLeft w:val="0"/>
      <w:marRight w:val="0"/>
      <w:marTop w:val="0"/>
      <w:marBottom w:val="0"/>
      <w:divBdr>
        <w:top w:val="none" w:sz="0" w:space="0" w:color="auto"/>
        <w:left w:val="none" w:sz="0" w:space="0" w:color="auto"/>
        <w:bottom w:val="none" w:sz="0" w:space="0" w:color="auto"/>
        <w:right w:val="none" w:sz="0" w:space="0" w:color="auto"/>
      </w:divBdr>
    </w:div>
    <w:div w:id="1722365794">
      <w:bodyDiv w:val="1"/>
      <w:marLeft w:val="0"/>
      <w:marRight w:val="0"/>
      <w:marTop w:val="0"/>
      <w:marBottom w:val="0"/>
      <w:divBdr>
        <w:top w:val="none" w:sz="0" w:space="0" w:color="auto"/>
        <w:left w:val="none" w:sz="0" w:space="0" w:color="auto"/>
        <w:bottom w:val="none" w:sz="0" w:space="0" w:color="auto"/>
        <w:right w:val="none" w:sz="0" w:space="0" w:color="auto"/>
      </w:divBdr>
    </w:div>
    <w:div w:id="1722830126">
      <w:bodyDiv w:val="1"/>
      <w:marLeft w:val="0"/>
      <w:marRight w:val="0"/>
      <w:marTop w:val="0"/>
      <w:marBottom w:val="0"/>
      <w:divBdr>
        <w:top w:val="none" w:sz="0" w:space="0" w:color="auto"/>
        <w:left w:val="none" w:sz="0" w:space="0" w:color="auto"/>
        <w:bottom w:val="none" w:sz="0" w:space="0" w:color="auto"/>
        <w:right w:val="none" w:sz="0" w:space="0" w:color="auto"/>
      </w:divBdr>
    </w:div>
    <w:div w:id="1728995423">
      <w:bodyDiv w:val="1"/>
      <w:marLeft w:val="0"/>
      <w:marRight w:val="0"/>
      <w:marTop w:val="0"/>
      <w:marBottom w:val="0"/>
      <w:divBdr>
        <w:top w:val="none" w:sz="0" w:space="0" w:color="auto"/>
        <w:left w:val="none" w:sz="0" w:space="0" w:color="auto"/>
        <w:bottom w:val="none" w:sz="0" w:space="0" w:color="auto"/>
        <w:right w:val="none" w:sz="0" w:space="0" w:color="auto"/>
      </w:divBdr>
    </w:div>
    <w:div w:id="1729644485">
      <w:bodyDiv w:val="1"/>
      <w:marLeft w:val="0"/>
      <w:marRight w:val="0"/>
      <w:marTop w:val="0"/>
      <w:marBottom w:val="0"/>
      <w:divBdr>
        <w:top w:val="none" w:sz="0" w:space="0" w:color="auto"/>
        <w:left w:val="none" w:sz="0" w:space="0" w:color="auto"/>
        <w:bottom w:val="none" w:sz="0" w:space="0" w:color="auto"/>
        <w:right w:val="none" w:sz="0" w:space="0" w:color="auto"/>
      </w:divBdr>
    </w:div>
    <w:div w:id="1731994549">
      <w:bodyDiv w:val="1"/>
      <w:marLeft w:val="0"/>
      <w:marRight w:val="0"/>
      <w:marTop w:val="0"/>
      <w:marBottom w:val="0"/>
      <w:divBdr>
        <w:top w:val="none" w:sz="0" w:space="0" w:color="auto"/>
        <w:left w:val="none" w:sz="0" w:space="0" w:color="auto"/>
        <w:bottom w:val="none" w:sz="0" w:space="0" w:color="auto"/>
        <w:right w:val="none" w:sz="0" w:space="0" w:color="auto"/>
      </w:divBdr>
    </w:div>
    <w:div w:id="1731997654">
      <w:bodyDiv w:val="1"/>
      <w:marLeft w:val="0"/>
      <w:marRight w:val="0"/>
      <w:marTop w:val="0"/>
      <w:marBottom w:val="0"/>
      <w:divBdr>
        <w:top w:val="none" w:sz="0" w:space="0" w:color="auto"/>
        <w:left w:val="none" w:sz="0" w:space="0" w:color="auto"/>
        <w:bottom w:val="none" w:sz="0" w:space="0" w:color="auto"/>
        <w:right w:val="none" w:sz="0" w:space="0" w:color="auto"/>
      </w:divBdr>
    </w:div>
    <w:div w:id="1734426251">
      <w:bodyDiv w:val="1"/>
      <w:marLeft w:val="0"/>
      <w:marRight w:val="0"/>
      <w:marTop w:val="0"/>
      <w:marBottom w:val="0"/>
      <w:divBdr>
        <w:top w:val="none" w:sz="0" w:space="0" w:color="auto"/>
        <w:left w:val="none" w:sz="0" w:space="0" w:color="auto"/>
        <w:bottom w:val="none" w:sz="0" w:space="0" w:color="auto"/>
        <w:right w:val="none" w:sz="0" w:space="0" w:color="auto"/>
      </w:divBdr>
    </w:div>
    <w:div w:id="1734624839">
      <w:bodyDiv w:val="1"/>
      <w:marLeft w:val="0"/>
      <w:marRight w:val="0"/>
      <w:marTop w:val="0"/>
      <w:marBottom w:val="0"/>
      <w:divBdr>
        <w:top w:val="none" w:sz="0" w:space="0" w:color="auto"/>
        <w:left w:val="none" w:sz="0" w:space="0" w:color="auto"/>
        <w:bottom w:val="none" w:sz="0" w:space="0" w:color="auto"/>
        <w:right w:val="none" w:sz="0" w:space="0" w:color="auto"/>
      </w:divBdr>
    </w:div>
    <w:div w:id="1736472498">
      <w:bodyDiv w:val="1"/>
      <w:marLeft w:val="0"/>
      <w:marRight w:val="0"/>
      <w:marTop w:val="0"/>
      <w:marBottom w:val="0"/>
      <w:divBdr>
        <w:top w:val="none" w:sz="0" w:space="0" w:color="auto"/>
        <w:left w:val="none" w:sz="0" w:space="0" w:color="auto"/>
        <w:bottom w:val="none" w:sz="0" w:space="0" w:color="auto"/>
        <w:right w:val="none" w:sz="0" w:space="0" w:color="auto"/>
      </w:divBdr>
    </w:div>
    <w:div w:id="1739357747">
      <w:bodyDiv w:val="1"/>
      <w:marLeft w:val="0"/>
      <w:marRight w:val="0"/>
      <w:marTop w:val="0"/>
      <w:marBottom w:val="0"/>
      <w:divBdr>
        <w:top w:val="none" w:sz="0" w:space="0" w:color="auto"/>
        <w:left w:val="none" w:sz="0" w:space="0" w:color="auto"/>
        <w:bottom w:val="none" w:sz="0" w:space="0" w:color="auto"/>
        <w:right w:val="none" w:sz="0" w:space="0" w:color="auto"/>
      </w:divBdr>
    </w:div>
    <w:div w:id="1754164370">
      <w:bodyDiv w:val="1"/>
      <w:marLeft w:val="0"/>
      <w:marRight w:val="0"/>
      <w:marTop w:val="0"/>
      <w:marBottom w:val="0"/>
      <w:divBdr>
        <w:top w:val="none" w:sz="0" w:space="0" w:color="auto"/>
        <w:left w:val="none" w:sz="0" w:space="0" w:color="auto"/>
        <w:bottom w:val="none" w:sz="0" w:space="0" w:color="auto"/>
        <w:right w:val="none" w:sz="0" w:space="0" w:color="auto"/>
      </w:divBdr>
    </w:div>
    <w:div w:id="1774664990">
      <w:bodyDiv w:val="1"/>
      <w:marLeft w:val="0"/>
      <w:marRight w:val="0"/>
      <w:marTop w:val="0"/>
      <w:marBottom w:val="0"/>
      <w:divBdr>
        <w:top w:val="none" w:sz="0" w:space="0" w:color="auto"/>
        <w:left w:val="none" w:sz="0" w:space="0" w:color="auto"/>
        <w:bottom w:val="none" w:sz="0" w:space="0" w:color="auto"/>
        <w:right w:val="none" w:sz="0" w:space="0" w:color="auto"/>
      </w:divBdr>
    </w:div>
    <w:div w:id="1800613531">
      <w:bodyDiv w:val="1"/>
      <w:marLeft w:val="0"/>
      <w:marRight w:val="0"/>
      <w:marTop w:val="0"/>
      <w:marBottom w:val="0"/>
      <w:divBdr>
        <w:top w:val="none" w:sz="0" w:space="0" w:color="auto"/>
        <w:left w:val="none" w:sz="0" w:space="0" w:color="auto"/>
        <w:bottom w:val="none" w:sz="0" w:space="0" w:color="auto"/>
        <w:right w:val="none" w:sz="0" w:space="0" w:color="auto"/>
      </w:divBdr>
    </w:div>
    <w:div w:id="1811900433">
      <w:bodyDiv w:val="1"/>
      <w:marLeft w:val="0"/>
      <w:marRight w:val="0"/>
      <w:marTop w:val="0"/>
      <w:marBottom w:val="0"/>
      <w:divBdr>
        <w:top w:val="none" w:sz="0" w:space="0" w:color="auto"/>
        <w:left w:val="none" w:sz="0" w:space="0" w:color="auto"/>
        <w:bottom w:val="none" w:sz="0" w:space="0" w:color="auto"/>
        <w:right w:val="none" w:sz="0" w:space="0" w:color="auto"/>
      </w:divBdr>
    </w:div>
    <w:div w:id="1817411559">
      <w:bodyDiv w:val="1"/>
      <w:marLeft w:val="0"/>
      <w:marRight w:val="0"/>
      <w:marTop w:val="0"/>
      <w:marBottom w:val="0"/>
      <w:divBdr>
        <w:top w:val="none" w:sz="0" w:space="0" w:color="auto"/>
        <w:left w:val="none" w:sz="0" w:space="0" w:color="auto"/>
        <w:bottom w:val="none" w:sz="0" w:space="0" w:color="auto"/>
        <w:right w:val="none" w:sz="0" w:space="0" w:color="auto"/>
      </w:divBdr>
    </w:div>
    <w:div w:id="1817799865">
      <w:bodyDiv w:val="1"/>
      <w:marLeft w:val="0"/>
      <w:marRight w:val="0"/>
      <w:marTop w:val="0"/>
      <w:marBottom w:val="0"/>
      <w:divBdr>
        <w:top w:val="none" w:sz="0" w:space="0" w:color="auto"/>
        <w:left w:val="none" w:sz="0" w:space="0" w:color="auto"/>
        <w:bottom w:val="none" w:sz="0" w:space="0" w:color="auto"/>
        <w:right w:val="none" w:sz="0" w:space="0" w:color="auto"/>
      </w:divBdr>
    </w:div>
    <w:div w:id="1820339967">
      <w:bodyDiv w:val="1"/>
      <w:marLeft w:val="0"/>
      <w:marRight w:val="0"/>
      <w:marTop w:val="0"/>
      <w:marBottom w:val="0"/>
      <w:divBdr>
        <w:top w:val="none" w:sz="0" w:space="0" w:color="auto"/>
        <w:left w:val="none" w:sz="0" w:space="0" w:color="auto"/>
        <w:bottom w:val="none" w:sz="0" w:space="0" w:color="auto"/>
        <w:right w:val="none" w:sz="0" w:space="0" w:color="auto"/>
      </w:divBdr>
    </w:div>
    <w:div w:id="1820420750">
      <w:bodyDiv w:val="1"/>
      <w:marLeft w:val="0"/>
      <w:marRight w:val="0"/>
      <w:marTop w:val="0"/>
      <w:marBottom w:val="0"/>
      <w:divBdr>
        <w:top w:val="none" w:sz="0" w:space="0" w:color="auto"/>
        <w:left w:val="none" w:sz="0" w:space="0" w:color="auto"/>
        <w:bottom w:val="none" w:sz="0" w:space="0" w:color="auto"/>
        <w:right w:val="none" w:sz="0" w:space="0" w:color="auto"/>
      </w:divBdr>
    </w:div>
    <w:div w:id="1822428347">
      <w:bodyDiv w:val="1"/>
      <w:marLeft w:val="0"/>
      <w:marRight w:val="0"/>
      <w:marTop w:val="0"/>
      <w:marBottom w:val="0"/>
      <w:divBdr>
        <w:top w:val="none" w:sz="0" w:space="0" w:color="auto"/>
        <w:left w:val="none" w:sz="0" w:space="0" w:color="auto"/>
        <w:bottom w:val="none" w:sz="0" w:space="0" w:color="auto"/>
        <w:right w:val="none" w:sz="0" w:space="0" w:color="auto"/>
      </w:divBdr>
    </w:div>
    <w:div w:id="1825124889">
      <w:bodyDiv w:val="1"/>
      <w:marLeft w:val="0"/>
      <w:marRight w:val="0"/>
      <w:marTop w:val="0"/>
      <w:marBottom w:val="0"/>
      <w:divBdr>
        <w:top w:val="none" w:sz="0" w:space="0" w:color="auto"/>
        <w:left w:val="none" w:sz="0" w:space="0" w:color="auto"/>
        <w:bottom w:val="none" w:sz="0" w:space="0" w:color="auto"/>
        <w:right w:val="none" w:sz="0" w:space="0" w:color="auto"/>
      </w:divBdr>
    </w:div>
    <w:div w:id="1827354348">
      <w:bodyDiv w:val="1"/>
      <w:marLeft w:val="0"/>
      <w:marRight w:val="0"/>
      <w:marTop w:val="0"/>
      <w:marBottom w:val="0"/>
      <w:divBdr>
        <w:top w:val="none" w:sz="0" w:space="0" w:color="auto"/>
        <w:left w:val="none" w:sz="0" w:space="0" w:color="auto"/>
        <w:bottom w:val="none" w:sz="0" w:space="0" w:color="auto"/>
        <w:right w:val="none" w:sz="0" w:space="0" w:color="auto"/>
      </w:divBdr>
    </w:div>
    <w:div w:id="1828814388">
      <w:bodyDiv w:val="1"/>
      <w:marLeft w:val="0"/>
      <w:marRight w:val="0"/>
      <w:marTop w:val="0"/>
      <w:marBottom w:val="0"/>
      <w:divBdr>
        <w:top w:val="none" w:sz="0" w:space="0" w:color="auto"/>
        <w:left w:val="none" w:sz="0" w:space="0" w:color="auto"/>
        <w:bottom w:val="none" w:sz="0" w:space="0" w:color="auto"/>
        <w:right w:val="none" w:sz="0" w:space="0" w:color="auto"/>
      </w:divBdr>
    </w:div>
    <w:div w:id="1829132932">
      <w:bodyDiv w:val="1"/>
      <w:marLeft w:val="0"/>
      <w:marRight w:val="0"/>
      <w:marTop w:val="0"/>
      <w:marBottom w:val="0"/>
      <w:divBdr>
        <w:top w:val="none" w:sz="0" w:space="0" w:color="auto"/>
        <w:left w:val="none" w:sz="0" w:space="0" w:color="auto"/>
        <w:bottom w:val="none" w:sz="0" w:space="0" w:color="auto"/>
        <w:right w:val="none" w:sz="0" w:space="0" w:color="auto"/>
      </w:divBdr>
    </w:div>
    <w:div w:id="1840847758">
      <w:bodyDiv w:val="1"/>
      <w:marLeft w:val="0"/>
      <w:marRight w:val="0"/>
      <w:marTop w:val="0"/>
      <w:marBottom w:val="0"/>
      <w:divBdr>
        <w:top w:val="none" w:sz="0" w:space="0" w:color="auto"/>
        <w:left w:val="none" w:sz="0" w:space="0" w:color="auto"/>
        <w:bottom w:val="none" w:sz="0" w:space="0" w:color="auto"/>
        <w:right w:val="none" w:sz="0" w:space="0" w:color="auto"/>
      </w:divBdr>
    </w:div>
    <w:div w:id="1842891011">
      <w:bodyDiv w:val="1"/>
      <w:marLeft w:val="0"/>
      <w:marRight w:val="0"/>
      <w:marTop w:val="0"/>
      <w:marBottom w:val="0"/>
      <w:divBdr>
        <w:top w:val="none" w:sz="0" w:space="0" w:color="auto"/>
        <w:left w:val="none" w:sz="0" w:space="0" w:color="auto"/>
        <w:bottom w:val="none" w:sz="0" w:space="0" w:color="auto"/>
        <w:right w:val="none" w:sz="0" w:space="0" w:color="auto"/>
      </w:divBdr>
    </w:div>
    <w:div w:id="1857424076">
      <w:bodyDiv w:val="1"/>
      <w:marLeft w:val="0"/>
      <w:marRight w:val="0"/>
      <w:marTop w:val="0"/>
      <w:marBottom w:val="0"/>
      <w:divBdr>
        <w:top w:val="none" w:sz="0" w:space="0" w:color="auto"/>
        <w:left w:val="none" w:sz="0" w:space="0" w:color="auto"/>
        <w:bottom w:val="none" w:sz="0" w:space="0" w:color="auto"/>
        <w:right w:val="none" w:sz="0" w:space="0" w:color="auto"/>
      </w:divBdr>
    </w:div>
    <w:div w:id="1859198646">
      <w:bodyDiv w:val="1"/>
      <w:marLeft w:val="0"/>
      <w:marRight w:val="0"/>
      <w:marTop w:val="0"/>
      <w:marBottom w:val="0"/>
      <w:divBdr>
        <w:top w:val="none" w:sz="0" w:space="0" w:color="auto"/>
        <w:left w:val="none" w:sz="0" w:space="0" w:color="auto"/>
        <w:bottom w:val="none" w:sz="0" w:space="0" w:color="auto"/>
        <w:right w:val="none" w:sz="0" w:space="0" w:color="auto"/>
      </w:divBdr>
    </w:div>
    <w:div w:id="1862812723">
      <w:bodyDiv w:val="1"/>
      <w:marLeft w:val="0"/>
      <w:marRight w:val="0"/>
      <w:marTop w:val="0"/>
      <w:marBottom w:val="0"/>
      <w:divBdr>
        <w:top w:val="none" w:sz="0" w:space="0" w:color="auto"/>
        <w:left w:val="none" w:sz="0" w:space="0" w:color="auto"/>
        <w:bottom w:val="none" w:sz="0" w:space="0" w:color="auto"/>
        <w:right w:val="none" w:sz="0" w:space="0" w:color="auto"/>
      </w:divBdr>
    </w:div>
    <w:div w:id="1875774529">
      <w:bodyDiv w:val="1"/>
      <w:marLeft w:val="0"/>
      <w:marRight w:val="0"/>
      <w:marTop w:val="0"/>
      <w:marBottom w:val="0"/>
      <w:divBdr>
        <w:top w:val="none" w:sz="0" w:space="0" w:color="auto"/>
        <w:left w:val="none" w:sz="0" w:space="0" w:color="auto"/>
        <w:bottom w:val="none" w:sz="0" w:space="0" w:color="auto"/>
        <w:right w:val="none" w:sz="0" w:space="0" w:color="auto"/>
      </w:divBdr>
    </w:div>
    <w:div w:id="1876458995">
      <w:bodyDiv w:val="1"/>
      <w:marLeft w:val="0"/>
      <w:marRight w:val="0"/>
      <w:marTop w:val="0"/>
      <w:marBottom w:val="0"/>
      <w:divBdr>
        <w:top w:val="none" w:sz="0" w:space="0" w:color="auto"/>
        <w:left w:val="none" w:sz="0" w:space="0" w:color="auto"/>
        <w:bottom w:val="none" w:sz="0" w:space="0" w:color="auto"/>
        <w:right w:val="none" w:sz="0" w:space="0" w:color="auto"/>
      </w:divBdr>
    </w:div>
    <w:div w:id="1877503136">
      <w:bodyDiv w:val="1"/>
      <w:marLeft w:val="0"/>
      <w:marRight w:val="0"/>
      <w:marTop w:val="0"/>
      <w:marBottom w:val="0"/>
      <w:divBdr>
        <w:top w:val="none" w:sz="0" w:space="0" w:color="auto"/>
        <w:left w:val="none" w:sz="0" w:space="0" w:color="auto"/>
        <w:bottom w:val="none" w:sz="0" w:space="0" w:color="auto"/>
        <w:right w:val="none" w:sz="0" w:space="0" w:color="auto"/>
      </w:divBdr>
    </w:div>
    <w:div w:id="1882015367">
      <w:bodyDiv w:val="1"/>
      <w:marLeft w:val="0"/>
      <w:marRight w:val="0"/>
      <w:marTop w:val="0"/>
      <w:marBottom w:val="0"/>
      <w:divBdr>
        <w:top w:val="none" w:sz="0" w:space="0" w:color="auto"/>
        <w:left w:val="none" w:sz="0" w:space="0" w:color="auto"/>
        <w:bottom w:val="none" w:sz="0" w:space="0" w:color="auto"/>
        <w:right w:val="none" w:sz="0" w:space="0" w:color="auto"/>
      </w:divBdr>
    </w:div>
    <w:div w:id="1882087318">
      <w:bodyDiv w:val="1"/>
      <w:marLeft w:val="0"/>
      <w:marRight w:val="0"/>
      <w:marTop w:val="0"/>
      <w:marBottom w:val="0"/>
      <w:divBdr>
        <w:top w:val="none" w:sz="0" w:space="0" w:color="auto"/>
        <w:left w:val="none" w:sz="0" w:space="0" w:color="auto"/>
        <w:bottom w:val="none" w:sz="0" w:space="0" w:color="auto"/>
        <w:right w:val="none" w:sz="0" w:space="0" w:color="auto"/>
      </w:divBdr>
    </w:div>
    <w:div w:id="1882277705">
      <w:bodyDiv w:val="1"/>
      <w:marLeft w:val="0"/>
      <w:marRight w:val="0"/>
      <w:marTop w:val="0"/>
      <w:marBottom w:val="0"/>
      <w:divBdr>
        <w:top w:val="none" w:sz="0" w:space="0" w:color="auto"/>
        <w:left w:val="none" w:sz="0" w:space="0" w:color="auto"/>
        <w:bottom w:val="none" w:sz="0" w:space="0" w:color="auto"/>
        <w:right w:val="none" w:sz="0" w:space="0" w:color="auto"/>
      </w:divBdr>
    </w:div>
    <w:div w:id="1885100689">
      <w:bodyDiv w:val="1"/>
      <w:marLeft w:val="0"/>
      <w:marRight w:val="0"/>
      <w:marTop w:val="0"/>
      <w:marBottom w:val="0"/>
      <w:divBdr>
        <w:top w:val="none" w:sz="0" w:space="0" w:color="auto"/>
        <w:left w:val="none" w:sz="0" w:space="0" w:color="auto"/>
        <w:bottom w:val="none" w:sz="0" w:space="0" w:color="auto"/>
        <w:right w:val="none" w:sz="0" w:space="0" w:color="auto"/>
      </w:divBdr>
    </w:div>
    <w:div w:id="1889566475">
      <w:bodyDiv w:val="1"/>
      <w:marLeft w:val="0"/>
      <w:marRight w:val="0"/>
      <w:marTop w:val="0"/>
      <w:marBottom w:val="0"/>
      <w:divBdr>
        <w:top w:val="none" w:sz="0" w:space="0" w:color="auto"/>
        <w:left w:val="none" w:sz="0" w:space="0" w:color="auto"/>
        <w:bottom w:val="none" w:sz="0" w:space="0" w:color="auto"/>
        <w:right w:val="none" w:sz="0" w:space="0" w:color="auto"/>
      </w:divBdr>
    </w:div>
    <w:div w:id="1896041298">
      <w:bodyDiv w:val="1"/>
      <w:marLeft w:val="0"/>
      <w:marRight w:val="0"/>
      <w:marTop w:val="0"/>
      <w:marBottom w:val="0"/>
      <w:divBdr>
        <w:top w:val="none" w:sz="0" w:space="0" w:color="auto"/>
        <w:left w:val="none" w:sz="0" w:space="0" w:color="auto"/>
        <w:bottom w:val="none" w:sz="0" w:space="0" w:color="auto"/>
        <w:right w:val="none" w:sz="0" w:space="0" w:color="auto"/>
      </w:divBdr>
    </w:div>
    <w:div w:id="1898660483">
      <w:bodyDiv w:val="1"/>
      <w:marLeft w:val="0"/>
      <w:marRight w:val="0"/>
      <w:marTop w:val="0"/>
      <w:marBottom w:val="0"/>
      <w:divBdr>
        <w:top w:val="none" w:sz="0" w:space="0" w:color="auto"/>
        <w:left w:val="none" w:sz="0" w:space="0" w:color="auto"/>
        <w:bottom w:val="none" w:sz="0" w:space="0" w:color="auto"/>
        <w:right w:val="none" w:sz="0" w:space="0" w:color="auto"/>
      </w:divBdr>
    </w:div>
    <w:div w:id="1901138223">
      <w:bodyDiv w:val="1"/>
      <w:marLeft w:val="0"/>
      <w:marRight w:val="0"/>
      <w:marTop w:val="0"/>
      <w:marBottom w:val="0"/>
      <w:divBdr>
        <w:top w:val="none" w:sz="0" w:space="0" w:color="auto"/>
        <w:left w:val="none" w:sz="0" w:space="0" w:color="auto"/>
        <w:bottom w:val="none" w:sz="0" w:space="0" w:color="auto"/>
        <w:right w:val="none" w:sz="0" w:space="0" w:color="auto"/>
      </w:divBdr>
    </w:div>
    <w:div w:id="1904559782">
      <w:bodyDiv w:val="1"/>
      <w:marLeft w:val="0"/>
      <w:marRight w:val="0"/>
      <w:marTop w:val="0"/>
      <w:marBottom w:val="0"/>
      <w:divBdr>
        <w:top w:val="none" w:sz="0" w:space="0" w:color="auto"/>
        <w:left w:val="none" w:sz="0" w:space="0" w:color="auto"/>
        <w:bottom w:val="none" w:sz="0" w:space="0" w:color="auto"/>
        <w:right w:val="none" w:sz="0" w:space="0" w:color="auto"/>
      </w:divBdr>
    </w:div>
    <w:div w:id="1905330399">
      <w:bodyDiv w:val="1"/>
      <w:marLeft w:val="0"/>
      <w:marRight w:val="0"/>
      <w:marTop w:val="0"/>
      <w:marBottom w:val="0"/>
      <w:divBdr>
        <w:top w:val="none" w:sz="0" w:space="0" w:color="auto"/>
        <w:left w:val="none" w:sz="0" w:space="0" w:color="auto"/>
        <w:bottom w:val="none" w:sz="0" w:space="0" w:color="auto"/>
        <w:right w:val="none" w:sz="0" w:space="0" w:color="auto"/>
      </w:divBdr>
    </w:div>
    <w:div w:id="1906992118">
      <w:bodyDiv w:val="1"/>
      <w:marLeft w:val="0"/>
      <w:marRight w:val="0"/>
      <w:marTop w:val="0"/>
      <w:marBottom w:val="0"/>
      <w:divBdr>
        <w:top w:val="none" w:sz="0" w:space="0" w:color="auto"/>
        <w:left w:val="none" w:sz="0" w:space="0" w:color="auto"/>
        <w:bottom w:val="none" w:sz="0" w:space="0" w:color="auto"/>
        <w:right w:val="none" w:sz="0" w:space="0" w:color="auto"/>
      </w:divBdr>
    </w:div>
    <w:div w:id="1907301634">
      <w:bodyDiv w:val="1"/>
      <w:marLeft w:val="0"/>
      <w:marRight w:val="0"/>
      <w:marTop w:val="0"/>
      <w:marBottom w:val="0"/>
      <w:divBdr>
        <w:top w:val="none" w:sz="0" w:space="0" w:color="auto"/>
        <w:left w:val="none" w:sz="0" w:space="0" w:color="auto"/>
        <w:bottom w:val="none" w:sz="0" w:space="0" w:color="auto"/>
        <w:right w:val="none" w:sz="0" w:space="0" w:color="auto"/>
      </w:divBdr>
    </w:div>
    <w:div w:id="1909801333">
      <w:bodyDiv w:val="1"/>
      <w:marLeft w:val="0"/>
      <w:marRight w:val="0"/>
      <w:marTop w:val="0"/>
      <w:marBottom w:val="0"/>
      <w:divBdr>
        <w:top w:val="none" w:sz="0" w:space="0" w:color="auto"/>
        <w:left w:val="none" w:sz="0" w:space="0" w:color="auto"/>
        <w:bottom w:val="none" w:sz="0" w:space="0" w:color="auto"/>
        <w:right w:val="none" w:sz="0" w:space="0" w:color="auto"/>
      </w:divBdr>
    </w:div>
    <w:div w:id="1911042240">
      <w:bodyDiv w:val="1"/>
      <w:marLeft w:val="0"/>
      <w:marRight w:val="0"/>
      <w:marTop w:val="0"/>
      <w:marBottom w:val="0"/>
      <w:divBdr>
        <w:top w:val="none" w:sz="0" w:space="0" w:color="auto"/>
        <w:left w:val="none" w:sz="0" w:space="0" w:color="auto"/>
        <w:bottom w:val="none" w:sz="0" w:space="0" w:color="auto"/>
        <w:right w:val="none" w:sz="0" w:space="0" w:color="auto"/>
      </w:divBdr>
    </w:div>
    <w:div w:id="1919360837">
      <w:bodyDiv w:val="1"/>
      <w:marLeft w:val="0"/>
      <w:marRight w:val="0"/>
      <w:marTop w:val="0"/>
      <w:marBottom w:val="0"/>
      <w:divBdr>
        <w:top w:val="none" w:sz="0" w:space="0" w:color="auto"/>
        <w:left w:val="none" w:sz="0" w:space="0" w:color="auto"/>
        <w:bottom w:val="none" w:sz="0" w:space="0" w:color="auto"/>
        <w:right w:val="none" w:sz="0" w:space="0" w:color="auto"/>
      </w:divBdr>
    </w:div>
    <w:div w:id="1920483920">
      <w:bodyDiv w:val="1"/>
      <w:marLeft w:val="0"/>
      <w:marRight w:val="0"/>
      <w:marTop w:val="0"/>
      <w:marBottom w:val="0"/>
      <w:divBdr>
        <w:top w:val="none" w:sz="0" w:space="0" w:color="auto"/>
        <w:left w:val="none" w:sz="0" w:space="0" w:color="auto"/>
        <w:bottom w:val="none" w:sz="0" w:space="0" w:color="auto"/>
        <w:right w:val="none" w:sz="0" w:space="0" w:color="auto"/>
      </w:divBdr>
    </w:div>
    <w:div w:id="1921789627">
      <w:bodyDiv w:val="1"/>
      <w:marLeft w:val="0"/>
      <w:marRight w:val="0"/>
      <w:marTop w:val="0"/>
      <w:marBottom w:val="0"/>
      <w:divBdr>
        <w:top w:val="none" w:sz="0" w:space="0" w:color="auto"/>
        <w:left w:val="none" w:sz="0" w:space="0" w:color="auto"/>
        <w:bottom w:val="none" w:sz="0" w:space="0" w:color="auto"/>
        <w:right w:val="none" w:sz="0" w:space="0" w:color="auto"/>
      </w:divBdr>
    </w:div>
    <w:div w:id="1923682046">
      <w:bodyDiv w:val="1"/>
      <w:marLeft w:val="0"/>
      <w:marRight w:val="0"/>
      <w:marTop w:val="0"/>
      <w:marBottom w:val="0"/>
      <w:divBdr>
        <w:top w:val="none" w:sz="0" w:space="0" w:color="auto"/>
        <w:left w:val="none" w:sz="0" w:space="0" w:color="auto"/>
        <w:bottom w:val="none" w:sz="0" w:space="0" w:color="auto"/>
        <w:right w:val="none" w:sz="0" w:space="0" w:color="auto"/>
      </w:divBdr>
    </w:div>
    <w:div w:id="1925606209">
      <w:bodyDiv w:val="1"/>
      <w:marLeft w:val="0"/>
      <w:marRight w:val="0"/>
      <w:marTop w:val="0"/>
      <w:marBottom w:val="0"/>
      <w:divBdr>
        <w:top w:val="none" w:sz="0" w:space="0" w:color="auto"/>
        <w:left w:val="none" w:sz="0" w:space="0" w:color="auto"/>
        <w:bottom w:val="none" w:sz="0" w:space="0" w:color="auto"/>
        <w:right w:val="none" w:sz="0" w:space="0" w:color="auto"/>
      </w:divBdr>
    </w:div>
    <w:div w:id="1927227998">
      <w:bodyDiv w:val="1"/>
      <w:marLeft w:val="0"/>
      <w:marRight w:val="0"/>
      <w:marTop w:val="0"/>
      <w:marBottom w:val="0"/>
      <w:divBdr>
        <w:top w:val="none" w:sz="0" w:space="0" w:color="auto"/>
        <w:left w:val="none" w:sz="0" w:space="0" w:color="auto"/>
        <w:bottom w:val="none" w:sz="0" w:space="0" w:color="auto"/>
        <w:right w:val="none" w:sz="0" w:space="0" w:color="auto"/>
      </w:divBdr>
    </w:div>
    <w:div w:id="1931892531">
      <w:bodyDiv w:val="1"/>
      <w:marLeft w:val="0"/>
      <w:marRight w:val="0"/>
      <w:marTop w:val="0"/>
      <w:marBottom w:val="0"/>
      <w:divBdr>
        <w:top w:val="none" w:sz="0" w:space="0" w:color="auto"/>
        <w:left w:val="none" w:sz="0" w:space="0" w:color="auto"/>
        <w:bottom w:val="none" w:sz="0" w:space="0" w:color="auto"/>
        <w:right w:val="none" w:sz="0" w:space="0" w:color="auto"/>
      </w:divBdr>
    </w:div>
    <w:div w:id="1935164320">
      <w:bodyDiv w:val="1"/>
      <w:marLeft w:val="0"/>
      <w:marRight w:val="0"/>
      <w:marTop w:val="0"/>
      <w:marBottom w:val="0"/>
      <w:divBdr>
        <w:top w:val="none" w:sz="0" w:space="0" w:color="auto"/>
        <w:left w:val="none" w:sz="0" w:space="0" w:color="auto"/>
        <w:bottom w:val="none" w:sz="0" w:space="0" w:color="auto"/>
        <w:right w:val="none" w:sz="0" w:space="0" w:color="auto"/>
      </w:divBdr>
    </w:div>
    <w:div w:id="1935821725">
      <w:bodyDiv w:val="1"/>
      <w:marLeft w:val="0"/>
      <w:marRight w:val="0"/>
      <w:marTop w:val="0"/>
      <w:marBottom w:val="0"/>
      <w:divBdr>
        <w:top w:val="none" w:sz="0" w:space="0" w:color="auto"/>
        <w:left w:val="none" w:sz="0" w:space="0" w:color="auto"/>
        <w:bottom w:val="none" w:sz="0" w:space="0" w:color="auto"/>
        <w:right w:val="none" w:sz="0" w:space="0" w:color="auto"/>
      </w:divBdr>
    </w:div>
    <w:div w:id="1935942874">
      <w:bodyDiv w:val="1"/>
      <w:marLeft w:val="0"/>
      <w:marRight w:val="0"/>
      <w:marTop w:val="0"/>
      <w:marBottom w:val="0"/>
      <w:divBdr>
        <w:top w:val="none" w:sz="0" w:space="0" w:color="auto"/>
        <w:left w:val="none" w:sz="0" w:space="0" w:color="auto"/>
        <w:bottom w:val="none" w:sz="0" w:space="0" w:color="auto"/>
        <w:right w:val="none" w:sz="0" w:space="0" w:color="auto"/>
      </w:divBdr>
    </w:div>
    <w:div w:id="1938171648">
      <w:bodyDiv w:val="1"/>
      <w:marLeft w:val="0"/>
      <w:marRight w:val="0"/>
      <w:marTop w:val="0"/>
      <w:marBottom w:val="0"/>
      <w:divBdr>
        <w:top w:val="none" w:sz="0" w:space="0" w:color="auto"/>
        <w:left w:val="none" w:sz="0" w:space="0" w:color="auto"/>
        <w:bottom w:val="none" w:sz="0" w:space="0" w:color="auto"/>
        <w:right w:val="none" w:sz="0" w:space="0" w:color="auto"/>
      </w:divBdr>
    </w:div>
    <w:div w:id="1945649286">
      <w:bodyDiv w:val="1"/>
      <w:marLeft w:val="0"/>
      <w:marRight w:val="0"/>
      <w:marTop w:val="0"/>
      <w:marBottom w:val="0"/>
      <w:divBdr>
        <w:top w:val="none" w:sz="0" w:space="0" w:color="auto"/>
        <w:left w:val="none" w:sz="0" w:space="0" w:color="auto"/>
        <w:bottom w:val="none" w:sz="0" w:space="0" w:color="auto"/>
        <w:right w:val="none" w:sz="0" w:space="0" w:color="auto"/>
      </w:divBdr>
    </w:div>
    <w:div w:id="1946378082">
      <w:bodyDiv w:val="1"/>
      <w:marLeft w:val="0"/>
      <w:marRight w:val="0"/>
      <w:marTop w:val="0"/>
      <w:marBottom w:val="0"/>
      <w:divBdr>
        <w:top w:val="none" w:sz="0" w:space="0" w:color="auto"/>
        <w:left w:val="none" w:sz="0" w:space="0" w:color="auto"/>
        <w:bottom w:val="none" w:sz="0" w:space="0" w:color="auto"/>
        <w:right w:val="none" w:sz="0" w:space="0" w:color="auto"/>
      </w:divBdr>
    </w:div>
    <w:div w:id="1948272481">
      <w:bodyDiv w:val="1"/>
      <w:marLeft w:val="0"/>
      <w:marRight w:val="0"/>
      <w:marTop w:val="0"/>
      <w:marBottom w:val="0"/>
      <w:divBdr>
        <w:top w:val="none" w:sz="0" w:space="0" w:color="auto"/>
        <w:left w:val="none" w:sz="0" w:space="0" w:color="auto"/>
        <w:bottom w:val="none" w:sz="0" w:space="0" w:color="auto"/>
        <w:right w:val="none" w:sz="0" w:space="0" w:color="auto"/>
      </w:divBdr>
    </w:div>
    <w:div w:id="1950383363">
      <w:bodyDiv w:val="1"/>
      <w:marLeft w:val="0"/>
      <w:marRight w:val="0"/>
      <w:marTop w:val="0"/>
      <w:marBottom w:val="0"/>
      <w:divBdr>
        <w:top w:val="none" w:sz="0" w:space="0" w:color="auto"/>
        <w:left w:val="none" w:sz="0" w:space="0" w:color="auto"/>
        <w:bottom w:val="none" w:sz="0" w:space="0" w:color="auto"/>
        <w:right w:val="none" w:sz="0" w:space="0" w:color="auto"/>
      </w:divBdr>
    </w:div>
    <w:div w:id="1967618700">
      <w:bodyDiv w:val="1"/>
      <w:marLeft w:val="0"/>
      <w:marRight w:val="0"/>
      <w:marTop w:val="0"/>
      <w:marBottom w:val="0"/>
      <w:divBdr>
        <w:top w:val="none" w:sz="0" w:space="0" w:color="auto"/>
        <w:left w:val="none" w:sz="0" w:space="0" w:color="auto"/>
        <w:bottom w:val="none" w:sz="0" w:space="0" w:color="auto"/>
        <w:right w:val="none" w:sz="0" w:space="0" w:color="auto"/>
      </w:divBdr>
    </w:div>
    <w:div w:id="1967929054">
      <w:bodyDiv w:val="1"/>
      <w:marLeft w:val="0"/>
      <w:marRight w:val="0"/>
      <w:marTop w:val="0"/>
      <w:marBottom w:val="0"/>
      <w:divBdr>
        <w:top w:val="none" w:sz="0" w:space="0" w:color="auto"/>
        <w:left w:val="none" w:sz="0" w:space="0" w:color="auto"/>
        <w:bottom w:val="none" w:sz="0" w:space="0" w:color="auto"/>
        <w:right w:val="none" w:sz="0" w:space="0" w:color="auto"/>
      </w:divBdr>
    </w:div>
    <w:div w:id="1969628779">
      <w:bodyDiv w:val="1"/>
      <w:marLeft w:val="0"/>
      <w:marRight w:val="0"/>
      <w:marTop w:val="0"/>
      <w:marBottom w:val="0"/>
      <w:divBdr>
        <w:top w:val="none" w:sz="0" w:space="0" w:color="auto"/>
        <w:left w:val="none" w:sz="0" w:space="0" w:color="auto"/>
        <w:bottom w:val="none" w:sz="0" w:space="0" w:color="auto"/>
        <w:right w:val="none" w:sz="0" w:space="0" w:color="auto"/>
      </w:divBdr>
    </w:div>
    <w:div w:id="1972782263">
      <w:bodyDiv w:val="1"/>
      <w:marLeft w:val="0"/>
      <w:marRight w:val="0"/>
      <w:marTop w:val="0"/>
      <w:marBottom w:val="0"/>
      <w:divBdr>
        <w:top w:val="none" w:sz="0" w:space="0" w:color="auto"/>
        <w:left w:val="none" w:sz="0" w:space="0" w:color="auto"/>
        <w:bottom w:val="none" w:sz="0" w:space="0" w:color="auto"/>
        <w:right w:val="none" w:sz="0" w:space="0" w:color="auto"/>
      </w:divBdr>
    </w:div>
    <w:div w:id="1973057031">
      <w:bodyDiv w:val="1"/>
      <w:marLeft w:val="0"/>
      <w:marRight w:val="0"/>
      <w:marTop w:val="0"/>
      <w:marBottom w:val="0"/>
      <w:divBdr>
        <w:top w:val="none" w:sz="0" w:space="0" w:color="auto"/>
        <w:left w:val="none" w:sz="0" w:space="0" w:color="auto"/>
        <w:bottom w:val="none" w:sz="0" w:space="0" w:color="auto"/>
        <w:right w:val="none" w:sz="0" w:space="0" w:color="auto"/>
      </w:divBdr>
    </w:div>
    <w:div w:id="1975327858">
      <w:bodyDiv w:val="1"/>
      <w:marLeft w:val="0"/>
      <w:marRight w:val="0"/>
      <w:marTop w:val="0"/>
      <w:marBottom w:val="0"/>
      <w:divBdr>
        <w:top w:val="none" w:sz="0" w:space="0" w:color="auto"/>
        <w:left w:val="none" w:sz="0" w:space="0" w:color="auto"/>
        <w:bottom w:val="none" w:sz="0" w:space="0" w:color="auto"/>
        <w:right w:val="none" w:sz="0" w:space="0" w:color="auto"/>
      </w:divBdr>
    </w:div>
    <w:div w:id="1978223750">
      <w:bodyDiv w:val="1"/>
      <w:marLeft w:val="0"/>
      <w:marRight w:val="0"/>
      <w:marTop w:val="0"/>
      <w:marBottom w:val="0"/>
      <w:divBdr>
        <w:top w:val="none" w:sz="0" w:space="0" w:color="auto"/>
        <w:left w:val="none" w:sz="0" w:space="0" w:color="auto"/>
        <w:bottom w:val="none" w:sz="0" w:space="0" w:color="auto"/>
        <w:right w:val="none" w:sz="0" w:space="0" w:color="auto"/>
      </w:divBdr>
    </w:div>
    <w:div w:id="1980843301">
      <w:bodyDiv w:val="1"/>
      <w:marLeft w:val="0"/>
      <w:marRight w:val="0"/>
      <w:marTop w:val="0"/>
      <w:marBottom w:val="0"/>
      <w:divBdr>
        <w:top w:val="none" w:sz="0" w:space="0" w:color="auto"/>
        <w:left w:val="none" w:sz="0" w:space="0" w:color="auto"/>
        <w:bottom w:val="none" w:sz="0" w:space="0" w:color="auto"/>
        <w:right w:val="none" w:sz="0" w:space="0" w:color="auto"/>
      </w:divBdr>
    </w:div>
    <w:div w:id="1983388018">
      <w:bodyDiv w:val="1"/>
      <w:marLeft w:val="0"/>
      <w:marRight w:val="0"/>
      <w:marTop w:val="0"/>
      <w:marBottom w:val="0"/>
      <w:divBdr>
        <w:top w:val="none" w:sz="0" w:space="0" w:color="auto"/>
        <w:left w:val="none" w:sz="0" w:space="0" w:color="auto"/>
        <w:bottom w:val="none" w:sz="0" w:space="0" w:color="auto"/>
        <w:right w:val="none" w:sz="0" w:space="0" w:color="auto"/>
      </w:divBdr>
    </w:div>
    <w:div w:id="1992905595">
      <w:bodyDiv w:val="1"/>
      <w:marLeft w:val="0"/>
      <w:marRight w:val="0"/>
      <w:marTop w:val="0"/>
      <w:marBottom w:val="0"/>
      <w:divBdr>
        <w:top w:val="none" w:sz="0" w:space="0" w:color="auto"/>
        <w:left w:val="none" w:sz="0" w:space="0" w:color="auto"/>
        <w:bottom w:val="none" w:sz="0" w:space="0" w:color="auto"/>
        <w:right w:val="none" w:sz="0" w:space="0" w:color="auto"/>
      </w:divBdr>
    </w:div>
    <w:div w:id="1994602412">
      <w:bodyDiv w:val="1"/>
      <w:marLeft w:val="0"/>
      <w:marRight w:val="0"/>
      <w:marTop w:val="0"/>
      <w:marBottom w:val="0"/>
      <w:divBdr>
        <w:top w:val="none" w:sz="0" w:space="0" w:color="auto"/>
        <w:left w:val="none" w:sz="0" w:space="0" w:color="auto"/>
        <w:bottom w:val="none" w:sz="0" w:space="0" w:color="auto"/>
        <w:right w:val="none" w:sz="0" w:space="0" w:color="auto"/>
      </w:divBdr>
    </w:div>
    <w:div w:id="1995067707">
      <w:bodyDiv w:val="1"/>
      <w:marLeft w:val="0"/>
      <w:marRight w:val="0"/>
      <w:marTop w:val="0"/>
      <w:marBottom w:val="0"/>
      <w:divBdr>
        <w:top w:val="none" w:sz="0" w:space="0" w:color="auto"/>
        <w:left w:val="none" w:sz="0" w:space="0" w:color="auto"/>
        <w:bottom w:val="none" w:sz="0" w:space="0" w:color="auto"/>
        <w:right w:val="none" w:sz="0" w:space="0" w:color="auto"/>
      </w:divBdr>
    </w:div>
    <w:div w:id="1995916083">
      <w:bodyDiv w:val="1"/>
      <w:marLeft w:val="0"/>
      <w:marRight w:val="0"/>
      <w:marTop w:val="0"/>
      <w:marBottom w:val="0"/>
      <w:divBdr>
        <w:top w:val="none" w:sz="0" w:space="0" w:color="auto"/>
        <w:left w:val="none" w:sz="0" w:space="0" w:color="auto"/>
        <w:bottom w:val="none" w:sz="0" w:space="0" w:color="auto"/>
        <w:right w:val="none" w:sz="0" w:space="0" w:color="auto"/>
      </w:divBdr>
    </w:div>
    <w:div w:id="1996687335">
      <w:bodyDiv w:val="1"/>
      <w:marLeft w:val="0"/>
      <w:marRight w:val="0"/>
      <w:marTop w:val="0"/>
      <w:marBottom w:val="0"/>
      <w:divBdr>
        <w:top w:val="none" w:sz="0" w:space="0" w:color="auto"/>
        <w:left w:val="none" w:sz="0" w:space="0" w:color="auto"/>
        <w:bottom w:val="none" w:sz="0" w:space="0" w:color="auto"/>
        <w:right w:val="none" w:sz="0" w:space="0" w:color="auto"/>
      </w:divBdr>
    </w:div>
    <w:div w:id="2009938005">
      <w:bodyDiv w:val="1"/>
      <w:marLeft w:val="0"/>
      <w:marRight w:val="0"/>
      <w:marTop w:val="0"/>
      <w:marBottom w:val="0"/>
      <w:divBdr>
        <w:top w:val="none" w:sz="0" w:space="0" w:color="auto"/>
        <w:left w:val="none" w:sz="0" w:space="0" w:color="auto"/>
        <w:bottom w:val="none" w:sz="0" w:space="0" w:color="auto"/>
        <w:right w:val="none" w:sz="0" w:space="0" w:color="auto"/>
      </w:divBdr>
    </w:div>
    <w:div w:id="2010669275">
      <w:bodyDiv w:val="1"/>
      <w:marLeft w:val="0"/>
      <w:marRight w:val="0"/>
      <w:marTop w:val="0"/>
      <w:marBottom w:val="0"/>
      <w:divBdr>
        <w:top w:val="none" w:sz="0" w:space="0" w:color="auto"/>
        <w:left w:val="none" w:sz="0" w:space="0" w:color="auto"/>
        <w:bottom w:val="none" w:sz="0" w:space="0" w:color="auto"/>
        <w:right w:val="none" w:sz="0" w:space="0" w:color="auto"/>
      </w:divBdr>
    </w:div>
    <w:div w:id="2014917833">
      <w:bodyDiv w:val="1"/>
      <w:marLeft w:val="0"/>
      <w:marRight w:val="0"/>
      <w:marTop w:val="0"/>
      <w:marBottom w:val="0"/>
      <w:divBdr>
        <w:top w:val="none" w:sz="0" w:space="0" w:color="auto"/>
        <w:left w:val="none" w:sz="0" w:space="0" w:color="auto"/>
        <w:bottom w:val="none" w:sz="0" w:space="0" w:color="auto"/>
        <w:right w:val="none" w:sz="0" w:space="0" w:color="auto"/>
      </w:divBdr>
    </w:div>
    <w:div w:id="2019841785">
      <w:bodyDiv w:val="1"/>
      <w:marLeft w:val="0"/>
      <w:marRight w:val="0"/>
      <w:marTop w:val="0"/>
      <w:marBottom w:val="0"/>
      <w:divBdr>
        <w:top w:val="none" w:sz="0" w:space="0" w:color="auto"/>
        <w:left w:val="none" w:sz="0" w:space="0" w:color="auto"/>
        <w:bottom w:val="none" w:sz="0" w:space="0" w:color="auto"/>
        <w:right w:val="none" w:sz="0" w:space="0" w:color="auto"/>
      </w:divBdr>
    </w:div>
    <w:div w:id="2032295812">
      <w:bodyDiv w:val="1"/>
      <w:marLeft w:val="0"/>
      <w:marRight w:val="0"/>
      <w:marTop w:val="0"/>
      <w:marBottom w:val="0"/>
      <w:divBdr>
        <w:top w:val="none" w:sz="0" w:space="0" w:color="auto"/>
        <w:left w:val="none" w:sz="0" w:space="0" w:color="auto"/>
        <w:bottom w:val="none" w:sz="0" w:space="0" w:color="auto"/>
        <w:right w:val="none" w:sz="0" w:space="0" w:color="auto"/>
      </w:divBdr>
    </w:div>
    <w:div w:id="2032609620">
      <w:bodyDiv w:val="1"/>
      <w:marLeft w:val="0"/>
      <w:marRight w:val="0"/>
      <w:marTop w:val="0"/>
      <w:marBottom w:val="0"/>
      <w:divBdr>
        <w:top w:val="none" w:sz="0" w:space="0" w:color="auto"/>
        <w:left w:val="none" w:sz="0" w:space="0" w:color="auto"/>
        <w:bottom w:val="none" w:sz="0" w:space="0" w:color="auto"/>
        <w:right w:val="none" w:sz="0" w:space="0" w:color="auto"/>
      </w:divBdr>
    </w:div>
    <w:div w:id="2038659049">
      <w:bodyDiv w:val="1"/>
      <w:marLeft w:val="0"/>
      <w:marRight w:val="0"/>
      <w:marTop w:val="0"/>
      <w:marBottom w:val="0"/>
      <w:divBdr>
        <w:top w:val="none" w:sz="0" w:space="0" w:color="auto"/>
        <w:left w:val="none" w:sz="0" w:space="0" w:color="auto"/>
        <w:bottom w:val="none" w:sz="0" w:space="0" w:color="auto"/>
        <w:right w:val="none" w:sz="0" w:space="0" w:color="auto"/>
      </w:divBdr>
    </w:div>
    <w:div w:id="2042824670">
      <w:bodyDiv w:val="1"/>
      <w:marLeft w:val="0"/>
      <w:marRight w:val="0"/>
      <w:marTop w:val="0"/>
      <w:marBottom w:val="0"/>
      <w:divBdr>
        <w:top w:val="none" w:sz="0" w:space="0" w:color="auto"/>
        <w:left w:val="none" w:sz="0" w:space="0" w:color="auto"/>
        <w:bottom w:val="none" w:sz="0" w:space="0" w:color="auto"/>
        <w:right w:val="none" w:sz="0" w:space="0" w:color="auto"/>
      </w:divBdr>
    </w:div>
    <w:div w:id="2044934782">
      <w:bodyDiv w:val="1"/>
      <w:marLeft w:val="0"/>
      <w:marRight w:val="0"/>
      <w:marTop w:val="0"/>
      <w:marBottom w:val="0"/>
      <w:divBdr>
        <w:top w:val="none" w:sz="0" w:space="0" w:color="auto"/>
        <w:left w:val="none" w:sz="0" w:space="0" w:color="auto"/>
        <w:bottom w:val="none" w:sz="0" w:space="0" w:color="auto"/>
        <w:right w:val="none" w:sz="0" w:space="0" w:color="auto"/>
      </w:divBdr>
    </w:div>
    <w:div w:id="2045326500">
      <w:bodyDiv w:val="1"/>
      <w:marLeft w:val="0"/>
      <w:marRight w:val="0"/>
      <w:marTop w:val="0"/>
      <w:marBottom w:val="0"/>
      <w:divBdr>
        <w:top w:val="none" w:sz="0" w:space="0" w:color="auto"/>
        <w:left w:val="none" w:sz="0" w:space="0" w:color="auto"/>
        <w:bottom w:val="none" w:sz="0" w:space="0" w:color="auto"/>
        <w:right w:val="none" w:sz="0" w:space="0" w:color="auto"/>
      </w:divBdr>
    </w:div>
    <w:div w:id="2046446114">
      <w:bodyDiv w:val="1"/>
      <w:marLeft w:val="0"/>
      <w:marRight w:val="0"/>
      <w:marTop w:val="0"/>
      <w:marBottom w:val="0"/>
      <w:divBdr>
        <w:top w:val="none" w:sz="0" w:space="0" w:color="auto"/>
        <w:left w:val="none" w:sz="0" w:space="0" w:color="auto"/>
        <w:bottom w:val="none" w:sz="0" w:space="0" w:color="auto"/>
        <w:right w:val="none" w:sz="0" w:space="0" w:color="auto"/>
      </w:divBdr>
    </w:div>
    <w:div w:id="2054306304">
      <w:bodyDiv w:val="1"/>
      <w:marLeft w:val="0"/>
      <w:marRight w:val="0"/>
      <w:marTop w:val="0"/>
      <w:marBottom w:val="0"/>
      <w:divBdr>
        <w:top w:val="none" w:sz="0" w:space="0" w:color="auto"/>
        <w:left w:val="none" w:sz="0" w:space="0" w:color="auto"/>
        <w:bottom w:val="none" w:sz="0" w:space="0" w:color="auto"/>
        <w:right w:val="none" w:sz="0" w:space="0" w:color="auto"/>
      </w:divBdr>
    </w:div>
    <w:div w:id="2056660590">
      <w:bodyDiv w:val="1"/>
      <w:marLeft w:val="0"/>
      <w:marRight w:val="0"/>
      <w:marTop w:val="0"/>
      <w:marBottom w:val="0"/>
      <w:divBdr>
        <w:top w:val="none" w:sz="0" w:space="0" w:color="auto"/>
        <w:left w:val="none" w:sz="0" w:space="0" w:color="auto"/>
        <w:bottom w:val="none" w:sz="0" w:space="0" w:color="auto"/>
        <w:right w:val="none" w:sz="0" w:space="0" w:color="auto"/>
      </w:divBdr>
    </w:div>
    <w:div w:id="2057191631">
      <w:bodyDiv w:val="1"/>
      <w:marLeft w:val="0"/>
      <w:marRight w:val="0"/>
      <w:marTop w:val="0"/>
      <w:marBottom w:val="0"/>
      <w:divBdr>
        <w:top w:val="none" w:sz="0" w:space="0" w:color="auto"/>
        <w:left w:val="none" w:sz="0" w:space="0" w:color="auto"/>
        <w:bottom w:val="none" w:sz="0" w:space="0" w:color="auto"/>
        <w:right w:val="none" w:sz="0" w:space="0" w:color="auto"/>
      </w:divBdr>
    </w:div>
    <w:div w:id="2060323427">
      <w:bodyDiv w:val="1"/>
      <w:marLeft w:val="0"/>
      <w:marRight w:val="0"/>
      <w:marTop w:val="0"/>
      <w:marBottom w:val="0"/>
      <w:divBdr>
        <w:top w:val="none" w:sz="0" w:space="0" w:color="auto"/>
        <w:left w:val="none" w:sz="0" w:space="0" w:color="auto"/>
        <w:bottom w:val="none" w:sz="0" w:space="0" w:color="auto"/>
        <w:right w:val="none" w:sz="0" w:space="0" w:color="auto"/>
      </w:divBdr>
    </w:div>
    <w:div w:id="2063286736">
      <w:bodyDiv w:val="1"/>
      <w:marLeft w:val="0"/>
      <w:marRight w:val="0"/>
      <w:marTop w:val="0"/>
      <w:marBottom w:val="0"/>
      <w:divBdr>
        <w:top w:val="none" w:sz="0" w:space="0" w:color="auto"/>
        <w:left w:val="none" w:sz="0" w:space="0" w:color="auto"/>
        <w:bottom w:val="none" w:sz="0" w:space="0" w:color="auto"/>
        <w:right w:val="none" w:sz="0" w:space="0" w:color="auto"/>
      </w:divBdr>
    </w:div>
    <w:div w:id="2065370660">
      <w:bodyDiv w:val="1"/>
      <w:marLeft w:val="0"/>
      <w:marRight w:val="0"/>
      <w:marTop w:val="0"/>
      <w:marBottom w:val="0"/>
      <w:divBdr>
        <w:top w:val="none" w:sz="0" w:space="0" w:color="auto"/>
        <w:left w:val="none" w:sz="0" w:space="0" w:color="auto"/>
        <w:bottom w:val="none" w:sz="0" w:space="0" w:color="auto"/>
        <w:right w:val="none" w:sz="0" w:space="0" w:color="auto"/>
      </w:divBdr>
    </w:div>
    <w:div w:id="2066950443">
      <w:bodyDiv w:val="1"/>
      <w:marLeft w:val="0"/>
      <w:marRight w:val="0"/>
      <w:marTop w:val="0"/>
      <w:marBottom w:val="0"/>
      <w:divBdr>
        <w:top w:val="none" w:sz="0" w:space="0" w:color="auto"/>
        <w:left w:val="none" w:sz="0" w:space="0" w:color="auto"/>
        <w:bottom w:val="none" w:sz="0" w:space="0" w:color="auto"/>
        <w:right w:val="none" w:sz="0" w:space="0" w:color="auto"/>
      </w:divBdr>
    </w:div>
    <w:div w:id="2076781644">
      <w:bodyDiv w:val="1"/>
      <w:marLeft w:val="0"/>
      <w:marRight w:val="0"/>
      <w:marTop w:val="0"/>
      <w:marBottom w:val="0"/>
      <w:divBdr>
        <w:top w:val="none" w:sz="0" w:space="0" w:color="auto"/>
        <w:left w:val="none" w:sz="0" w:space="0" w:color="auto"/>
        <w:bottom w:val="none" w:sz="0" w:space="0" w:color="auto"/>
        <w:right w:val="none" w:sz="0" w:space="0" w:color="auto"/>
      </w:divBdr>
    </w:div>
    <w:div w:id="2080639268">
      <w:bodyDiv w:val="1"/>
      <w:marLeft w:val="0"/>
      <w:marRight w:val="0"/>
      <w:marTop w:val="0"/>
      <w:marBottom w:val="0"/>
      <w:divBdr>
        <w:top w:val="none" w:sz="0" w:space="0" w:color="auto"/>
        <w:left w:val="none" w:sz="0" w:space="0" w:color="auto"/>
        <w:bottom w:val="none" w:sz="0" w:space="0" w:color="auto"/>
        <w:right w:val="none" w:sz="0" w:space="0" w:color="auto"/>
      </w:divBdr>
    </w:div>
    <w:div w:id="2085181464">
      <w:bodyDiv w:val="1"/>
      <w:marLeft w:val="0"/>
      <w:marRight w:val="0"/>
      <w:marTop w:val="0"/>
      <w:marBottom w:val="0"/>
      <w:divBdr>
        <w:top w:val="none" w:sz="0" w:space="0" w:color="auto"/>
        <w:left w:val="none" w:sz="0" w:space="0" w:color="auto"/>
        <w:bottom w:val="none" w:sz="0" w:space="0" w:color="auto"/>
        <w:right w:val="none" w:sz="0" w:space="0" w:color="auto"/>
      </w:divBdr>
    </w:div>
    <w:div w:id="2085444374">
      <w:bodyDiv w:val="1"/>
      <w:marLeft w:val="0"/>
      <w:marRight w:val="0"/>
      <w:marTop w:val="0"/>
      <w:marBottom w:val="0"/>
      <w:divBdr>
        <w:top w:val="none" w:sz="0" w:space="0" w:color="auto"/>
        <w:left w:val="none" w:sz="0" w:space="0" w:color="auto"/>
        <w:bottom w:val="none" w:sz="0" w:space="0" w:color="auto"/>
        <w:right w:val="none" w:sz="0" w:space="0" w:color="auto"/>
      </w:divBdr>
    </w:div>
    <w:div w:id="2087261009">
      <w:bodyDiv w:val="1"/>
      <w:marLeft w:val="0"/>
      <w:marRight w:val="0"/>
      <w:marTop w:val="0"/>
      <w:marBottom w:val="0"/>
      <w:divBdr>
        <w:top w:val="none" w:sz="0" w:space="0" w:color="auto"/>
        <w:left w:val="none" w:sz="0" w:space="0" w:color="auto"/>
        <w:bottom w:val="none" w:sz="0" w:space="0" w:color="auto"/>
        <w:right w:val="none" w:sz="0" w:space="0" w:color="auto"/>
      </w:divBdr>
    </w:div>
    <w:div w:id="2087798160">
      <w:bodyDiv w:val="1"/>
      <w:marLeft w:val="0"/>
      <w:marRight w:val="0"/>
      <w:marTop w:val="0"/>
      <w:marBottom w:val="0"/>
      <w:divBdr>
        <w:top w:val="none" w:sz="0" w:space="0" w:color="auto"/>
        <w:left w:val="none" w:sz="0" w:space="0" w:color="auto"/>
        <w:bottom w:val="none" w:sz="0" w:space="0" w:color="auto"/>
        <w:right w:val="none" w:sz="0" w:space="0" w:color="auto"/>
      </w:divBdr>
    </w:div>
    <w:div w:id="2089841615">
      <w:bodyDiv w:val="1"/>
      <w:marLeft w:val="0"/>
      <w:marRight w:val="0"/>
      <w:marTop w:val="0"/>
      <w:marBottom w:val="0"/>
      <w:divBdr>
        <w:top w:val="none" w:sz="0" w:space="0" w:color="auto"/>
        <w:left w:val="none" w:sz="0" w:space="0" w:color="auto"/>
        <w:bottom w:val="none" w:sz="0" w:space="0" w:color="auto"/>
        <w:right w:val="none" w:sz="0" w:space="0" w:color="auto"/>
      </w:divBdr>
    </w:div>
    <w:div w:id="2089958549">
      <w:bodyDiv w:val="1"/>
      <w:marLeft w:val="0"/>
      <w:marRight w:val="0"/>
      <w:marTop w:val="0"/>
      <w:marBottom w:val="0"/>
      <w:divBdr>
        <w:top w:val="none" w:sz="0" w:space="0" w:color="auto"/>
        <w:left w:val="none" w:sz="0" w:space="0" w:color="auto"/>
        <w:bottom w:val="none" w:sz="0" w:space="0" w:color="auto"/>
        <w:right w:val="none" w:sz="0" w:space="0" w:color="auto"/>
      </w:divBdr>
    </w:div>
    <w:div w:id="2090078888">
      <w:bodyDiv w:val="1"/>
      <w:marLeft w:val="0"/>
      <w:marRight w:val="0"/>
      <w:marTop w:val="0"/>
      <w:marBottom w:val="0"/>
      <w:divBdr>
        <w:top w:val="none" w:sz="0" w:space="0" w:color="auto"/>
        <w:left w:val="none" w:sz="0" w:space="0" w:color="auto"/>
        <w:bottom w:val="none" w:sz="0" w:space="0" w:color="auto"/>
        <w:right w:val="none" w:sz="0" w:space="0" w:color="auto"/>
      </w:divBdr>
    </w:div>
    <w:div w:id="2091584493">
      <w:bodyDiv w:val="1"/>
      <w:marLeft w:val="0"/>
      <w:marRight w:val="0"/>
      <w:marTop w:val="0"/>
      <w:marBottom w:val="0"/>
      <w:divBdr>
        <w:top w:val="none" w:sz="0" w:space="0" w:color="auto"/>
        <w:left w:val="none" w:sz="0" w:space="0" w:color="auto"/>
        <w:bottom w:val="none" w:sz="0" w:space="0" w:color="auto"/>
        <w:right w:val="none" w:sz="0" w:space="0" w:color="auto"/>
      </w:divBdr>
    </w:div>
    <w:div w:id="2093430057">
      <w:bodyDiv w:val="1"/>
      <w:marLeft w:val="0"/>
      <w:marRight w:val="0"/>
      <w:marTop w:val="0"/>
      <w:marBottom w:val="0"/>
      <w:divBdr>
        <w:top w:val="none" w:sz="0" w:space="0" w:color="auto"/>
        <w:left w:val="none" w:sz="0" w:space="0" w:color="auto"/>
        <w:bottom w:val="none" w:sz="0" w:space="0" w:color="auto"/>
        <w:right w:val="none" w:sz="0" w:space="0" w:color="auto"/>
      </w:divBdr>
    </w:div>
    <w:div w:id="2096634336">
      <w:bodyDiv w:val="1"/>
      <w:marLeft w:val="0"/>
      <w:marRight w:val="0"/>
      <w:marTop w:val="0"/>
      <w:marBottom w:val="0"/>
      <w:divBdr>
        <w:top w:val="none" w:sz="0" w:space="0" w:color="auto"/>
        <w:left w:val="none" w:sz="0" w:space="0" w:color="auto"/>
        <w:bottom w:val="none" w:sz="0" w:space="0" w:color="auto"/>
        <w:right w:val="none" w:sz="0" w:space="0" w:color="auto"/>
      </w:divBdr>
    </w:div>
    <w:div w:id="2099673819">
      <w:bodyDiv w:val="1"/>
      <w:marLeft w:val="0"/>
      <w:marRight w:val="0"/>
      <w:marTop w:val="0"/>
      <w:marBottom w:val="0"/>
      <w:divBdr>
        <w:top w:val="none" w:sz="0" w:space="0" w:color="auto"/>
        <w:left w:val="none" w:sz="0" w:space="0" w:color="auto"/>
        <w:bottom w:val="none" w:sz="0" w:space="0" w:color="auto"/>
        <w:right w:val="none" w:sz="0" w:space="0" w:color="auto"/>
      </w:divBdr>
    </w:div>
    <w:div w:id="2102292975">
      <w:bodyDiv w:val="1"/>
      <w:marLeft w:val="0"/>
      <w:marRight w:val="0"/>
      <w:marTop w:val="0"/>
      <w:marBottom w:val="0"/>
      <w:divBdr>
        <w:top w:val="none" w:sz="0" w:space="0" w:color="auto"/>
        <w:left w:val="none" w:sz="0" w:space="0" w:color="auto"/>
        <w:bottom w:val="none" w:sz="0" w:space="0" w:color="auto"/>
        <w:right w:val="none" w:sz="0" w:space="0" w:color="auto"/>
      </w:divBdr>
    </w:div>
    <w:div w:id="2113431409">
      <w:bodyDiv w:val="1"/>
      <w:marLeft w:val="0"/>
      <w:marRight w:val="0"/>
      <w:marTop w:val="0"/>
      <w:marBottom w:val="0"/>
      <w:divBdr>
        <w:top w:val="none" w:sz="0" w:space="0" w:color="auto"/>
        <w:left w:val="none" w:sz="0" w:space="0" w:color="auto"/>
        <w:bottom w:val="none" w:sz="0" w:space="0" w:color="auto"/>
        <w:right w:val="none" w:sz="0" w:space="0" w:color="auto"/>
      </w:divBdr>
    </w:div>
    <w:div w:id="2117098445">
      <w:bodyDiv w:val="1"/>
      <w:marLeft w:val="0"/>
      <w:marRight w:val="0"/>
      <w:marTop w:val="0"/>
      <w:marBottom w:val="0"/>
      <w:divBdr>
        <w:top w:val="none" w:sz="0" w:space="0" w:color="auto"/>
        <w:left w:val="none" w:sz="0" w:space="0" w:color="auto"/>
        <w:bottom w:val="none" w:sz="0" w:space="0" w:color="auto"/>
        <w:right w:val="none" w:sz="0" w:space="0" w:color="auto"/>
      </w:divBdr>
    </w:div>
    <w:div w:id="2117164896">
      <w:bodyDiv w:val="1"/>
      <w:marLeft w:val="0"/>
      <w:marRight w:val="0"/>
      <w:marTop w:val="0"/>
      <w:marBottom w:val="0"/>
      <w:divBdr>
        <w:top w:val="none" w:sz="0" w:space="0" w:color="auto"/>
        <w:left w:val="none" w:sz="0" w:space="0" w:color="auto"/>
        <w:bottom w:val="none" w:sz="0" w:space="0" w:color="auto"/>
        <w:right w:val="none" w:sz="0" w:space="0" w:color="auto"/>
      </w:divBdr>
    </w:div>
    <w:div w:id="2117364689">
      <w:bodyDiv w:val="1"/>
      <w:marLeft w:val="0"/>
      <w:marRight w:val="0"/>
      <w:marTop w:val="0"/>
      <w:marBottom w:val="0"/>
      <w:divBdr>
        <w:top w:val="none" w:sz="0" w:space="0" w:color="auto"/>
        <w:left w:val="none" w:sz="0" w:space="0" w:color="auto"/>
        <w:bottom w:val="none" w:sz="0" w:space="0" w:color="auto"/>
        <w:right w:val="none" w:sz="0" w:space="0" w:color="auto"/>
      </w:divBdr>
    </w:div>
    <w:div w:id="2119131786">
      <w:bodyDiv w:val="1"/>
      <w:marLeft w:val="0"/>
      <w:marRight w:val="0"/>
      <w:marTop w:val="0"/>
      <w:marBottom w:val="0"/>
      <w:divBdr>
        <w:top w:val="none" w:sz="0" w:space="0" w:color="auto"/>
        <w:left w:val="none" w:sz="0" w:space="0" w:color="auto"/>
        <w:bottom w:val="none" w:sz="0" w:space="0" w:color="auto"/>
        <w:right w:val="none" w:sz="0" w:space="0" w:color="auto"/>
      </w:divBdr>
    </w:div>
    <w:div w:id="2122414521">
      <w:bodyDiv w:val="1"/>
      <w:marLeft w:val="0"/>
      <w:marRight w:val="0"/>
      <w:marTop w:val="0"/>
      <w:marBottom w:val="0"/>
      <w:divBdr>
        <w:top w:val="none" w:sz="0" w:space="0" w:color="auto"/>
        <w:left w:val="none" w:sz="0" w:space="0" w:color="auto"/>
        <w:bottom w:val="none" w:sz="0" w:space="0" w:color="auto"/>
        <w:right w:val="none" w:sz="0" w:space="0" w:color="auto"/>
      </w:divBdr>
    </w:div>
    <w:div w:id="2123262719">
      <w:bodyDiv w:val="1"/>
      <w:marLeft w:val="0"/>
      <w:marRight w:val="0"/>
      <w:marTop w:val="0"/>
      <w:marBottom w:val="0"/>
      <w:divBdr>
        <w:top w:val="none" w:sz="0" w:space="0" w:color="auto"/>
        <w:left w:val="none" w:sz="0" w:space="0" w:color="auto"/>
        <w:bottom w:val="none" w:sz="0" w:space="0" w:color="auto"/>
        <w:right w:val="none" w:sz="0" w:space="0" w:color="auto"/>
      </w:divBdr>
    </w:div>
    <w:div w:id="2126535153">
      <w:bodyDiv w:val="1"/>
      <w:marLeft w:val="0"/>
      <w:marRight w:val="0"/>
      <w:marTop w:val="0"/>
      <w:marBottom w:val="0"/>
      <w:divBdr>
        <w:top w:val="none" w:sz="0" w:space="0" w:color="auto"/>
        <w:left w:val="none" w:sz="0" w:space="0" w:color="auto"/>
        <w:bottom w:val="none" w:sz="0" w:space="0" w:color="auto"/>
        <w:right w:val="none" w:sz="0" w:space="0" w:color="auto"/>
      </w:divBdr>
    </w:div>
    <w:div w:id="2134398280">
      <w:bodyDiv w:val="1"/>
      <w:marLeft w:val="0"/>
      <w:marRight w:val="0"/>
      <w:marTop w:val="0"/>
      <w:marBottom w:val="0"/>
      <w:divBdr>
        <w:top w:val="none" w:sz="0" w:space="0" w:color="auto"/>
        <w:left w:val="none" w:sz="0" w:space="0" w:color="auto"/>
        <w:bottom w:val="none" w:sz="0" w:space="0" w:color="auto"/>
        <w:right w:val="none" w:sz="0" w:space="0" w:color="auto"/>
      </w:divBdr>
    </w:div>
    <w:div w:id="2137750811">
      <w:bodyDiv w:val="1"/>
      <w:marLeft w:val="0"/>
      <w:marRight w:val="0"/>
      <w:marTop w:val="0"/>
      <w:marBottom w:val="0"/>
      <w:divBdr>
        <w:top w:val="none" w:sz="0" w:space="0" w:color="auto"/>
        <w:left w:val="none" w:sz="0" w:space="0" w:color="auto"/>
        <w:bottom w:val="none" w:sz="0" w:space="0" w:color="auto"/>
        <w:right w:val="none" w:sz="0" w:space="0" w:color="auto"/>
      </w:divBdr>
    </w:div>
    <w:div w:id="2142844803">
      <w:bodyDiv w:val="1"/>
      <w:marLeft w:val="0"/>
      <w:marRight w:val="0"/>
      <w:marTop w:val="0"/>
      <w:marBottom w:val="0"/>
      <w:divBdr>
        <w:top w:val="none" w:sz="0" w:space="0" w:color="auto"/>
        <w:left w:val="none" w:sz="0" w:space="0" w:color="auto"/>
        <w:bottom w:val="none" w:sz="0" w:space="0" w:color="auto"/>
        <w:right w:val="none" w:sz="0" w:space="0" w:color="auto"/>
      </w:divBdr>
    </w:div>
    <w:div w:id="21435721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54</Pages>
  <Words>13019</Words>
  <Characters>74210</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Company>ILO</Company>
  <LinksUpToDate>false</LinksUpToDate>
  <CharactersWithSpaces>87055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Deuxieme Bulletin statistique de la protection sociale en RDC</dc:title>
  <dc:creator/>
  <cp:keywords/>
  <cp:lastModifiedBy>Moustapha Diouf</cp:lastModifiedBy>
  <cp:revision>2</cp:revision>
  <dcterms:created xsi:type="dcterms:W3CDTF">2026-07-07T09:23:00Z</dcterms:created>
  <dcterms:modified xsi:type="dcterms:W3CDTF">2026-07-07T11:49:00Z</dcterms:modified>
</cp:coreProperties>
</file>