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rFonts w:ascii="Calibri" w:cs="Calibri" w:eastAsia="Calibri" w:hAnsi="Calibri"/>
          <w:b/>
          <w:bCs/>
          <w:sz w:val="20"/>
          <w:szCs w:val="20"/>
        </w:rPr>
        <w:t xml:space="preserve"/>
      </w:r>
    </w:p>
    <w:p>
      <w:pPr>
        <w:spacing w:after="60"/>
        <w:jc w:val="center"/>
      </w:pPr>
      <w:r>
        <w:rPr>
          <w:rFonts w:ascii="Calibri" w:cs="Calibri" w:eastAsia="Calibri" w:hAnsi="Calibri"/>
          <w:b/>
          <w:bCs/>
          <w:sz w:val="26"/>
          <w:szCs w:val="26"/>
        </w:rPr>
        <w:t xml:space="preserve">MINISTÈRE DE L'EMPLOI, TRAVAIL ET PRÉVOYANCE SOCIALE</w:t>
      </w:r>
    </w:p>
    <w:p>
      <w:pPr>
        <w:spacing w:after="600"/>
        <w:jc w:val="center"/>
      </w:pPr>
      <w:r>
        <w:rPr>
          <w:rFonts w:ascii="Calibri" w:cs="Calibri" w:eastAsia="Calibri" w:hAnsi="Calibri"/>
          <w:sz w:val="20"/>
          <w:szCs w:val="20"/>
        </w:rPr>
        <w:t xml:space="preserve">Direction des Études et Planification</w:t>
      </w:r>
    </w:p>
    <w:p>
      <w:pPr>
        <w:spacing w:after="160"/>
        <w:jc w:val="center"/>
      </w:pPr>
      <w:r>
        <w:rPr>
          <w:rFonts w:ascii="Calibri" w:cs="Calibri" w:eastAsia="Calibri" w:hAnsi="Calibri"/>
          <w:b/>
          <w:bCs/>
          <w:sz w:val="40"/>
          <w:szCs w:val="40"/>
        </w:rPr>
        <w:t xml:space="preserve">DEMANDE DE DONNÉES</w:t>
      </w:r>
    </w:p>
    <w:p>
      <w:pPr>
        <w:spacing w:after="80"/>
        <w:jc w:val="center"/>
      </w:pPr>
      <w:r>
        <w:rPr>
          <w:rFonts w:ascii="Calibri" w:cs="Calibri" w:eastAsia="Calibri" w:hAnsi="Calibri"/>
          <w:b/>
          <w:bCs/>
          <w:sz w:val="28"/>
          <w:szCs w:val="28"/>
        </w:rPr>
        <w:t xml:space="preserve">Bulletin statistique de la protection sociale en RDC — 2e édition</w:t>
      </w:r>
    </w:p>
    <w:p>
      <w:pPr>
        <w:spacing w:after="80"/>
        <w:jc w:val="center"/>
      </w:pPr>
      <w:r>
        <w:rPr>
          <w:rFonts w:ascii="Calibri" w:cs="Calibri" w:eastAsia="Calibri" w:hAnsi="Calibri"/>
          <w:b/>
          <w:bCs/>
          <w:sz w:val="24"/>
          <w:szCs w:val="24"/>
        </w:rPr>
        <w:t xml:space="preserve">Données relatives aux programmes d'assistance sociale et transferts sociaux</w:t>
      </w:r>
    </w:p>
    <w:p>
      <w:pPr>
        <w:spacing w:after="600"/>
        <w:jc w:val="center"/>
      </w:pPr>
      <w:r>
        <w:rPr>
          <w:rFonts w:ascii="Calibri" w:cs="Calibri" w:eastAsia="Calibri" w:hAnsi="Calibri"/>
          <w:i/>
          <w:iCs/>
          <w:color w:val="595959"/>
          <w:sz w:val="22"/>
          <w:szCs w:val="22"/>
        </w:rPr>
        <w:t xml:space="preserve">À l'attention du Ministère des Affaires Sociales, Action Humanitaire
et Solidarité Nationale (MINAS)</w:t>
      </w:r>
    </w:p>
    <w:p>
      <w:pPr>
        <w:spacing w:after="80"/>
        <w:jc w:val="center"/>
      </w:pPr>
      <w:r>
        <w:rPr>
          <w:rFonts w:ascii="Calibri" w:cs="Calibri" w:eastAsia="Calibri" w:hAnsi="Calibri"/>
          <w:sz w:val="20"/>
          <w:szCs w:val="20"/>
        </w:rPr>
        <w:t xml:space="preserve">Période de référence : 2019–2024 (ou dernière année disponible)</w:t>
      </w:r>
    </w:p>
    <w:p>
      <w:pPr>
        <w:spacing w:after="1000"/>
        <w:jc w:val="center"/>
      </w:pPr>
      <w:r>
        <w:rPr>
          <w:rFonts w:ascii="Calibri" w:cs="Calibri" w:eastAsia="Calibri" w:hAnsi="Calibri"/>
          <w:sz w:val="20"/>
          <w:szCs w:val="20"/>
        </w:rPr>
        <w:t xml:space="preserve">Date d'émission : juillet 2026</w:t>
      </w:r>
    </w:p>
    <w:p>
      <w:pPr>
        <w:spacing w:after="400"/>
        <w:jc w:val="center"/>
      </w:pPr>
      <w:r>
        <w:rPr>
          <w:rFonts w:ascii="Calibri" w:cs="Calibri" w:eastAsia="Calibri" w:hAnsi="Calibri"/>
          <w:i/>
          <w:iCs/>
          <w:color w:val="595959"/>
          <w:sz w:val="18"/>
          <w:szCs w:val="18"/>
        </w:rPr>
        <w:t xml:space="preserve">Ce document fait partie d'une série de demandes de données adressées aux institutions partenaires
dans le cadre de la production du deuxième Bulletin statistique de la protection sociale en RDC.</w:t>
      </w:r>
    </w:p>
    <w:p>
      <w:pPr>
        <w:pageBreakBefore/>
        <w:spacing w:after="200"/>
      </w:pPr>
      <w:r>
        <w:rPr>
          <w:rFonts w:ascii="Calibri" w:cs="Calibri" w:eastAsia="Calibri" w:hAnsi="Calibri"/>
          <w:b/>
          <w:bCs/>
          <w:sz w:val="22"/>
          <w:szCs w:val="22"/>
        </w:rPr>
        <w:t xml:space="preserve">1. CONTEXTE ET OBJET DE LA DEMANDE</w:t>
      </w:r>
    </w:p>
    <w:p>
      <w:pPr>
        <w:spacing w:after="160"/>
      </w:pPr>
      <w:r>
        <w:rPr>
          <w:rFonts w:ascii="Calibri" w:cs="Calibri" w:eastAsia="Calibri" w:hAnsi="Calibri"/>
          <w:sz w:val="19"/>
          <w:szCs w:val="19"/>
        </w:rPr>
        <w:t xml:space="preserve">Le Ministère de l'Emploi, du Travail et de la Prévoyance Sociale (METPS), avec l'appui du Bureau international du Travail (BIT/OIT), produit le deuxième Bulletin statistique de la protection sociale en République Démocratique du Congo. Ce bulletin documente l'état de la couverture de protection sociale dans le pays, en référence aux indicateurs ODD 1.3.1 et aux conventions de l'OIT.</w:t>
      </w:r>
    </w:p>
    <w:p>
      <w:pPr>
        <w:spacing w:after="160"/>
      </w:pPr>
      <w:r>
        <w:rPr>
          <w:rFonts w:ascii="Calibri" w:cs="Calibri" w:eastAsia="Calibri" w:hAnsi="Calibri"/>
          <w:sz w:val="19"/>
          <w:szCs w:val="19"/>
        </w:rPr>
        <w:t xml:space="preserve">Le MINAS constitue une source de données indispensable pour renseigner la composante "protection sociale non contributive" du bulletin, et plus particulièrement les programmes bénéficiant aux ménages pauvres, aux enfants, aux personnes handicapées et aux personnes âgées sans pension. La présente demande vise à obtenir une cartographie officielle des programmes d'assistance sociale et les données statistiques associées.</w:t>
      </w:r>
    </w:p>
    <w:p>
      <w:pPr>
        <w:spacing w:after="200"/>
      </w:pPr>
      <w:r>
        <w:rPr>
          <w:rFonts w:ascii="Calibri" w:cs="Calibri" w:eastAsia="Calibri" w:hAnsi="Calibri"/>
          <w:i/>
          <w:iCs/>
          <w:color w:val="595959"/>
          <w:sz w:val="18"/>
          <w:szCs w:val="18"/>
        </w:rPr>
        <w:t xml:space="preserve">Note : La distinction entre programmes gouvernementaux (financés sur ressources propres) et programmes mis en œuvre en partenariat avec des organisations internationales est importante pour le bulletin. Merci d'indiquer clairement cette distinction pour chaque programme.</w:t>
      </w:r>
    </w:p>
    <w:p>
      <w:pPr>
        <w:pageBreakBefore/>
        <w:spacing w:after="120"/>
      </w:pPr>
      <w:r>
        <w:rPr>
          <w:rFonts w:ascii="Calibri" w:cs="Calibri" w:eastAsia="Calibri" w:hAnsi="Calibri"/>
          <w:b/>
          <w:bCs/>
          <w:sz w:val="22"/>
          <w:szCs w:val="22"/>
        </w:rPr>
        <w:t xml:space="preserve">SECTION A — CARTOGRAPHIE DES PROGRAMMES (Priorité haute)</w:t>
      </w:r>
    </w:p>
    <w:p>
      <w:pPr>
        <w:spacing w:after="160"/>
      </w:pPr>
      <w:r>
        <w:rPr>
          <w:rFonts w:ascii="Calibri" w:cs="Calibri" w:eastAsia="Calibri" w:hAnsi="Calibri"/>
          <w:i/>
          <w:iCs/>
          <w:color w:val="595959"/>
          <w:sz w:val="18"/>
          <w:szCs w:val="18"/>
        </w:rPr>
        <w:t xml:space="preserve">Veuillez lister l'ensemble des programmes d'assistance sociale actifs ou récents (2019–2024), y compris ceux conduits en partenariat avec le PAM, l'UNICEF, la Banque mondiale ou d'autres organisations. Les lignes pré-renseignées sont indicatives — elles doivent être corrigées, complétées ou supprimées selon la réalité.</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3200"/>
        <w:gridCol w:w="2000"/>
        <w:gridCol w:w="2800"/>
        <w:gridCol w:w="2200"/>
        <w:gridCol w:w="2200"/>
        <w:gridCol w:w="1200"/>
        <w:gridCol w:w="1300"/>
      </w:tblGrid>
      <w:tr>
        <w:trPr>
          <w:tblHeader/>
        </w:trPr>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Réf.</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Nom officiel du programme</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Type de prestation</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Population cible</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Financement principal</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Responsable mise en œuvre</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Année début</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Statut</w:t>
            </w:r>
          </w:p>
        </w:tc>
      </w:tr>
      <w:tr>
        <w:tc>
          <w:tcPr>
            <w:gridSpan w:val="8"/>
            <w:shd w:fill="D9E1F2" w:color="auto" w:val="clear"/>
            <w:tcMar>
              <w:top w:type="dxa" w:w="70"/>
              <w:left w:type="dxa" w:w="120"/>
              <w:bottom w:type="dxa" w:w="70"/>
              <w:right w:type="dxa" w:w="120"/>
            </w:tcMar>
          </w:tcPr>
          <w:p>
            <w:pPr>
              <w:jc w:val="left"/>
            </w:pPr>
            <w:r>
              <w:rPr>
                <w:rFonts w:ascii="Calibri" w:cs="Calibri" w:eastAsia="Calibri" w:hAnsi="Calibri"/>
                <w:b/>
                <w:bCs/>
                <w:color w:val="1F3864"/>
                <w:sz w:val="18"/>
                <w:szCs w:val="18"/>
              </w:rPr>
              <w:t xml:space="preserve">Programmes avec partenaires internationaux (PAM, UNICEF, Banque mondiale…)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A1.1</w:t>
            </w:r>
          </w:p>
        </w:tc>
        <w:tc>
          <w:tcPr>
            <w:gridSpan w:val="1"/>
            <w:tcMar>
              <w:top w:type="dxa" w:w="50"/>
              <w:left w:type="dxa" w:w="100"/>
              <w:bottom w:type="dxa" w:w="50"/>
              <w:right w:type="dxa" w:w="100"/>
            </w:tcMar>
            <w:vAlign w:val="center"/>
          </w:tcPr>
          <w:p>
            <w:pPr>
              <w:jc w:val="left"/>
            </w:pPr>
            <w:r>
              <w:rPr>
                <w:rFonts w:ascii="Calibri" w:cs="Calibri" w:eastAsia="Calibri" w:hAnsi="Calibri"/>
                <w:b/>
                <w:bCs/>
                <w:i w:val="false"/>
                <w:iCs w:val="false"/>
                <w:color w:val="000000"/>
                <w:sz w:val="18"/>
                <w:szCs w:val="18"/>
              </w:rPr>
              <w:t xml:space="preserve">PAM — Transferts de ressources sans conditions (TRC)</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Espèces et alimentaire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Ménages en insécurité alimentaire, déplacés internes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PAM / Donateurs internationaux</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PAM</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~2000s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Actif</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A1.2</w:t>
            </w:r>
          </w:p>
        </w:tc>
        <w:tc>
          <w:tcPr>
            <w:gridSpan w:val="1"/>
            <w:tcMar>
              <w:top w:type="dxa" w:w="50"/>
              <w:left w:type="dxa" w:w="100"/>
              <w:bottom w:type="dxa" w:w="50"/>
              <w:right w:type="dxa" w:w="100"/>
            </w:tcMar>
            <w:vAlign w:val="center"/>
          </w:tcPr>
          <w:p>
            <w:pPr>
              <w:jc w:val="left"/>
            </w:pPr>
            <w:r>
              <w:rPr>
                <w:rFonts w:ascii="Calibri" w:cs="Calibri" w:eastAsia="Calibri" w:hAnsi="Calibri"/>
                <w:b/>
                <w:bCs/>
                <w:i w:val="false"/>
                <w:iCs w:val="false"/>
                <w:color w:val="000000"/>
                <w:sz w:val="18"/>
                <w:szCs w:val="18"/>
              </w:rPr>
              <w:t xml:space="preserve">PAM — Cantines scolaires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Nature (repas scolaires)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Enfants scolarisés (écoles primaires publiques)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PAM + MEPST</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PAM</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2023 (pilote)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Actif (pilote)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A1.3</w:t>
            </w:r>
          </w:p>
        </w:tc>
        <w:tc>
          <w:tcPr>
            <w:gridSpan w:val="1"/>
            <w:tcMar>
              <w:top w:type="dxa" w:w="50"/>
              <w:left w:type="dxa" w:w="100"/>
              <w:bottom w:type="dxa" w:w="50"/>
              <w:right w:type="dxa" w:w="100"/>
            </w:tcMar>
            <w:vAlign w:val="center"/>
          </w:tcPr>
          <w:p>
            <w:pPr>
              <w:jc w:val="left"/>
            </w:pPr>
            <w:r>
              <w:rPr>
                <w:rFonts w:ascii="Calibri" w:cs="Calibri" w:eastAsia="Calibri" w:hAnsi="Calibri"/>
                <w:b/>
                <w:bCs/>
                <w:i w:val="false"/>
                <w:iCs w:val="false"/>
                <w:color w:val="000000"/>
                <w:sz w:val="18"/>
                <w:szCs w:val="18"/>
              </w:rPr>
              <w:t xml:space="preserve">UNICEF — Cash + Nutrition</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Espèces + nutrition</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Enfants malnutris, ménages vulnérables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UNICEF + donateurs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UNICEF</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~2021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Actif (intermittent)</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A1.4</w:t>
            </w:r>
          </w:p>
        </w:tc>
        <w:tc>
          <w:tcPr>
            <w:gridSpan w:val="1"/>
            <w:tcMar>
              <w:top w:type="dxa" w:w="50"/>
              <w:left w:type="dxa" w:w="100"/>
              <w:bottom w:type="dxa" w:w="50"/>
              <w:right w:type="dxa" w:w="100"/>
            </w:tcMar>
            <w:vAlign w:val="center"/>
          </w:tcPr>
          <w:p>
            <w:pPr>
              <w:jc w:val="left"/>
            </w:pPr>
            <w:r>
              <w:rPr>
                <w:rFonts w:ascii="Calibri" w:cs="Calibri" w:eastAsia="Calibri" w:hAnsi="Calibri"/>
                <w:b/>
                <w:bCs/>
                <w:i w:val="false"/>
                <w:iCs w:val="false"/>
                <w:color w:val="000000"/>
                <w:sz w:val="18"/>
                <w:szCs w:val="18"/>
              </w:rPr>
              <w:t xml:space="preserve">STEP / Banque mondiale (IDA)</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Transferts conditionnels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Ménages extrêmement pauvres (Kasaï, Lomami, Kwilu)</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Banque mondiale / IDA</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Banque mondiale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~2018</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Clôturé (fév. 2024)</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A1.5</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 par le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8"/>
            <w:shd w:fill="D9E1F2" w:color="auto" w:val="clear"/>
            <w:tcMar>
              <w:top w:type="dxa" w:w="70"/>
              <w:left w:type="dxa" w:w="120"/>
              <w:bottom w:type="dxa" w:w="70"/>
              <w:right w:type="dxa" w:w="120"/>
            </w:tcMar>
          </w:tcPr>
          <w:p>
            <w:pPr>
              <w:jc w:val="left"/>
            </w:pPr>
            <w:r>
              <w:rPr>
                <w:rFonts w:ascii="Calibri" w:cs="Calibri" w:eastAsia="Calibri" w:hAnsi="Calibri"/>
                <w:b/>
                <w:bCs/>
                <w:color w:val="1F3864"/>
                <w:sz w:val="18"/>
                <w:szCs w:val="18"/>
              </w:rPr>
              <w:t xml:space="preserve">Programmes gouvernementaux MINAS</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A2.1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 par le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Gouvernement RDC</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A2.2</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 par le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Gouvernement RDC</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A2.3</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 par le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Gouvernement RDC</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8"/>
            <w:shd w:fill="D9E1F2" w:color="auto" w:val="clear"/>
            <w:tcMar>
              <w:top w:type="dxa" w:w="70"/>
              <w:left w:type="dxa" w:w="120"/>
              <w:bottom w:type="dxa" w:w="70"/>
              <w:right w:type="dxa" w:w="120"/>
            </w:tcMar>
          </w:tcPr>
          <w:p>
            <w:pPr>
              <w:jc w:val="left"/>
            </w:pPr>
            <w:r>
              <w:rPr>
                <w:rFonts w:ascii="Calibri" w:cs="Calibri" w:eastAsia="Calibri" w:hAnsi="Calibri"/>
                <w:b/>
                <w:bCs/>
                <w:color w:val="1F3864"/>
                <w:sz w:val="18"/>
                <w:szCs w:val="18"/>
              </w:rPr>
              <w:t xml:space="preserve">Programmes pour personnes handicapées</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A3.1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 par le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Personnes handicapées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A3.2</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 par le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Personnes handicapées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8"/>
            <w:shd w:fill="D9E1F2" w:color="auto" w:val="clear"/>
            <w:tcMar>
              <w:top w:type="dxa" w:w="70"/>
              <w:left w:type="dxa" w:w="120"/>
              <w:bottom w:type="dxa" w:w="70"/>
              <w:right w:type="dxa" w:w="120"/>
            </w:tcMar>
          </w:tcPr>
          <w:p>
            <w:pPr>
              <w:jc w:val="left"/>
            </w:pPr>
            <w:r>
              <w:rPr>
                <w:rFonts w:ascii="Calibri" w:cs="Calibri" w:eastAsia="Calibri" w:hAnsi="Calibri"/>
                <w:b/>
                <w:bCs/>
                <w:color w:val="1F3864"/>
                <w:sz w:val="18"/>
                <w:szCs w:val="18"/>
              </w:rPr>
              <w:t xml:space="preserve">Programmes pour personnes âgées sans pension</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A4.1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 par le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Personnes âgées (60 ans ou plus)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8"/>
            <w:shd w:fill="D9E1F2" w:color="auto" w:val="clear"/>
            <w:tcMar>
              <w:top w:type="dxa" w:w="70"/>
              <w:left w:type="dxa" w:w="120"/>
              <w:bottom w:type="dxa" w:w="70"/>
              <w:right w:type="dxa" w:w="120"/>
            </w:tcMar>
          </w:tcPr>
          <w:p>
            <w:pPr>
              <w:jc w:val="left"/>
            </w:pPr>
            <w:r>
              <w:rPr>
                <w:rFonts w:ascii="Calibri" w:cs="Calibri" w:eastAsia="Calibri" w:hAnsi="Calibri"/>
                <w:b/>
                <w:bCs/>
                <w:color w:val="1F3864"/>
                <w:sz w:val="18"/>
                <w:szCs w:val="18"/>
              </w:rPr>
              <w:t xml:space="preserve">Autres programmes</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A5.1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 par le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A5.2</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 par le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bl>
    <w:p>
      <w:pPr>
        <w:pageBreakBefore/>
        <w:spacing w:after="120"/>
      </w:pPr>
      <w:r>
        <w:rPr>
          <w:rFonts w:ascii="Calibri" w:cs="Calibri" w:eastAsia="Calibri" w:hAnsi="Calibri"/>
          <w:b/>
          <w:bCs/>
          <w:sz w:val="22"/>
          <w:szCs w:val="22"/>
        </w:rPr>
        <w:t xml:space="preserve">SECTION B — BÉNÉFICIAIRES PAR PRESTATION (Priorité haute)</w:t>
      </w:r>
    </w:p>
    <w:p>
      <w:pPr>
        <w:spacing w:after="160"/>
      </w:pPr>
      <w:r>
        <w:rPr>
          <w:rFonts w:ascii="Calibri" w:cs="Calibri" w:eastAsia="Calibri" w:hAnsi="Calibri"/>
          <w:i/>
          <w:iCs/>
          <w:color w:val="595959"/>
          <w:sz w:val="18"/>
          <w:szCs w:val="18"/>
        </w:rPr>
        <w:t xml:space="preserve">Pour chaque programme identifié en Section A, veuillez indiquer le nombre de bénéficiaires effectifs (personnes ayant reçu une prestation au moins une fois dans l'année), ventilé par sexe si disponible. Données demandées pour 2019–2024 ou la dernière année disponible.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600"/>
        <w:gridCol w:w="2800"/>
        <w:gridCol w:w="2500"/>
        <w:gridCol w:w="2800"/>
        <w:gridCol w:w="1500"/>
        <w:gridCol w:w="2700"/>
      </w:tblGrid>
      <w:tr>
        <w:trPr>
          <w:tblHeader/>
        </w:trPr>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Réf.</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Programme</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Description de la prestation
(espèces / nature / mixte)</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Public cible</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Indicateur</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Désagrég.</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Années disponibles</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B1.1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PAM — TRC</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Transferts en espèces et alimentaires inconditionnels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Ménages en insécurité alimentaire, déplacés internes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Nombre de bénéficiaires (personnes)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Par sexe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 ou dernière année disponible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B1.2</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PAM — TRC</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Transferts en espèces et alimentaires inconditionnels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Ménages en insécurité alimentaire, déplacés internes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Nombre de ménages bénéficiaires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 ou dernière année disponible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B1.3</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PAM — Cantines scolaires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Repas scolaires (nature)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Enfants scolarisés (écoles primaires publiques)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Nombre d'enfants bénéficiaires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Par sexe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2023–2024 (pilote)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B2.1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UNICEF — Cash + Nutrition</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Transferts en espèces + soutien nutritionnel (mixte)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Enfants malnutris, ménages vulnérables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Nombre de bénéficiaires (personnes)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Par sexe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 ou dernière année disponible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B2.2</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UNICEF — Cash + Nutrition</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Transferts en espèces + soutien nutritionnel (mixte)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Enfants malnutris, ménages vulnérables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Nombre de ménages bénéficiaires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 ou dernière année disponible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B3.1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STEP / Banque mondiale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Transferts monétaires conditionnels (espèces)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Ménages extrêmement pauvres (Kasaï, Lomami, Kwilu)</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Ménages bénéficiaires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 (selon disponibilité)</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B3.2</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STEP / Banque mondiale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Transferts monétaires conditionnels (espèces)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Ménages extrêmement pauvres (Kasaï, Lomami, Kwilu)</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Personnes couvertes (ménages × taille moy.)</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Par sexe chef mén.</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 (selon disponibilité)</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B4.1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[Programme MINAS 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Nombre de bénéficiaires (personnes)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Par sexe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 ou dernière année disponible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B4.2</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[Programme MINAS 2]</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Nombre de bénéficiaires (personnes)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Par sexe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 ou dernière année disponible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B5.1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[Programme personnes handicapées]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Personnes handicapées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Bénéficiaires enregistrés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Par sexe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 ou dernière année disponible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B5.2</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[Programme personnes handicapées]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Personnes handicapées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Bénéficiaires ayant reçu une prestation</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Par sexe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 ou dernière année disponible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B6.1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[Programme personnes âgées]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[À renseigner]</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Personnes âgées (60 ans et plus)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Bénéficiaires (personnes 60 ans et plus)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Par sexe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 ou dernière année disponible</w:t>
            </w:r>
          </w:p>
        </w:tc>
      </w:tr>
    </w:tbl>
    <w:p>
      <w:pPr>
        <w:pageBreakBefore/>
        <w:spacing w:after="120"/>
      </w:pPr>
      <w:r>
        <w:rPr>
          <w:rFonts w:ascii="Calibri" w:cs="Calibri" w:eastAsia="Calibri" w:hAnsi="Calibri"/>
          <w:b/>
          <w:bCs/>
          <w:sz w:val="22"/>
          <w:szCs w:val="22"/>
        </w:rPr>
        <w:t xml:space="preserve">SECTION C — DONNÉES FINANCIÈRES (Priorité haute)</w:t>
      </w:r>
    </w:p>
    <w:p>
      <w:pPr>
        <w:spacing w:after="160"/>
      </w:pPr>
      <w:r>
        <w:rPr>
          <w:rFonts w:ascii="Calibri" w:cs="Calibri" w:eastAsia="Calibri" w:hAnsi="Calibri"/>
          <w:i/>
          <w:iCs/>
          <w:color w:val="595959"/>
          <w:sz w:val="18"/>
          <w:szCs w:val="18"/>
        </w:rPr>
        <w:t xml:space="preserve">Pour chaque programme, veuillez indiquer les dépenses de prestations (montants effectivement versés aux bénéficiaires) et les transferts moyens par bénéficiaire. L'unité monétaire préférée est le franc congolais (CDF) courant.</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3200"/>
        <w:gridCol w:w="4200"/>
        <w:gridCol w:w="1500"/>
        <w:gridCol w:w="2400"/>
        <w:gridCol w:w="2300"/>
      </w:tblGrid>
      <w:tr>
        <w:trPr>
          <w:tblHeader/>
        </w:trPr>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Réf.</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Programme</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Indicateur financier</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Unité</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Années disponibles</w:t>
            </w:r>
          </w:p>
        </w:tc>
        <w:tc>
          <w:tcPr>
            <w:shd w:fill="2E5E8E" w:color="auto" w:val="clear"/>
            <w:tcMar>
              <w:top w:type="dxa" w:w="60"/>
              <w:left w:type="dxa" w:w="80"/>
              <w:bottom w:type="dxa" w:w="60"/>
              <w:right w:type="dxa" w:w="80"/>
            </w:tcMar>
            <w:vAlign w:val="center"/>
          </w:tcPr>
          <w:p>
            <w:pPr>
              <w:jc w:val="center"/>
            </w:pPr>
            <w:r>
              <w:rPr>
                <w:rFonts w:ascii="Calibri" w:cs="Calibri" w:eastAsia="Calibri" w:hAnsi="Calibri"/>
                <w:b/>
                <w:bCs/>
                <w:color w:val="FFFFFF"/>
                <w:sz w:val="17"/>
                <w:szCs w:val="17"/>
              </w:rPr>
              <w:t xml:space="preserve">Notes</w:t>
            </w:r>
          </w:p>
        </w:tc>
      </w:tr>
      <w:tr>
        <w:tc>
          <w:tcPr>
            <w:gridSpan w:val="6"/>
            <w:shd w:fill="D9E1F2" w:color="auto" w:val="clear"/>
            <w:tcMar>
              <w:top w:type="dxa" w:w="70"/>
              <w:left w:type="dxa" w:w="120"/>
              <w:bottom w:type="dxa" w:w="70"/>
              <w:right w:type="dxa" w:w="120"/>
            </w:tcMar>
          </w:tcPr>
          <w:p>
            <w:pPr>
              <w:jc w:val="left"/>
            </w:pPr>
            <w:r>
              <w:rPr>
                <w:rFonts w:ascii="Calibri" w:cs="Calibri" w:eastAsia="Calibri" w:hAnsi="Calibri"/>
                <w:b/>
                <w:bCs/>
                <w:color w:val="1F3864"/>
                <w:sz w:val="18"/>
                <w:szCs w:val="18"/>
              </w:rPr>
              <w:t xml:space="preserve">Dépenses totales de prestations</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C1.1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Tous programmes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Total dépenses de prestations en espèces (versements directs)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CDF ou USD</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C1.2</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Tous programmes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Total dépenses de prestations en nature (valeur estimée)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CDF ou USD</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C1.3</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PAM — TRC (via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Montant total des transferts (si disponible auprès du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USD</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À défaut : source directe PAM</w:t>
            </w:r>
          </w:p>
        </w:tc>
      </w:tr>
      <w:tr>
        <w:tc>
          <w:tcPr>
            <w:gridSpan w:val="6"/>
            <w:shd w:fill="D9E1F2" w:color="auto" w:val="clear"/>
            <w:tcMar>
              <w:top w:type="dxa" w:w="70"/>
              <w:left w:type="dxa" w:w="120"/>
              <w:bottom w:type="dxa" w:w="70"/>
              <w:right w:type="dxa" w:w="120"/>
            </w:tcMar>
          </w:tcPr>
          <w:p>
            <w:pPr>
              <w:jc w:val="left"/>
            </w:pPr>
            <w:r>
              <w:rPr>
                <w:rFonts w:ascii="Calibri" w:cs="Calibri" w:eastAsia="Calibri" w:hAnsi="Calibri"/>
                <w:b/>
                <w:bCs/>
                <w:color w:val="1F3864"/>
                <w:sz w:val="18"/>
                <w:szCs w:val="18"/>
              </w:rPr>
              <w:t xml:space="preserve">Montant moyen par bénéficiaire</w:t>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C2.1</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PAM — TRC</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Transfert moyen mensuel par ménage bénéficiaire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USD ou CDF</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C2.2</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STEP / Banque mondiale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Transfert moyen mensuel par ménage bénéficiaire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USD ou CDF</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r>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C2.3</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iCs/>
                <w:color w:val="595959"/>
                <w:sz w:val="18"/>
                <w:szCs w:val="18"/>
              </w:rPr>
              <w:t xml:space="preserve">[Programme gouvernemental MINAS]</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Prestation ou transfert moyen par bénéficiaire</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CDF ou USD</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2019–2024</w:t>
            </w:r>
          </w:p>
        </w:tc>
        <w:tc>
          <w:tcPr>
            <w:gridSpan w:val="1"/>
            <w:tcMar>
              <w:top w:type="dxa" w:w="50"/>
              <w:left w:type="dxa" w:w="100"/>
              <w:bottom w:type="dxa" w:w="50"/>
              <w:right w:type="dxa" w:w="100"/>
            </w:tcMar>
            <w:vAlign w:val="center"/>
          </w:tcPr>
          <w:p>
            <w:pPr>
              <w:jc w:val="left"/>
            </w:pPr>
            <w:r>
              <w:rPr>
                <w:rFonts w:ascii="Calibri" w:cs="Calibri" w:eastAsia="Calibri" w:hAnsi="Calibri"/>
                <w:b w:val="false"/>
                <w:bCs w:val="false"/>
                <w:i w:val="false"/>
                <w:iCs w:val="false"/>
                <w:color w:val="000000"/>
                <w:sz w:val="18"/>
                <w:szCs w:val="18"/>
              </w:rPr>
              <w:t xml:space="preserve"/>
            </w:r>
          </w:p>
        </w:tc>
      </w:tr>
    </w:tbl>
    <w:p>
      <w:pPr>
        <w:pageBreakBefore/>
        <w:spacing w:after="160"/>
      </w:pPr>
      <w:r>
        <w:rPr>
          <w:rFonts w:ascii="Calibri" w:cs="Calibri" w:eastAsia="Calibri" w:hAnsi="Calibri"/>
          <w:b/>
          <w:bCs/>
          <w:sz w:val="22"/>
          <w:szCs w:val="22"/>
        </w:rPr>
        <w:t xml:space="preserve">2. MODALITÉS DE RÉPONSE</w:t>
      </w:r>
    </w:p>
    <w:p>
      <w:pPr>
        <w:spacing w:after="120"/>
      </w:pPr>
      <w:r>
        <w:rPr>
          <w:rFonts w:ascii="Calibri" w:cs="Calibri" w:eastAsia="Calibri" w:hAnsi="Calibri"/>
          <w:sz w:val="19"/>
          <w:szCs w:val="19"/>
        </w:rPr>
        <w:t xml:space="preserve">Nous vous remercions de bien vouloir compléter le canevas Excel joint à ce document et de le retourner à l'adresse suivante avant le [date limite à préciser].</w:t>
      </w:r>
    </w:p>
    <w:p>
      <w:pPr>
        <w:spacing w:after="120"/>
      </w:pPr>
      <w:r>
        <w:rPr>
          <w:rFonts w:ascii="Calibri" w:cs="Calibri" w:eastAsia="Calibri" w:hAnsi="Calibri"/>
          <w:b/>
          <w:bCs/>
          <w:sz w:val="20"/>
          <w:szCs w:val="20"/>
        </w:rPr>
        <w:t xml:space="preserve">Contact principal : </w:t>
      </w:r>
      <w:r>
        <w:rPr>
          <w:rFonts w:ascii="Calibri" w:cs="Calibri" w:eastAsia="Calibri" w:hAnsi="Calibri"/>
          <w:sz w:val="20"/>
          <w:szCs w:val="20"/>
        </w:rPr>
        <w:t xml:space="preserve">[Nom du point focal — METPS / BIT] — [email@exemple.org] — [Tél.]</w:t>
      </w:r>
    </w:p>
    <w:p>
      <w:pPr>
        <w:spacing w:after="200"/>
      </w:pPr>
      <w:r>
        <w:rPr>
          <w:rFonts w:ascii="Calibri" w:cs="Calibri" w:eastAsia="Calibri" w:hAnsi="Calibri"/>
          <w:sz w:val="19"/>
          <w:szCs w:val="19"/>
        </w:rPr>
        <w:t xml:space="preserve">Pour toute question relative à cette demande ou aux modalités de transmission des données, veuillez contacter directement le point focal ci-dessus. Une réunion de clarification peut être organisée sur demande.</w:t>
      </w:r>
    </w:p>
    <w:p>
      <w:pPr>
        <w:spacing w:before="400"/>
        <w:jc w:val="center"/>
      </w:pPr>
      <w:r>
        <w:rPr>
          <w:rFonts w:ascii="Calibri" w:cs="Calibri" w:eastAsia="Calibri" w:hAnsi="Calibri"/>
          <w:i/>
          <w:iCs/>
          <w:color w:val="595959"/>
          <w:sz w:val="18"/>
          <w:szCs w:val="18"/>
        </w:rPr>
        <w:t xml:space="preserve">Ce document a été produit dans le cadre du Programme BIT/OIT d'appui au développement du système national de protection sociale en RDC.</w:t>
      </w:r>
    </w:p>
    <w:sectPr>
      <w:pgSz w:w="12240" w:h="15840" w:orient="landscape"/>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2026-06-26T13:10:45.923Z</dcterms:created>
  <dcterms:modified xsi:type="dcterms:W3CDTF">2026-06-26T13:10:45.946Z</dcterms:modified>
</cp:coreProperties>
</file>

<file path=docProps/custom.xml><?xml version="1.0" encoding="utf-8"?>
<Properties xmlns="http://schemas.openxmlformats.org/officeDocument/2006/custom-properties" xmlns:vt="http://schemas.openxmlformats.org/officeDocument/2006/docPropsVTypes"/>
</file>