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9"/>
          <w:sz w:val="56"/>
        </w:rPr>
        <w:t>ADVANCED EXCEL</w:t>
        <w:br/>
        <w:t>DATA ANALYSIS REPORT</w:t>
      </w:r>
    </w:p>
    <w:p>
      <w:pPr>
        <w:jc w:val="center"/>
      </w:pPr>
      <w:r>
        <w:rPr>
          <w:b/>
          <w:sz w:val="34"/>
        </w:rPr>
        <w:t>Week 1 Internship Task</w:t>
      </w:r>
    </w:p>
    <w:p>
      <w:pPr>
        <w:jc w:val="center"/>
      </w:pPr>
      <w:r>
        <w:rPr>
          <w:sz w:val="22"/>
        </w:rPr>
        <w:t>Advanced Formulas • Pivot Tables • Visualisation • Business Insights</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Project detail</w:t>
            </w:r>
          </w:p>
        </w:tc>
        <w:tc>
          <w:tcPr>
            <w:tcW w:type="dxa" w:w="4968"/>
            <w:vAlign w:val="center"/>
            <w:shd w:fill="1F4E79"/>
          </w:tcPr>
          <w:p>
            <w:pPr>
              <w:spacing w:after="0"/>
            </w:pPr>
            <w:r/>
            <w:r>
              <w:rPr>
                <w:b/>
                <w:color w:val="FFFFFF"/>
                <w:sz w:val="18"/>
              </w:rPr>
              <w:t>Description</w:t>
            </w:r>
          </w:p>
        </w:tc>
      </w:tr>
      <w:tr>
        <w:tc>
          <w:tcPr>
            <w:tcW w:type="dxa" w:w="4968"/>
            <w:vAlign w:val="center"/>
          </w:tcPr>
          <w:p>
            <w:pPr>
              <w:spacing w:after="0"/>
            </w:pPr>
            <w:r/>
            <w:r>
              <w:rPr>
                <w:b w:val="0"/>
                <w:sz w:val="17"/>
              </w:rPr>
              <w:t>Dataset</w:t>
            </w:r>
          </w:p>
        </w:tc>
        <w:tc>
          <w:tcPr>
            <w:tcW w:type="dxa" w:w="4968"/>
            <w:vAlign w:val="center"/>
          </w:tcPr>
          <w:p>
            <w:pPr>
              <w:spacing w:after="0"/>
            </w:pPr>
            <w:r/>
            <w:r>
              <w:rPr>
                <w:b w:val="0"/>
                <w:sz w:val="17"/>
              </w:rPr>
              <w:t>Shopping Trends customer purchase dataset</w:t>
            </w:r>
          </w:p>
        </w:tc>
      </w:tr>
      <w:tr>
        <w:tc>
          <w:tcPr>
            <w:tcW w:type="dxa" w:w="4968"/>
            <w:vAlign w:val="center"/>
            <w:shd w:fill="EAF1F8"/>
          </w:tcPr>
          <w:p>
            <w:pPr>
              <w:spacing w:after="0"/>
            </w:pPr>
            <w:r/>
            <w:r>
              <w:rPr>
                <w:b w:val="0"/>
                <w:sz w:val="17"/>
              </w:rPr>
              <w:t>Tool</w:t>
            </w:r>
          </w:p>
        </w:tc>
        <w:tc>
          <w:tcPr>
            <w:tcW w:type="dxa" w:w="4968"/>
            <w:vAlign w:val="center"/>
            <w:shd w:fill="EAF1F8"/>
          </w:tcPr>
          <w:p>
            <w:pPr>
              <w:spacing w:after="0"/>
            </w:pPr>
            <w:r/>
            <w:r>
              <w:rPr>
                <w:b w:val="0"/>
                <w:sz w:val="17"/>
              </w:rPr>
              <w:t>Microsoft Excel</w:t>
            </w:r>
          </w:p>
        </w:tc>
      </w:tr>
      <w:tr>
        <w:tc>
          <w:tcPr>
            <w:tcW w:type="dxa" w:w="4968"/>
            <w:vAlign w:val="center"/>
          </w:tcPr>
          <w:p>
            <w:pPr>
              <w:spacing w:after="0"/>
            </w:pPr>
            <w:r/>
            <w:r>
              <w:rPr>
                <w:b w:val="0"/>
                <w:sz w:val="17"/>
              </w:rPr>
              <w:t>Records analysed</w:t>
            </w:r>
          </w:p>
        </w:tc>
        <w:tc>
          <w:tcPr>
            <w:tcW w:type="dxa" w:w="4968"/>
            <w:vAlign w:val="center"/>
          </w:tcPr>
          <w:p>
            <w:pPr>
              <w:spacing w:after="0"/>
            </w:pPr>
            <w:r/>
            <w:r>
              <w:rPr>
                <w:b w:val="0"/>
                <w:sz w:val="17"/>
              </w:rPr>
              <w:t>3,900 customer records plus one header row</w:t>
            </w:r>
          </w:p>
        </w:tc>
      </w:tr>
      <w:tr>
        <w:tc>
          <w:tcPr>
            <w:tcW w:type="dxa" w:w="4968"/>
            <w:vAlign w:val="center"/>
            <w:shd w:fill="EAF1F8"/>
          </w:tcPr>
          <w:p>
            <w:pPr>
              <w:spacing w:after="0"/>
            </w:pPr>
            <w:r/>
            <w:r>
              <w:rPr>
                <w:b w:val="0"/>
                <w:sz w:val="17"/>
              </w:rPr>
              <w:t>Fields available</w:t>
            </w:r>
          </w:p>
        </w:tc>
        <w:tc>
          <w:tcPr>
            <w:tcW w:type="dxa" w:w="4968"/>
            <w:vAlign w:val="center"/>
            <w:shd w:fill="EAF1F8"/>
          </w:tcPr>
          <w:p>
            <w:pPr>
              <w:spacing w:after="0"/>
            </w:pPr>
            <w:r/>
            <w:r>
              <w:rPr>
                <w:b w:val="0"/>
                <w:sz w:val="17"/>
              </w:rPr>
              <w:t>19 columns covering customer, product, purchase, payment and shipping information</w:t>
            </w:r>
          </w:p>
        </w:tc>
      </w:tr>
      <w:tr>
        <w:tc>
          <w:tcPr>
            <w:tcW w:type="dxa" w:w="4968"/>
            <w:vAlign w:val="center"/>
          </w:tcPr>
          <w:p>
            <w:pPr>
              <w:spacing w:after="0"/>
            </w:pPr>
            <w:r/>
            <w:r>
              <w:rPr>
                <w:b w:val="0"/>
                <w:sz w:val="17"/>
              </w:rPr>
              <w:t>Primary goal</w:t>
            </w:r>
          </w:p>
        </w:tc>
        <w:tc>
          <w:tcPr>
            <w:tcW w:type="dxa" w:w="4968"/>
            <w:vAlign w:val="center"/>
          </w:tcPr>
          <w:p>
            <w:pPr>
              <w:spacing w:after="0"/>
            </w:pPr>
            <w:r/>
            <w:r>
              <w:rPr>
                <w:b w:val="0"/>
                <w:sz w:val="17"/>
              </w:rPr>
              <w:t>Transform transaction-level data into summaries that support business decisions</w:t>
            </w:r>
          </w:p>
        </w:tc>
      </w:tr>
    </w:tbl>
    <w:p>
      <w:pPr>
        <w:spacing w:after="20"/>
      </w:pPr>
    </w:p>
    <w:p>
      <w:pPr>
        <w:spacing w:before="800"/>
        <w:jc w:val="center"/>
      </w:pPr>
      <w:r>
        <w:rPr>
          <w:i/>
          <w:color w:val="5A5A5A"/>
        </w:rPr>
        <w:t>Prepared as a practical Junior Data Analyst project</w:t>
      </w:r>
    </w:p>
    <w:p>
      <w:r>
        <w:br w:type="page"/>
      </w:r>
    </w:p>
    <w:p>
      <w:pPr>
        <w:pStyle w:val="Heading1"/>
      </w:pPr>
      <w:r>
        <w:t>1. Executive Summary</w:t>
      </w:r>
    </w:p>
    <w:p>
      <w:r>
        <w:t>This report documents an Excel-based analytical workflow using a Shopping Trends dataset. The task extends beyond basic cleaning: it uses calculated customer segments, conditional aggregation, lookup logic, Pivot Tables and a chart to summarise purchasing behaviour. The purpose is to demonstrate how a junior data analyst can move from row-level records to clear, explainable metrics and practical business recommendations.</w:t>
      </w:r>
    </w:p>
    <w:p>
      <w:r>
        <w:t>The workbook contains 3,900 customer records and 19 fields. The analysis calculated a total purchase amount of $233,081 and an overall average purchase amount of approximately $59.76. Clothing contributed the largest category total ($104,264), while Footwear had the highest category average ($60.26). Subscription status was recorded as “No” for 2,847 customers and “Yes” for 1,053 customers. A purchase-segment analysis was also created using three transparent thresholds: High (at least $100), Medium ($50 to $99), and Low (below $50). The segment results were 36 High, 2,398 Medium and 1,466 Low records.</w:t>
      </w:r>
    </w:p>
    <w:p>
      <w:r>
        <w:t>These results should be interpreted as descriptive findings from this dataset, not proof of customer motivation or future behaviour. The analysis is useful for comparing groups, identifying where revenue is concentrated and suggesting questions for further investigation. Before submission, the Excel workbook should be saved with the corrected Category lookup and the final Pivot Table/chart visible, so that the supporting evidence matches this report.</w:t>
      </w:r>
    </w:p>
    <w:p>
      <w:pPr>
        <w:pStyle w:val="Heading1"/>
      </w:pPr>
      <w:r>
        <w:t>2. Objectives and Scope</w:t>
      </w:r>
    </w:p>
    <w:p>
      <w:pPr>
        <w:pStyle w:val="ListBullet"/>
      </w:pPr>
      <w:r>
        <w:t>Inspect the dataset structure and confirm that the columns needed for analysis are present.</w:t>
      </w:r>
    </w:p>
    <w:p>
      <w:pPr>
        <w:pStyle w:val="ListBullet"/>
      </w:pPr>
      <w:r>
        <w:t>Use advanced Excel formulas to create a customer purchase segment and calculate summary metrics.</w:t>
      </w:r>
    </w:p>
    <w:p>
      <w:pPr>
        <w:pStyle w:val="ListBullet"/>
      </w:pPr>
      <w:r>
        <w:t>Use lookup and conditional aggregation formulas to connect customer records with category and segment information.</w:t>
      </w:r>
    </w:p>
    <w:p>
      <w:pPr>
        <w:pStyle w:val="ListBullet"/>
      </w:pPr>
      <w:r>
        <w:t>Create Pivot Tables that summarise category, location, subscription and purchase-segment patterns.</w:t>
      </w:r>
    </w:p>
    <w:p>
      <w:pPr>
        <w:pStyle w:val="ListBullet"/>
      </w:pPr>
      <w:r>
        <w:t>Create a chart and explain how it supports interpretation of the results.</w:t>
      </w:r>
    </w:p>
    <w:p>
      <w:pPr>
        <w:pStyle w:val="ListBullet"/>
      </w:pPr>
      <w:r>
        <w:t>Document the process, formula logic, limitations, findings and actionable recommendations in a professional report.</w:t>
      </w:r>
    </w:p>
    <w:p>
      <w:pPr>
        <w:pStyle w:val="Heading1"/>
      </w:pPr>
      <w:r>
        <w:t>3. Dataset Description and Initial Assessment</w:t>
      </w:r>
    </w:p>
    <w:p>
      <w:r>
        <w:t>The selected dataset is a Shopping Trends table with 3,900 data rows and 19 columns. Each row represents a customer purchase record. The columns include Customer ID, Age, Gender, Item Purchased, Category, Purchase Amount (USD), Location, Size, Color, Season, Review Rating, Subscription Status, Payment Method, Shipping Type, Discount Applied, Promo Code Used, Previous Purchases, Preferred Payment Method and Frequency of Purchases.</w:t>
      </w:r>
    </w:p>
    <w:p>
      <w:r>
        <w:t>The Customer ID field is used to connect the analysis sheet to the source data. Purchase Amount (USD) is the main numeric measure for totals and averages. Category and Location are useful grouping fields, while Subscription Status supports a customer-count comparison. Review Rating and other fields could support future analyses, such as whether ratings differ by category or season. The dataset contains multiple variable types: identifiers, numeric measures and categorical labels, making it appropriate for formula-based analysis and Pivot Tables.</w:t>
      </w:r>
    </w:p>
    <w:p>
      <w:r>
        <w:t>The source data was kept on a separate Raw_Data sheet to reduce the risk of accidentally overwriting original values. Analysis fields were created on a separate Formula_Analysis sheet. This separation is an important spreadsheet practice because it makes the workflow easier to audit and allows formulas to be checked without changing the source records.</w:t>
      </w:r>
    </w:p>
    <w:p>
      <w:pPr>
        <w:pStyle w:val="Heading1"/>
      </w:pPr>
      <w:r>
        <w:t>4. Analytical Methodology</w:t>
      </w:r>
    </w:p>
    <w:p>
      <w:r>
        <w:t>The work was completed in stages. First, the source columns were reviewed and the fields needed for the analysis were identified. Next, a separate analysis sheet was prepared with Customer ID, Purchase Amount, Purchase Segment and Category. The first two fields were linked to the source data using cell references. A nested IF formula assigned a segment to each purchase amount. Summary formulas then calculated segment counts and averages. A lookup formula retrieved Category by Customer ID. Finally, Pivot Tables were used to summarise the data and a PivotChart was created for the purchase-segment comparison.</w:t>
      </w:r>
    </w:p>
    <w:p>
      <w:r>
        <w:t>The first ten rows were used to test the formulas before the formulas were filled down through row 3901, which corresponds to 3,900 data records plus the header row. Testing on a small range first is a practical way to catch syntax errors before applying a formula across thousands of rows. The formulas were then filled down using the Name Box to select a target range and Ctrl+D to fill down.</w:t>
      </w:r>
    </w:p>
    <w:p>
      <w:pPr>
        <w:pStyle w:val="Heading1"/>
      </w:pPr>
      <w:r>
        <w:t>5. Advanced Excel Formulas Used</w:t>
      </w:r>
    </w:p>
    <w:p>
      <w:pPr>
        <w:pStyle w:val="Heading2"/>
      </w:pPr>
      <w:r>
        <w:t>5.1 Direct cell references</w:t>
      </w:r>
    </w:p>
    <w:p>
      <w:r>
        <w:t>The analysis sheet was linked to the source data rather than manually copying values. The Customer ID in A2 was linked with =Raw_Data!A2 and the Purchase Amount in B2 with =Raw_Data!F2. When filled down, Excel adjusts the row reference automatically, so the next row becomes Raw_Data!A3 and Raw_Data!F3. This keeps the analysis connected to the source data and reduces manual entry errors.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sz w:val="18"/>
              </w:rPr>
              <w:t>Purpose</w:t>
            </w:r>
          </w:p>
        </w:tc>
        <w:tc>
          <w:tcPr>
            <w:tcW w:type="dxa" w:w="3312"/>
            <w:vAlign w:val="center"/>
            <w:shd w:fill="1F4E79"/>
          </w:tcPr>
          <w:p>
            <w:pPr>
              <w:spacing w:after="0"/>
            </w:pPr>
            <w:r/>
            <w:r>
              <w:rPr>
                <w:b/>
                <w:color w:val="FFFFFF"/>
                <w:sz w:val="18"/>
              </w:rPr>
              <w:t>Formula example</w:t>
            </w:r>
          </w:p>
        </w:tc>
        <w:tc>
          <w:tcPr>
            <w:tcW w:type="dxa" w:w="3312"/>
            <w:vAlign w:val="center"/>
            <w:shd w:fill="1F4E79"/>
          </w:tcPr>
          <w:p>
            <w:pPr>
              <w:spacing w:after="0"/>
            </w:pPr>
            <w:r/>
            <w:r>
              <w:rPr>
                <w:b/>
                <w:color w:val="FFFFFF"/>
                <w:sz w:val="18"/>
              </w:rPr>
              <w:t>Explanation</w:t>
            </w:r>
          </w:p>
        </w:tc>
      </w:tr>
      <w:tr>
        <w:tc>
          <w:tcPr>
            <w:tcW w:type="dxa" w:w="3312"/>
            <w:vAlign w:val="center"/>
          </w:tcPr>
          <w:p>
            <w:pPr>
              <w:spacing w:after="0"/>
            </w:pPr>
            <w:r/>
            <w:r>
              <w:rPr>
                <w:b w:val="0"/>
                <w:sz w:val="17"/>
              </w:rPr>
              <w:t>Bring Customer ID</w:t>
            </w:r>
          </w:p>
        </w:tc>
        <w:tc>
          <w:tcPr>
            <w:tcW w:type="dxa" w:w="3312"/>
            <w:vAlign w:val="center"/>
          </w:tcPr>
          <w:p>
            <w:pPr>
              <w:spacing w:after="0"/>
            </w:pPr>
            <w:r/>
            <w:r>
              <w:rPr>
                <w:b w:val="0"/>
                <w:sz w:val="17"/>
              </w:rPr>
              <w:t>=Raw_Data!A2</w:t>
            </w:r>
          </w:p>
        </w:tc>
        <w:tc>
          <w:tcPr>
            <w:tcW w:type="dxa" w:w="3312"/>
            <w:vAlign w:val="center"/>
          </w:tcPr>
          <w:p>
            <w:pPr>
              <w:spacing w:after="0"/>
            </w:pPr>
            <w:r/>
            <w:r>
              <w:rPr>
                <w:b w:val="0"/>
                <w:sz w:val="17"/>
              </w:rPr>
              <w:t>Returns the Customer ID from column A of Raw_Data.</w:t>
            </w:r>
          </w:p>
        </w:tc>
      </w:tr>
      <w:tr>
        <w:tc>
          <w:tcPr>
            <w:tcW w:type="dxa" w:w="3312"/>
            <w:vAlign w:val="center"/>
            <w:shd w:fill="EAF1F8"/>
          </w:tcPr>
          <w:p>
            <w:pPr>
              <w:spacing w:after="0"/>
            </w:pPr>
            <w:r/>
            <w:r>
              <w:rPr>
                <w:b w:val="0"/>
                <w:sz w:val="17"/>
              </w:rPr>
              <w:t>Bring Purchase Amount</w:t>
            </w:r>
          </w:p>
        </w:tc>
        <w:tc>
          <w:tcPr>
            <w:tcW w:type="dxa" w:w="3312"/>
            <w:vAlign w:val="center"/>
            <w:shd w:fill="EAF1F8"/>
          </w:tcPr>
          <w:p>
            <w:pPr>
              <w:spacing w:after="0"/>
            </w:pPr>
            <w:r/>
            <w:r>
              <w:rPr>
                <w:b w:val="0"/>
                <w:sz w:val="17"/>
              </w:rPr>
              <w:t>=Raw_Data!F2</w:t>
            </w:r>
          </w:p>
        </w:tc>
        <w:tc>
          <w:tcPr>
            <w:tcW w:type="dxa" w:w="3312"/>
            <w:vAlign w:val="center"/>
            <w:shd w:fill="EAF1F8"/>
          </w:tcPr>
          <w:p>
            <w:pPr>
              <w:spacing w:after="0"/>
            </w:pPr>
            <w:r/>
            <w:r>
              <w:rPr>
                <w:b w:val="0"/>
                <w:sz w:val="17"/>
              </w:rPr>
              <w:t>Returns the purchase amount from column F of Raw_Data.</w:t>
            </w:r>
          </w:p>
        </w:tc>
      </w:tr>
    </w:tbl>
    <w:p>
      <w:pPr>
        <w:spacing w:after="20"/>
      </w:pPr>
    </w:p>
    <w:p>
      <w:pPr>
        <w:pStyle w:val="Heading2"/>
      </w:pPr>
      <w:r>
        <w:t>5.2 Nested IF: Purchase Segment</w:t>
      </w:r>
    </w:p>
    <w:p>
      <w:r>
        <w:t>A nested IF formula was used to group purchase amounts into three bands. This makes a numeric value easier to interpret in a summary table. The thresholds are explicit and can be changed if the business defines different spending bands.</w:t>
      </w:r>
    </w:p>
    <w:p>
      <w:pPr>
        <w:ind w:left="360"/>
      </w:pPr>
      <w:r>
        <w:rPr>
          <w:rFonts w:ascii="Consolas" w:hAnsi="Consolas"/>
          <w:b/>
          <w:sz w:val="20"/>
        </w:rPr>
        <w:t>=IF(B2&gt;=100,"High",IF(B2&gt;=50,"Medium","Low"))</w:t>
      </w:r>
    </w:p>
    <w:p>
      <w:pPr>
        <w:pStyle w:val="ListBullet"/>
      </w:pPr>
      <w:r>
        <w:t>If B2 is at least 100, the formula returns High.</w:t>
      </w:r>
    </w:p>
    <w:p>
      <w:pPr>
        <w:pStyle w:val="ListBullet"/>
      </w:pPr>
      <w:r>
        <w:t>Otherwise, if B2 is at least 50, the formula returns Medium.</w:t>
      </w:r>
    </w:p>
    <w:p>
      <w:pPr>
        <w:pStyle w:val="ListBullet"/>
      </w:pPr>
      <w:r>
        <w:t>If neither condition is true, the formula returns Low.</w:t>
      </w:r>
    </w:p>
    <w:p>
      <w:r>
        <w:t>This formula uses nested decision logic: the second IF is evaluated only when the first condition is false. The formula was filled down the Purchase Segment column for the full dataset. In this project, High means $100 or more, Medium means $50 through $99, and Low means less than $50. Since the dataset purchase amounts range from $20 to $100, the High segment is relatively small by design.</w:t>
      </w:r>
    </w:p>
    <w:p>
      <w:pPr>
        <w:pStyle w:val="Heading2"/>
      </w:pPr>
      <w:r>
        <w:t>5.3 SUMIFS: total purchase amount for a segment</w:t>
      </w:r>
    </w:p>
    <w:p>
      <w:pPr>
        <w:ind w:left="360"/>
      </w:pPr>
      <w:r>
        <w:rPr>
          <w:rFonts w:ascii="Consolas" w:hAnsi="Consolas"/>
          <w:b/>
          <w:sz w:val="20"/>
        </w:rPr>
        <w:t>=SUMIFS(B2:B11,C2:C11,"High")</w:t>
      </w:r>
    </w:p>
    <w:p>
      <w:r>
        <w:t>SUMIFS adds values in the Purchase Amount range only when the corresponding Purchase Segment is High. This test formula was first applied to a small range to confirm the logic. For a full-dataset summary, the ranges should cover B2:B3901 and C2:C3901, or the summary should use a Pivot Table. Using a clear criterion makes the formula easy to audit.</w:t>
      </w:r>
    </w:p>
    <w:p>
      <w:pPr>
        <w:pStyle w:val="Heading2"/>
      </w:pPr>
      <w:r>
        <w:t>5.4 COUNTIFS / COUNTIF: count records by segment</w:t>
      </w:r>
    </w:p>
    <w:p>
      <w:pPr>
        <w:ind w:left="360"/>
      </w:pPr>
      <w:r>
        <w:rPr>
          <w:rFonts w:ascii="Consolas" w:hAnsi="Consolas"/>
          <w:b/>
          <w:sz w:val="20"/>
        </w:rPr>
        <w:t>=COUNTIFS(C2:C11,"High")</w:t>
      </w:r>
    </w:p>
    <w:p>
      <w:r>
        <w:t>COUNTIFS counts records that meet a condition. For a summary table where the segment label is stored in H2, the formula =COUNTIF($C$2:$C$3901,H2) counts all records matching that label. Copying the formula down for High, Medium and Low allows the same formula to be reused with different criteria. Absolute references (the dollar signs) keep the data ranges fixed while the criteria reference changes from H2 to H3 and H4.</w:t>
      </w:r>
    </w:p>
    <w:p>
      <w:pPr>
        <w:pStyle w:val="Heading2"/>
      </w:pPr>
      <w:r>
        <w:t>5.5 IFERROR and AVERAGE</w:t>
      </w:r>
    </w:p>
    <w:p>
      <w:pPr>
        <w:ind w:left="360"/>
      </w:pPr>
      <w:r>
        <w:rPr>
          <w:rFonts w:ascii="Consolas" w:hAnsi="Consolas"/>
          <w:b/>
          <w:sz w:val="20"/>
        </w:rPr>
        <w:t>=IFERROR(AVERAGE(B2:B11),0)</w:t>
      </w:r>
    </w:p>
    <w:p>
      <w:r>
        <w:t>AVERAGE calculates the mean purchase amount over the selected range. IFERROR returns zero if the inner calculation results in an error, such as when a range has no numeric values. This can make a report easier to read, but it should be used thoughtfully: a zero can be mistaken for a genuine average. In production analysis, a message such as “Check data” may be more informative than zero when the result is not valid.</w:t>
      </w:r>
    </w:p>
    <w:p>
      <w:pPr>
        <w:pStyle w:val="Heading2"/>
      </w:pPr>
      <w:r>
        <w:t>5.6 AVERAGEIF: average purchase by segment</w:t>
      </w:r>
    </w:p>
    <w:p>
      <w:pPr>
        <w:ind w:left="360"/>
      </w:pPr>
      <w:r>
        <w:rPr>
          <w:rFonts w:ascii="Consolas" w:hAnsi="Consolas"/>
          <w:b/>
          <w:sz w:val="19"/>
        </w:rPr>
        <w:t>=IFERROR(AVERAGEIF($C$2:$C$3901,H2,$B$2:$B$3901),0)</w:t>
      </w:r>
    </w:p>
    <w:p>
      <w:r>
        <w:t>AVERAGEIF averages only the purchase amounts whose segment matches the label in H2. The first range identifies the segment values, H2 is the criterion, and the third range contains the numeric purchase amounts. Filling this formula down calculates the average for High, Medium and Low. The formula result can be compared with the Pivot Table output as a cross-check.</w:t>
      </w:r>
    </w:p>
    <w:p>
      <w:pPr>
        <w:pStyle w:val="Heading2"/>
      </w:pPr>
      <w:r>
        <w:t>5.7 VLOOKUP: retrieve Category</w:t>
      </w:r>
    </w:p>
    <w:p>
      <w:pPr>
        <w:ind w:left="360"/>
      </w:pPr>
      <w:r>
        <w:rPr>
          <w:rFonts w:ascii="Consolas" w:hAnsi="Consolas"/>
          <w:b/>
          <w:sz w:val="19"/>
        </w:rPr>
        <w:t>=IFERROR(VLOOKUP(A2,Raw_Data!A:E,5,FALSE),"Not Found")</w:t>
      </w:r>
    </w:p>
    <w:p>
      <w:r>
        <w:t>VLOOKUP searches for the Customer ID in A2 in the first column of the Raw_Data range A:E. The number 5 tells Excel to return the fifth column of that range, which is Category. FALSE requests an exact match. IFERROR returns “Not Found” if the ID cannot be matched. The Category field must map to column E in Raw_Data; column C is Gender. This column mapping was checked and corrected during the workflow after an early formula returned Gender instead of Category.</w:t>
      </w:r>
    </w:p>
    <w:p>
      <w:pPr>
        <w:pStyle w:val="Heading2"/>
      </w:pPr>
      <w:r>
        <w:t>5.8 Array formula: extract High purchase amounts</w:t>
      </w:r>
    </w:p>
    <w:p>
      <w:pPr>
        <w:ind w:left="360"/>
      </w:pPr>
      <w:r>
        <w:rPr>
          <w:rFonts w:ascii="Consolas" w:hAnsi="Consolas"/>
          <w:b/>
          <w:sz w:val="17"/>
        </w:rPr>
        <w:t>=IFERROR(INDEX($B$2:$B$3901,SMALL(IF($C$2:$C$3901="High",ROW($B$2:$B$3901)-ROW($B$2)+1),ROWS(H$7:H7))),"")</w:t>
      </w:r>
    </w:p>
    <w:p>
      <w:r>
        <w:t>The array-style formula uses IF to identify rows whose segment equals High, SMALL to return the next qualifying position, and INDEX to return the matching purchase amount. ROW calculates relative row positions and ROWS provides a counter as the formula is copied downward. IFERROR returns a blank when there are no further matching rows. In older Excel versions, this formula may need to be confirmed with Ctrl+Shift+Enter; newer versions may handle dynamic arrays differently. Unlike FILTER, which was not recognised by the Excel version used in this workflow, this INDEX/SMALL approach can work in older versions when entered correctly.</w:t>
      </w:r>
    </w:p>
    <w:p>
      <w:pPr>
        <w:pStyle w:val="Heading1"/>
      </w:pPr>
      <w:r>
        <w:t>6. Pivot Tables: Setup and Interpretation</w:t>
      </w:r>
    </w:p>
    <w:p>
      <w:r>
        <w:t>Pivot Tables summarise thousands of rows without requiring a separate formula for every category. The standard process is to click inside the source range, choose Insert → PivotTable, select the source range and choose New Worksheet. Then fields are dragged into Rows, Columns, Values and Filters. Numeric fields in Values can be summarised by Sum, Count or Average using Value Field Settings.</w:t>
      </w:r>
    </w:p>
    <w:p>
      <w:pPr>
        <w:pStyle w:val="Heading2"/>
      </w:pPr>
      <w:r>
        <w:t>6.1 Category-wise purchase summary</w:t>
      </w:r>
    </w:p>
    <w:p>
      <w:r>
        <w:t>The category Pivot Table placed Category in Rows and Purchase Amount (USD) in Values twice: once as Sum and once as Average. This produced the following category summary. The total purchase amount across all categories was $233,081.</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b/>
                <w:color w:val="FFFFFF"/>
                <w:sz w:val="18"/>
              </w:rPr>
              <w:t>Category</w:t>
            </w:r>
          </w:p>
        </w:tc>
        <w:tc>
          <w:tcPr>
            <w:tcW w:type="dxa" w:w="2484"/>
            <w:vAlign w:val="center"/>
            <w:shd w:fill="1F4E79"/>
          </w:tcPr>
          <w:p>
            <w:pPr>
              <w:spacing w:after="0"/>
            </w:pPr>
            <w:r/>
            <w:r>
              <w:rPr>
                <w:b/>
                <w:color w:val="FFFFFF"/>
                <w:sz w:val="18"/>
              </w:rPr>
              <w:t>Purchase amount total ($)</w:t>
            </w:r>
          </w:p>
        </w:tc>
        <w:tc>
          <w:tcPr>
            <w:tcW w:type="dxa" w:w="2484"/>
            <w:vAlign w:val="center"/>
            <w:shd w:fill="1F4E79"/>
          </w:tcPr>
          <w:p>
            <w:pPr>
              <w:spacing w:after="0"/>
            </w:pPr>
            <w:r/>
            <w:r>
              <w:rPr>
                <w:b/>
                <w:color w:val="FFFFFF"/>
                <w:sz w:val="18"/>
              </w:rPr>
              <w:t>Average purchase ($)</w:t>
            </w:r>
          </w:p>
        </w:tc>
        <w:tc>
          <w:tcPr>
            <w:tcW w:type="dxa" w:w="2484"/>
            <w:vAlign w:val="center"/>
            <w:shd w:fill="1F4E79"/>
          </w:tcPr>
          <w:p>
            <w:pPr>
              <w:spacing w:after="0"/>
            </w:pPr>
            <w:r/>
            <w:r>
              <w:rPr>
                <w:b/>
                <w:color w:val="FFFFFF"/>
                <w:sz w:val="18"/>
              </w:rPr>
              <w:t>Record count</w:t>
            </w:r>
          </w:p>
        </w:tc>
      </w:tr>
      <w:tr>
        <w:tc>
          <w:tcPr>
            <w:tcW w:type="dxa" w:w="2484"/>
            <w:vAlign w:val="center"/>
          </w:tcPr>
          <w:p>
            <w:pPr>
              <w:spacing w:after="0"/>
            </w:pPr>
            <w:r/>
            <w:r>
              <w:rPr>
                <w:b w:val="0"/>
                <w:sz w:val="17"/>
              </w:rPr>
              <w:t>Clothing</w:t>
            </w:r>
          </w:p>
        </w:tc>
        <w:tc>
          <w:tcPr>
            <w:tcW w:type="dxa" w:w="2484"/>
            <w:vAlign w:val="center"/>
          </w:tcPr>
          <w:p>
            <w:pPr>
              <w:spacing w:after="0"/>
            </w:pPr>
            <w:r/>
            <w:r>
              <w:rPr>
                <w:b w:val="0"/>
                <w:sz w:val="17"/>
              </w:rPr>
              <w:t>104,264</w:t>
            </w:r>
          </w:p>
        </w:tc>
        <w:tc>
          <w:tcPr>
            <w:tcW w:type="dxa" w:w="2484"/>
            <w:vAlign w:val="center"/>
          </w:tcPr>
          <w:p>
            <w:pPr>
              <w:spacing w:after="0"/>
            </w:pPr>
            <w:r/>
            <w:r>
              <w:rPr>
                <w:b w:val="0"/>
                <w:sz w:val="17"/>
              </w:rPr>
              <w:t>60.03</w:t>
            </w:r>
          </w:p>
        </w:tc>
        <w:tc>
          <w:tcPr>
            <w:tcW w:type="dxa" w:w="2484"/>
            <w:vAlign w:val="center"/>
          </w:tcPr>
          <w:p>
            <w:pPr>
              <w:spacing w:after="0"/>
            </w:pPr>
            <w:r/>
            <w:r>
              <w:rPr>
                <w:b w:val="0"/>
                <w:sz w:val="17"/>
              </w:rPr>
              <w:t>1,737</w:t>
            </w:r>
          </w:p>
        </w:tc>
      </w:tr>
      <w:tr>
        <w:tc>
          <w:tcPr>
            <w:tcW w:type="dxa" w:w="2484"/>
            <w:vAlign w:val="center"/>
            <w:shd w:fill="EAF1F8"/>
          </w:tcPr>
          <w:p>
            <w:pPr>
              <w:spacing w:after="0"/>
            </w:pPr>
            <w:r/>
            <w:r>
              <w:rPr>
                <w:b w:val="0"/>
                <w:sz w:val="17"/>
              </w:rPr>
              <w:t>Accessories</w:t>
            </w:r>
          </w:p>
        </w:tc>
        <w:tc>
          <w:tcPr>
            <w:tcW w:type="dxa" w:w="2484"/>
            <w:vAlign w:val="center"/>
            <w:shd w:fill="EAF1F8"/>
          </w:tcPr>
          <w:p>
            <w:pPr>
              <w:spacing w:after="0"/>
            </w:pPr>
            <w:r/>
            <w:r>
              <w:rPr>
                <w:b w:val="0"/>
                <w:sz w:val="17"/>
              </w:rPr>
              <w:t>74,200</w:t>
            </w:r>
          </w:p>
        </w:tc>
        <w:tc>
          <w:tcPr>
            <w:tcW w:type="dxa" w:w="2484"/>
            <w:vAlign w:val="center"/>
            <w:shd w:fill="EAF1F8"/>
          </w:tcPr>
          <w:p>
            <w:pPr>
              <w:spacing w:after="0"/>
            </w:pPr>
            <w:r/>
            <w:r>
              <w:rPr>
                <w:b w:val="0"/>
                <w:sz w:val="17"/>
              </w:rPr>
              <w:t>59.84</w:t>
            </w:r>
          </w:p>
        </w:tc>
        <w:tc>
          <w:tcPr>
            <w:tcW w:type="dxa" w:w="2484"/>
            <w:vAlign w:val="center"/>
            <w:shd w:fill="EAF1F8"/>
          </w:tcPr>
          <w:p>
            <w:pPr>
              <w:spacing w:after="0"/>
            </w:pPr>
            <w:r/>
            <w:r>
              <w:rPr>
                <w:b w:val="0"/>
                <w:sz w:val="17"/>
              </w:rPr>
              <w:t>1,240</w:t>
            </w:r>
          </w:p>
        </w:tc>
      </w:tr>
      <w:tr>
        <w:tc>
          <w:tcPr>
            <w:tcW w:type="dxa" w:w="2484"/>
            <w:vAlign w:val="center"/>
          </w:tcPr>
          <w:p>
            <w:pPr>
              <w:spacing w:after="0"/>
            </w:pPr>
            <w:r/>
            <w:r>
              <w:rPr>
                <w:b w:val="0"/>
                <w:sz w:val="17"/>
              </w:rPr>
              <w:t>Footwear</w:t>
            </w:r>
          </w:p>
        </w:tc>
        <w:tc>
          <w:tcPr>
            <w:tcW w:type="dxa" w:w="2484"/>
            <w:vAlign w:val="center"/>
          </w:tcPr>
          <w:p>
            <w:pPr>
              <w:spacing w:after="0"/>
            </w:pPr>
            <w:r/>
            <w:r>
              <w:rPr>
                <w:b w:val="0"/>
                <w:sz w:val="17"/>
              </w:rPr>
              <w:t>36,093</w:t>
            </w:r>
          </w:p>
        </w:tc>
        <w:tc>
          <w:tcPr>
            <w:tcW w:type="dxa" w:w="2484"/>
            <w:vAlign w:val="center"/>
          </w:tcPr>
          <w:p>
            <w:pPr>
              <w:spacing w:after="0"/>
            </w:pPr>
            <w:r/>
            <w:r>
              <w:rPr>
                <w:b w:val="0"/>
                <w:sz w:val="17"/>
              </w:rPr>
              <w:t>60.26</w:t>
            </w:r>
          </w:p>
        </w:tc>
        <w:tc>
          <w:tcPr>
            <w:tcW w:type="dxa" w:w="2484"/>
            <w:vAlign w:val="center"/>
          </w:tcPr>
          <w:p>
            <w:pPr>
              <w:spacing w:after="0"/>
            </w:pPr>
            <w:r/>
            <w:r>
              <w:rPr>
                <w:b w:val="0"/>
                <w:sz w:val="17"/>
              </w:rPr>
              <w:t>599</w:t>
            </w:r>
          </w:p>
        </w:tc>
      </w:tr>
      <w:tr>
        <w:tc>
          <w:tcPr>
            <w:tcW w:type="dxa" w:w="2484"/>
            <w:vAlign w:val="center"/>
            <w:shd w:fill="EAF1F8"/>
          </w:tcPr>
          <w:p>
            <w:pPr>
              <w:spacing w:after="0"/>
            </w:pPr>
            <w:r/>
            <w:r>
              <w:rPr>
                <w:b w:val="0"/>
                <w:sz w:val="17"/>
              </w:rPr>
              <w:t>Outerwear</w:t>
            </w:r>
          </w:p>
        </w:tc>
        <w:tc>
          <w:tcPr>
            <w:tcW w:type="dxa" w:w="2484"/>
            <w:vAlign w:val="center"/>
            <w:shd w:fill="EAF1F8"/>
          </w:tcPr>
          <w:p>
            <w:pPr>
              <w:spacing w:after="0"/>
            </w:pPr>
            <w:r/>
            <w:r>
              <w:rPr>
                <w:b w:val="0"/>
                <w:sz w:val="17"/>
              </w:rPr>
              <w:t>18,524</w:t>
            </w:r>
          </w:p>
        </w:tc>
        <w:tc>
          <w:tcPr>
            <w:tcW w:type="dxa" w:w="2484"/>
            <w:vAlign w:val="center"/>
            <w:shd w:fill="EAF1F8"/>
          </w:tcPr>
          <w:p>
            <w:pPr>
              <w:spacing w:after="0"/>
            </w:pPr>
            <w:r/>
            <w:r>
              <w:rPr>
                <w:b w:val="0"/>
                <w:sz w:val="17"/>
              </w:rPr>
              <w:t>57.17</w:t>
            </w:r>
          </w:p>
        </w:tc>
        <w:tc>
          <w:tcPr>
            <w:tcW w:type="dxa" w:w="2484"/>
            <w:vAlign w:val="center"/>
            <w:shd w:fill="EAF1F8"/>
          </w:tcPr>
          <w:p>
            <w:pPr>
              <w:spacing w:after="0"/>
            </w:pPr>
            <w:r/>
            <w:r>
              <w:rPr>
                <w:b w:val="0"/>
                <w:sz w:val="17"/>
              </w:rPr>
              <w:t>324</w:t>
            </w:r>
          </w:p>
        </w:tc>
      </w:tr>
      <w:tr>
        <w:tc>
          <w:tcPr>
            <w:tcW w:type="dxa" w:w="2484"/>
            <w:vAlign w:val="center"/>
          </w:tcPr>
          <w:p>
            <w:pPr>
              <w:spacing w:after="0"/>
            </w:pPr>
            <w:r/>
            <w:r>
              <w:rPr>
                <w:b w:val="0"/>
                <w:sz w:val="17"/>
              </w:rPr>
              <w:t>Grand Total</w:t>
            </w:r>
          </w:p>
        </w:tc>
        <w:tc>
          <w:tcPr>
            <w:tcW w:type="dxa" w:w="2484"/>
            <w:vAlign w:val="center"/>
          </w:tcPr>
          <w:p>
            <w:pPr>
              <w:spacing w:after="0"/>
            </w:pPr>
            <w:r/>
            <w:r>
              <w:rPr>
                <w:b w:val="0"/>
                <w:sz w:val="17"/>
              </w:rPr>
              <w:t>233,081</w:t>
            </w:r>
          </w:p>
        </w:tc>
        <w:tc>
          <w:tcPr>
            <w:tcW w:type="dxa" w:w="2484"/>
            <w:vAlign w:val="center"/>
          </w:tcPr>
          <w:p>
            <w:pPr>
              <w:spacing w:after="0"/>
            </w:pPr>
            <w:r/>
            <w:r>
              <w:rPr>
                <w:b w:val="0"/>
                <w:sz w:val="17"/>
              </w:rPr>
              <w:t>59.76</w:t>
            </w:r>
          </w:p>
        </w:tc>
        <w:tc>
          <w:tcPr>
            <w:tcW w:type="dxa" w:w="2484"/>
            <w:vAlign w:val="center"/>
          </w:tcPr>
          <w:p>
            <w:pPr>
              <w:spacing w:after="0"/>
            </w:pPr>
            <w:r/>
            <w:r>
              <w:rPr>
                <w:b w:val="0"/>
                <w:sz w:val="17"/>
              </w:rPr>
              <w:t>3,900</w:t>
            </w:r>
          </w:p>
        </w:tc>
      </w:tr>
    </w:tbl>
    <w:p>
      <w:pPr>
        <w:spacing w:after="20"/>
      </w:pPr>
    </w:p>
    <w:p>
      <w:r>
        <w:t>Clothing is the largest category by total purchase amount and has the highest record count. Footwear has the highest average purchase amount, but its total is lower because it has fewer records. Outerwear has both the smallest category total and the lowest average in this comparison. These are descriptive results; the category totals may be influenced by the number of records in each category, so totals and averages should be read together.</w:t>
      </w:r>
    </w:p>
    <w:p>
      <w:r>
        <w:drawing>
          <wp:inline xmlns:a="http://schemas.openxmlformats.org/drawingml/2006/main" xmlns:pic="http://schemas.openxmlformats.org/drawingml/2006/picture">
            <wp:extent cx="5303520" cy="3464528"/>
            <wp:docPr id="1" name="Picture 1"/>
            <wp:cNvGraphicFramePr>
              <a:graphicFrameLocks noChangeAspect="1"/>
            </wp:cNvGraphicFramePr>
            <a:graphic>
              <a:graphicData uri="http://schemas.openxmlformats.org/drawingml/2006/picture">
                <pic:pic>
                  <pic:nvPicPr>
                    <pic:cNvPr id="0" name="24788c35-6f69-4ead-aaa8-ca81a7eb5578.png"/>
                    <pic:cNvPicPr/>
                  </pic:nvPicPr>
                  <pic:blipFill>
                    <a:blip r:embed="rId11"/>
                    <a:stretch>
                      <a:fillRect/>
                    </a:stretch>
                  </pic:blipFill>
                  <pic:spPr>
                    <a:xfrm>
                      <a:off x="0" y="0"/>
                      <a:ext cx="5303520" cy="3464528"/>
                    </a:xfrm>
                    <a:prstGeom prst="rect"/>
                  </pic:spPr>
                </pic:pic>
              </a:graphicData>
            </a:graphic>
          </wp:inline>
        </w:drawing>
      </w:r>
    </w:p>
    <w:p>
      <w:pPr>
        <w:jc w:val="center"/>
      </w:pPr>
      <w:r>
        <w:rPr>
          <w:i/>
          <w:color w:val="5A5A5A"/>
          <w:sz w:val="17"/>
        </w:rPr>
        <w:t>Figure 1. Existing Pivot Table summary showing category and other purchase summaries.</w:t>
      </w:r>
    </w:p>
    <w:p>
      <w:pPr>
        <w:pStyle w:val="Heading2"/>
      </w:pPr>
      <w:r>
        <w:t>6.2 Location-wise purchase summary</w:t>
      </w:r>
    </w:p>
    <w:p>
      <w:r>
        <w:t>A second Pivot Table was prepared with Location in Rows and Purchase Amount (USD) summarised by Sum in Values. Location comparisons can help a business identify where recorded spending is concentrated. During review, the displayed location Pivot Table showed a grouped item (“Group1”) and a partial total that did not match the overall dataset total. This indicates that the location summary needs a refresh and field/grouping check before any location ranking is presented as a final finding. No specific location-level recommendation is made in this report until that discrepancy is resolved.</w:t>
      </w:r>
    </w:p>
    <w:p>
      <w:pPr>
        <w:pStyle w:val="Heading2"/>
      </w:pPr>
      <w:r>
        <w:t>6.3 Subscription status</w:t>
      </w:r>
    </w:p>
    <w:p>
      <w:r>
        <w:t>The subscription Pivot Table placed Subscription Status in Rows and Customer ID in Values, summarised by Count. It showed 2,847 records with status No and 1,053 with status Yes, out of 3,900 records. This is approximately 73.0% No and 27.0% Yes. The measure is a count of records in this dataset; it should not be described as unique people unless Customer ID uniqueness has been confirmed.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sz w:val="18"/>
              </w:rPr>
              <w:t>Subscription status</w:t>
            </w:r>
          </w:p>
        </w:tc>
        <w:tc>
          <w:tcPr>
            <w:tcW w:type="dxa" w:w="3312"/>
            <w:vAlign w:val="center"/>
            <w:shd w:fill="1F4E79"/>
          </w:tcPr>
          <w:p>
            <w:pPr>
              <w:spacing w:after="0"/>
            </w:pPr>
            <w:r/>
            <w:r>
              <w:rPr>
                <w:b/>
                <w:color w:val="FFFFFF"/>
                <w:sz w:val="18"/>
              </w:rPr>
              <w:t>Record count</w:t>
            </w:r>
          </w:p>
        </w:tc>
        <w:tc>
          <w:tcPr>
            <w:tcW w:type="dxa" w:w="3312"/>
            <w:vAlign w:val="center"/>
            <w:shd w:fill="1F4E79"/>
          </w:tcPr>
          <w:p>
            <w:pPr>
              <w:spacing w:after="0"/>
            </w:pPr>
            <w:r/>
            <w:r>
              <w:rPr>
                <w:b/>
                <w:color w:val="FFFFFF"/>
                <w:sz w:val="18"/>
              </w:rPr>
              <w:t>Share of records</w:t>
            </w:r>
          </w:p>
        </w:tc>
      </w:tr>
      <w:tr>
        <w:tc>
          <w:tcPr>
            <w:tcW w:type="dxa" w:w="3312"/>
            <w:vAlign w:val="center"/>
          </w:tcPr>
          <w:p>
            <w:pPr>
              <w:spacing w:after="0"/>
            </w:pPr>
            <w:r/>
            <w:r>
              <w:rPr>
                <w:b w:val="0"/>
                <w:sz w:val="17"/>
              </w:rPr>
              <w:t>No</w:t>
            </w:r>
          </w:p>
        </w:tc>
        <w:tc>
          <w:tcPr>
            <w:tcW w:type="dxa" w:w="3312"/>
            <w:vAlign w:val="center"/>
          </w:tcPr>
          <w:p>
            <w:pPr>
              <w:spacing w:after="0"/>
            </w:pPr>
            <w:r/>
            <w:r>
              <w:rPr>
                <w:b w:val="0"/>
                <w:sz w:val="17"/>
              </w:rPr>
              <w:t>2,847</w:t>
            </w:r>
          </w:p>
        </w:tc>
        <w:tc>
          <w:tcPr>
            <w:tcW w:type="dxa" w:w="3312"/>
            <w:vAlign w:val="center"/>
          </w:tcPr>
          <w:p>
            <w:pPr>
              <w:spacing w:after="0"/>
            </w:pPr>
            <w:r/>
            <w:r>
              <w:rPr>
                <w:b w:val="0"/>
                <w:sz w:val="17"/>
              </w:rPr>
              <w:t>73.0%</w:t>
            </w:r>
          </w:p>
        </w:tc>
      </w:tr>
      <w:tr>
        <w:tc>
          <w:tcPr>
            <w:tcW w:type="dxa" w:w="3312"/>
            <w:vAlign w:val="center"/>
            <w:shd w:fill="EAF1F8"/>
          </w:tcPr>
          <w:p>
            <w:pPr>
              <w:spacing w:after="0"/>
            </w:pPr>
            <w:r/>
            <w:r>
              <w:rPr>
                <w:b w:val="0"/>
                <w:sz w:val="17"/>
              </w:rPr>
              <w:t>Yes</w:t>
            </w:r>
          </w:p>
        </w:tc>
        <w:tc>
          <w:tcPr>
            <w:tcW w:type="dxa" w:w="3312"/>
            <w:vAlign w:val="center"/>
            <w:shd w:fill="EAF1F8"/>
          </w:tcPr>
          <w:p>
            <w:pPr>
              <w:spacing w:after="0"/>
            </w:pPr>
            <w:r/>
            <w:r>
              <w:rPr>
                <w:b w:val="0"/>
                <w:sz w:val="17"/>
              </w:rPr>
              <w:t>1,053</w:t>
            </w:r>
          </w:p>
        </w:tc>
        <w:tc>
          <w:tcPr>
            <w:tcW w:type="dxa" w:w="3312"/>
            <w:vAlign w:val="center"/>
            <w:shd w:fill="EAF1F8"/>
          </w:tcPr>
          <w:p>
            <w:pPr>
              <w:spacing w:after="0"/>
            </w:pPr>
            <w:r/>
            <w:r>
              <w:rPr>
                <w:b w:val="0"/>
                <w:sz w:val="17"/>
              </w:rPr>
              <w:t>27.0%</w:t>
            </w:r>
          </w:p>
        </w:tc>
      </w:tr>
      <w:tr>
        <w:tc>
          <w:tcPr>
            <w:tcW w:type="dxa" w:w="3312"/>
            <w:vAlign w:val="center"/>
          </w:tcPr>
          <w:p>
            <w:pPr>
              <w:spacing w:after="0"/>
            </w:pPr>
            <w:r/>
            <w:r>
              <w:rPr>
                <w:b w:val="0"/>
                <w:sz w:val="17"/>
              </w:rPr>
              <w:t>Total</w:t>
            </w:r>
          </w:p>
        </w:tc>
        <w:tc>
          <w:tcPr>
            <w:tcW w:type="dxa" w:w="3312"/>
            <w:vAlign w:val="center"/>
          </w:tcPr>
          <w:p>
            <w:pPr>
              <w:spacing w:after="0"/>
            </w:pPr>
            <w:r/>
            <w:r>
              <w:rPr>
                <w:b w:val="0"/>
                <w:sz w:val="17"/>
              </w:rPr>
              <w:t>3,900</w:t>
            </w:r>
          </w:p>
        </w:tc>
        <w:tc>
          <w:tcPr>
            <w:tcW w:type="dxa" w:w="3312"/>
            <w:vAlign w:val="center"/>
          </w:tcPr>
          <w:p>
            <w:pPr>
              <w:spacing w:after="0"/>
            </w:pPr>
            <w:r/>
            <w:r>
              <w:rPr>
                <w:b w:val="0"/>
                <w:sz w:val="17"/>
              </w:rPr>
              <w:t>100.0%</w:t>
            </w:r>
          </w:p>
        </w:tc>
      </w:tr>
    </w:tbl>
    <w:p>
      <w:pPr>
        <w:spacing w:after="20"/>
      </w:pPr>
    </w:p>
    <w:p>
      <w:pPr>
        <w:pStyle w:val="Heading2"/>
      </w:pPr>
      <w:r>
        <w:t>6.4 Purchase-segment Pivot Table</w:t>
      </w:r>
    </w:p>
    <w:p>
      <w:r>
        <w:t>A new Pivot Table was created from the Formula_Analysis data. Purchase Segment was placed in Rows and Purchase Amount was added to Values twice, summarised as Sum and Average. The resulting table showed the distribution across High, Medium and Low. The data shows that most records fall in Medium, while High is a small group because the High threshold is set at $100 and the dataset values are mostly below that threshold.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b/>
                <w:color w:val="FFFFFF"/>
                <w:sz w:val="18"/>
              </w:rPr>
              <w:t>Segment</w:t>
            </w:r>
          </w:p>
        </w:tc>
        <w:tc>
          <w:tcPr>
            <w:tcW w:type="dxa" w:w="2484"/>
            <w:vAlign w:val="center"/>
            <w:shd w:fill="1F4E79"/>
          </w:tcPr>
          <w:p>
            <w:pPr>
              <w:spacing w:after="0"/>
            </w:pPr>
            <w:r/>
            <w:r>
              <w:rPr>
                <w:b/>
                <w:color w:val="FFFFFF"/>
                <w:sz w:val="18"/>
              </w:rPr>
              <w:t>Record count</w:t>
            </w:r>
          </w:p>
        </w:tc>
        <w:tc>
          <w:tcPr>
            <w:tcW w:type="dxa" w:w="2484"/>
            <w:vAlign w:val="center"/>
            <w:shd w:fill="1F4E79"/>
          </w:tcPr>
          <w:p>
            <w:pPr>
              <w:spacing w:after="0"/>
            </w:pPr>
            <w:r/>
            <w:r>
              <w:rPr>
                <w:b/>
                <w:color w:val="FFFFFF"/>
                <w:sz w:val="18"/>
              </w:rPr>
              <w:t>Total purchase amount ($)</w:t>
            </w:r>
          </w:p>
        </w:tc>
        <w:tc>
          <w:tcPr>
            <w:tcW w:type="dxa" w:w="2484"/>
            <w:vAlign w:val="center"/>
            <w:shd w:fill="1F4E79"/>
          </w:tcPr>
          <w:p>
            <w:pPr>
              <w:spacing w:after="0"/>
            </w:pPr>
            <w:r/>
            <w:r>
              <w:rPr>
                <w:b/>
                <w:color w:val="FFFFFF"/>
                <w:sz w:val="18"/>
              </w:rPr>
              <w:t>Average purchase ($)</w:t>
            </w:r>
          </w:p>
        </w:tc>
      </w:tr>
      <w:tr>
        <w:tc>
          <w:tcPr>
            <w:tcW w:type="dxa" w:w="2484"/>
            <w:vAlign w:val="center"/>
          </w:tcPr>
          <w:p>
            <w:pPr>
              <w:spacing w:after="0"/>
            </w:pPr>
            <w:r/>
            <w:r>
              <w:rPr>
                <w:b w:val="0"/>
                <w:sz w:val="17"/>
              </w:rPr>
              <w:t>High</w:t>
            </w:r>
          </w:p>
        </w:tc>
        <w:tc>
          <w:tcPr>
            <w:tcW w:type="dxa" w:w="2484"/>
            <w:vAlign w:val="center"/>
          </w:tcPr>
          <w:p>
            <w:pPr>
              <w:spacing w:after="0"/>
            </w:pPr>
            <w:r/>
            <w:r>
              <w:rPr>
                <w:b w:val="0"/>
                <w:sz w:val="17"/>
              </w:rPr>
              <w:t>36</w:t>
            </w:r>
          </w:p>
        </w:tc>
        <w:tc>
          <w:tcPr>
            <w:tcW w:type="dxa" w:w="2484"/>
            <w:vAlign w:val="center"/>
          </w:tcPr>
          <w:p>
            <w:pPr>
              <w:spacing w:after="0"/>
            </w:pPr>
            <w:r/>
            <w:r>
              <w:rPr>
                <w:b w:val="0"/>
                <w:sz w:val="17"/>
              </w:rPr>
              <w:t>3,600</w:t>
            </w:r>
          </w:p>
        </w:tc>
        <w:tc>
          <w:tcPr>
            <w:tcW w:type="dxa" w:w="2484"/>
            <w:vAlign w:val="center"/>
          </w:tcPr>
          <w:p>
            <w:pPr>
              <w:spacing w:after="0"/>
            </w:pPr>
            <w:r/>
            <w:r>
              <w:rPr>
                <w:b w:val="0"/>
                <w:sz w:val="17"/>
              </w:rPr>
              <w:t>100.00</w:t>
            </w:r>
          </w:p>
        </w:tc>
      </w:tr>
      <w:tr>
        <w:tc>
          <w:tcPr>
            <w:tcW w:type="dxa" w:w="2484"/>
            <w:vAlign w:val="center"/>
            <w:shd w:fill="EAF1F8"/>
          </w:tcPr>
          <w:p>
            <w:pPr>
              <w:spacing w:after="0"/>
            </w:pPr>
            <w:r/>
            <w:r>
              <w:rPr>
                <w:b w:val="0"/>
                <w:sz w:val="17"/>
              </w:rPr>
              <w:t>Medium</w:t>
            </w:r>
          </w:p>
        </w:tc>
        <w:tc>
          <w:tcPr>
            <w:tcW w:type="dxa" w:w="2484"/>
            <w:vAlign w:val="center"/>
            <w:shd w:fill="EAF1F8"/>
          </w:tcPr>
          <w:p>
            <w:pPr>
              <w:spacing w:after="0"/>
            </w:pPr>
            <w:r/>
            <w:r>
              <w:rPr>
                <w:b w:val="0"/>
                <w:sz w:val="17"/>
              </w:rPr>
              <w:t>2,398</w:t>
            </w:r>
          </w:p>
        </w:tc>
        <w:tc>
          <w:tcPr>
            <w:tcW w:type="dxa" w:w="2484"/>
            <w:vAlign w:val="center"/>
            <w:shd w:fill="EAF1F8"/>
          </w:tcPr>
          <w:p>
            <w:pPr>
              <w:spacing w:after="0"/>
            </w:pPr>
            <w:r/>
            <w:r>
              <w:rPr>
                <w:b w:val="0"/>
                <w:sz w:val="17"/>
              </w:rPr>
              <w:t>179,508</w:t>
            </w:r>
          </w:p>
        </w:tc>
        <w:tc>
          <w:tcPr>
            <w:tcW w:type="dxa" w:w="2484"/>
            <w:vAlign w:val="center"/>
            <w:shd w:fill="EAF1F8"/>
          </w:tcPr>
          <w:p>
            <w:pPr>
              <w:spacing w:after="0"/>
            </w:pPr>
            <w:r/>
            <w:r>
              <w:rPr>
                <w:b w:val="0"/>
                <w:sz w:val="17"/>
              </w:rPr>
              <w:t>74.86</w:t>
            </w:r>
          </w:p>
        </w:tc>
      </w:tr>
      <w:tr>
        <w:tc>
          <w:tcPr>
            <w:tcW w:type="dxa" w:w="2484"/>
            <w:vAlign w:val="center"/>
          </w:tcPr>
          <w:p>
            <w:pPr>
              <w:spacing w:after="0"/>
            </w:pPr>
            <w:r/>
            <w:r>
              <w:rPr>
                <w:b w:val="0"/>
                <w:sz w:val="17"/>
              </w:rPr>
              <w:t>Low</w:t>
            </w:r>
          </w:p>
        </w:tc>
        <w:tc>
          <w:tcPr>
            <w:tcW w:type="dxa" w:w="2484"/>
            <w:vAlign w:val="center"/>
          </w:tcPr>
          <w:p>
            <w:pPr>
              <w:spacing w:after="0"/>
            </w:pPr>
            <w:r/>
            <w:r>
              <w:rPr>
                <w:b w:val="0"/>
                <w:sz w:val="17"/>
              </w:rPr>
              <w:t>1,466</w:t>
            </w:r>
          </w:p>
        </w:tc>
        <w:tc>
          <w:tcPr>
            <w:tcW w:type="dxa" w:w="2484"/>
            <w:vAlign w:val="center"/>
          </w:tcPr>
          <w:p>
            <w:pPr>
              <w:spacing w:after="0"/>
            </w:pPr>
            <w:r/>
            <w:r>
              <w:rPr>
                <w:b w:val="0"/>
                <w:sz w:val="17"/>
              </w:rPr>
              <w:t>49,973</w:t>
            </w:r>
          </w:p>
        </w:tc>
        <w:tc>
          <w:tcPr>
            <w:tcW w:type="dxa" w:w="2484"/>
            <w:vAlign w:val="center"/>
          </w:tcPr>
          <w:p>
            <w:pPr>
              <w:spacing w:after="0"/>
            </w:pPr>
            <w:r/>
            <w:r>
              <w:rPr>
                <w:b w:val="0"/>
                <w:sz w:val="17"/>
              </w:rPr>
              <w:t>34.09</w:t>
            </w:r>
          </w:p>
        </w:tc>
      </w:tr>
      <w:tr>
        <w:tc>
          <w:tcPr>
            <w:tcW w:type="dxa" w:w="2484"/>
            <w:vAlign w:val="center"/>
            <w:shd w:fill="EAF1F8"/>
          </w:tcPr>
          <w:p>
            <w:pPr>
              <w:spacing w:after="0"/>
            </w:pPr>
            <w:r/>
            <w:r>
              <w:rPr>
                <w:b w:val="0"/>
                <w:sz w:val="17"/>
              </w:rPr>
              <w:t>Grand Total</w:t>
            </w:r>
          </w:p>
        </w:tc>
        <w:tc>
          <w:tcPr>
            <w:tcW w:type="dxa" w:w="2484"/>
            <w:vAlign w:val="center"/>
            <w:shd w:fill="EAF1F8"/>
          </w:tcPr>
          <w:p>
            <w:pPr>
              <w:spacing w:after="0"/>
            </w:pPr>
            <w:r/>
            <w:r>
              <w:rPr>
                <w:b w:val="0"/>
                <w:sz w:val="17"/>
              </w:rPr>
              <w:t>3,900</w:t>
            </w:r>
          </w:p>
        </w:tc>
        <w:tc>
          <w:tcPr>
            <w:tcW w:type="dxa" w:w="2484"/>
            <w:vAlign w:val="center"/>
            <w:shd w:fill="EAF1F8"/>
          </w:tcPr>
          <w:p>
            <w:pPr>
              <w:spacing w:after="0"/>
            </w:pPr>
            <w:r/>
            <w:r>
              <w:rPr>
                <w:b w:val="0"/>
                <w:sz w:val="17"/>
              </w:rPr>
              <w:t>233,081</w:t>
            </w:r>
          </w:p>
        </w:tc>
        <w:tc>
          <w:tcPr>
            <w:tcW w:type="dxa" w:w="2484"/>
            <w:vAlign w:val="center"/>
            <w:shd w:fill="EAF1F8"/>
          </w:tcPr>
          <w:p>
            <w:pPr>
              <w:spacing w:after="0"/>
            </w:pPr>
            <w:r/>
            <w:r>
              <w:rPr>
                <w:b w:val="0"/>
                <w:sz w:val="17"/>
              </w:rPr>
              <w:t>59.76</w:t>
            </w:r>
          </w:p>
        </w:tc>
      </w:tr>
    </w:tbl>
    <w:p>
      <w:pPr>
        <w:spacing w:after="20"/>
      </w:pPr>
    </w:p>
    <w:p>
      <w:r>
        <w:drawing>
          <wp:inline xmlns:a="http://schemas.openxmlformats.org/drawingml/2006/main" xmlns:pic="http://schemas.openxmlformats.org/drawingml/2006/picture">
            <wp:extent cx="5212080" cy="3560578"/>
            <wp:docPr id="2" name="Picture 2"/>
            <wp:cNvGraphicFramePr>
              <a:graphicFrameLocks noChangeAspect="1"/>
            </wp:cNvGraphicFramePr>
            <a:graphic>
              <a:graphicData uri="http://schemas.openxmlformats.org/drawingml/2006/picture">
                <pic:pic>
                  <pic:nvPicPr>
                    <pic:cNvPr id="0" name="image(20261017-132942).png"/>
                    <pic:cNvPicPr/>
                  </pic:nvPicPr>
                  <pic:blipFill>
                    <a:blip r:embed="rId12"/>
                    <a:stretch>
                      <a:fillRect/>
                    </a:stretch>
                  </pic:blipFill>
                  <pic:spPr>
                    <a:xfrm>
                      <a:off x="0" y="0"/>
                      <a:ext cx="5212080" cy="3560578"/>
                    </a:xfrm>
                    <a:prstGeom prst="rect"/>
                  </pic:spPr>
                </pic:pic>
              </a:graphicData>
            </a:graphic>
          </wp:inline>
        </w:drawing>
      </w:r>
    </w:p>
    <w:p>
      <w:pPr>
        <w:jc w:val="center"/>
      </w:pPr>
      <w:r>
        <w:rPr>
          <w:i/>
          <w:color w:val="5A5A5A"/>
          <w:sz w:val="17"/>
        </w:rPr>
        <w:t>Figure 2. Purchase-segment Pivot Table and chart created during the analysis.</w:t>
      </w:r>
    </w:p>
    <w:p>
      <w:pPr>
        <w:pStyle w:val="Heading1"/>
      </w:pPr>
      <w:r>
        <w:t>7. Chart Creation and Visual Interpretation</w:t>
      </w:r>
    </w:p>
    <w:p>
      <w:r>
        <w:t>The purchase-segment PivotChart was created by selecting a cell inside the Pivot Table and choosing Insert → PivotChart, then selecting a clustered column chart. The chart compares total purchase amount and average purchase amount by segment. The two measures have different scales: total amounts are in the thousands, while averages are around tens or one hundred. Because of this difference, the average series appears very small beside the totals. For a clearer final presentation, use two separate charts or place the average on a secondary axis. A clustered column chart is suitable for comparing groups, but visual choices should not make one measure appear unimportant simply because the units differ.</w:t>
      </w:r>
    </w:p>
    <w:p>
      <w:r>
        <w:t>For a submission-ready chart, add a descriptive title, retain category labels, show currency units, and remove unnecessary field buttons if they obscure the chart. A separate chart of average purchase by segment can make the average comparison much easier to read. A category total chart can also communicate the prominence of Clothing at a glance.</w:t>
      </w:r>
    </w:p>
    <w:p>
      <w:pPr>
        <w:pStyle w:val="Heading1"/>
      </w:pPr>
      <w:r>
        <w:t>8. Key Findings and Business Insights</w:t>
      </w:r>
    </w:p>
    <w:p>
      <w:pPr>
        <w:pStyle w:val="ListBullet"/>
      </w:pPr>
      <w:r>
        <w:t>Overall spending: Total purchase amount is $233,081 across 3,900 records, with an average purchase amount of approximately $59.76.</w:t>
      </w:r>
    </w:p>
    <w:p>
      <w:pPr>
        <w:pStyle w:val="ListBullet"/>
      </w:pPr>
      <w:r>
        <w:t>Category concentration: Clothing contributes $104,264, the largest category total, and accounts for 1,737 records. It is the first category to investigate for stock planning and campaign performance.</w:t>
      </w:r>
    </w:p>
    <w:p>
      <w:pPr>
        <w:pStyle w:val="ListBullet"/>
      </w:pPr>
      <w:r>
        <w:t>Average value by category: Footwear has the highest average purchase amount at approximately $60.26, narrowly above Clothing at $60.03. The difference is small, so it should not be exaggerated.</w:t>
      </w:r>
    </w:p>
    <w:p>
      <w:pPr>
        <w:pStyle w:val="ListBullet"/>
      </w:pPr>
      <w:r>
        <w:t>Subscription mix: 1,053 records are marked Yes and 2,847 No. This suggests subscription status is a useful dimension for further comparison, but the dataset alone does not show why customers subscribe or whether subscriptions cause higher spending.</w:t>
      </w:r>
    </w:p>
    <w:p>
      <w:pPr>
        <w:pStyle w:val="ListBullet"/>
      </w:pPr>
      <w:r>
        <w:t>Segment distribution: Medium contains 2,398 records (about 61.5%), Low contains 1,466 (about 37.6%), and High contains 36 (about 0.9%). The thresholds are analyst-defined and should be documented whenever these labels are used.</w:t>
      </w:r>
    </w:p>
    <w:p>
      <w:pPr>
        <w:pStyle w:val="ListBullet"/>
      </w:pPr>
      <w:r>
        <w:t>Quality assurance: The location Pivot Table needs a refresh/check because the visible grouped result did not reconcile to the overall total. This is an important finding about analytical quality: a summary should be validated before it is used for decisions.</w:t>
      </w:r>
    </w:p>
    <w:p>
      <w:pPr>
        <w:pStyle w:val="Heading1"/>
      </w:pPr>
      <w:r>
        <w:t>9. Recommendations</w:t>
      </w:r>
    </w:p>
    <w:p>
      <w:pPr>
        <w:pStyle w:val="ListBullet"/>
      </w:pPr>
      <w:r>
        <w:t>Prioritise category reporting for Clothing because it contributes the largest total amount. Review stock availability, seasonal patterns and promotion results before changing inventory levels.</w:t>
      </w:r>
    </w:p>
    <w:p>
      <w:pPr>
        <w:pStyle w:val="ListBullet"/>
      </w:pPr>
      <w:r>
        <w:t>Investigate Footwear average purchase value with additional fields such as season, size and shipping type to see whether specific combinations are associated with higher amounts.</w:t>
      </w:r>
    </w:p>
    <w:p>
      <w:pPr>
        <w:pStyle w:val="ListBullet"/>
      </w:pPr>
      <w:r>
        <w:t>Compare subscription status against average purchase amount and frequency of purchases. This could help assess whether subscribers behave differently, while avoiding assumptions about causation.</w:t>
      </w:r>
    </w:p>
    <w:p>
      <w:pPr>
        <w:pStyle w:val="ListBullet"/>
      </w:pPr>
      <w:r>
        <w:t>Use the High segment carefully. Only 36 records fall into the $100-or-more group, so it may be useful for a high-value customer review, but the threshold should be validated with business stakeholders.</w:t>
      </w:r>
    </w:p>
    <w:p>
      <w:pPr>
        <w:pStyle w:val="ListBullet"/>
      </w:pPr>
      <w:r>
        <w:t>Refresh and validate the location Pivot Table. Confirm that Location is a field in Rows, remove unintended grouping, check that all locations are included and ensure the grand total equals $233,081.</w:t>
      </w:r>
    </w:p>
    <w:p>
      <w:pPr>
        <w:pStyle w:val="ListBullet"/>
      </w:pPr>
      <w:r>
        <w:t>For future dashboards, separate total amount and average amount charts or use clearly labelled secondary axes to prevent scale differences from hiding the average values.</w:t>
      </w:r>
    </w:p>
    <w:p>
      <w:pPr>
        <w:pStyle w:val="ListBullet"/>
      </w:pPr>
      <w:r>
        <w:t>Keep raw data unchanged and use named analysis sheets. Record formula definitions and assumptions so another analyst can reproduce the work.</w:t>
      </w:r>
    </w:p>
    <w:p>
      <w:pPr>
        <w:pStyle w:val="Heading1"/>
      </w:pPr>
      <w:r>
        <w:t>10. Challenges and Solutions</w:t>
      </w:r>
    </w:p>
    <w:p>
      <w:r>
        <w:t>One challenge was Excel version compatibility. The FILTER function was not recognised, so an INDEX/SMALL/IF array formula was used as an alternative. Array formulas can behave differently across Excel versions; therefore, the formula needs to be tested and the correct entry method documented. Another challenge was field mapping: the Category column is E in Raw_Data, while column C is Gender. The lookup formula was corrected to return column 5 from Raw_Data!A:E. This demonstrates why a formula result should be checked against known records instead of assuming a formula is correct simply because Excel accepts it.</w:t>
      </w:r>
    </w:p>
    <w:p>
      <w:r>
        <w:t>A further challenge was the location Pivot Table’s grouped output and mismatched partial total. Rather than inventing a location ranking, the report records this as a validation issue and recommends refreshing the Pivot Table and checking the Rows field. The chart also combined total and average values with very different scales; the recommended solution is to separate the measures or use a secondary axis.</w:t>
      </w:r>
    </w:p>
    <w:p>
      <w:pPr>
        <w:pStyle w:val="Heading1"/>
      </w:pPr>
      <w:r>
        <w:t>11. Validation and Limitations</w:t>
      </w:r>
    </w:p>
    <w:p>
      <w:r>
        <w:t>Several cross-checks were used: the segment counts sum to 3,900, segment totals sum to $233,081, and the category totals sum to the same grand total. The overall average of $59.76 agrees with the total divided by the record count, subject to rounding. The subscription counts also sum to 3,900. These checks improve confidence in the summaries.</w:t>
      </w:r>
    </w:p>
    <w:p>
      <w:r>
        <w:t>The analysis is descriptive and based on the supplied dataset. It does not establish causal relationships, customer lifetime value, profit margin or campaign effectiveness because those variables are not included. The purchase-segment thresholds were chosen for this exercise rather than provided by a business owner. The location Pivot Table discrepancy must be fixed in the workbook before presenting location-level conclusions. Any final submission should include the updated workbook and screenshots captured after the final formulas and Pivot Tables have been checked.</w:t>
      </w:r>
    </w:p>
    <w:p>
      <w:pPr>
        <w:pStyle w:val="Heading1"/>
      </w:pPr>
      <w:r>
        <w:t>12. Conclusion</w:t>
      </w:r>
    </w:p>
    <w:p>
      <w:r>
        <w:t>This project demonstrates a practical workflow for turning transaction-level data into summaries using Excel. Direct references linked the analysis sheet to the source data; nested IF created spending segments; SUMIFS, COUNTIFS/COUNTIF, AVERAGE and AVERAGEIF supported conditional analysis; IFERROR provided basic error handling; VLOOKUP retrieved Category; and an INDEX/SMALL/IF array formula provided a compatibility alternative to FILTER. Pivot Tables summarised category, subscription and purchase-segment data, while a PivotChart helped visualise the results.</w:t>
      </w:r>
    </w:p>
    <w:p>
      <w:r>
        <w:t>The strongest current findings are that Clothing has the largest total purchase amount, Footwear has the highest average purchase amount among categories, and the Medium purchase segment contains most records. The work also reinforces an essential analytical lesson: formula correctness and visual polish are not enough unless totals reconcile and fields are mapped correctly. Validating the location Pivot Table, refreshing summaries after data changes, and improving chart readability are the final quality steps recommended before submission.</w:t>
      </w:r>
    </w:p>
    <w:p>
      <w:pPr>
        <w:pStyle w:val="Heading1"/>
      </w:pPr>
      <w:r>
        <w:t>Appendix A. Formula Reference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b/>
                <w:color w:val="FFFFFF"/>
                <w:sz w:val="18"/>
              </w:rPr>
              <w:t>Formula / technique</w:t>
            </w:r>
          </w:p>
        </w:tc>
        <w:tc>
          <w:tcPr>
            <w:tcW w:type="dxa" w:w="3312"/>
            <w:vAlign w:val="center"/>
            <w:shd w:fill="1F4E79"/>
          </w:tcPr>
          <w:p>
            <w:pPr>
              <w:spacing w:after="0"/>
            </w:pPr>
            <w:r/>
            <w:r>
              <w:rPr>
                <w:b/>
                <w:color w:val="FFFFFF"/>
                <w:sz w:val="18"/>
              </w:rPr>
              <w:t>Purpose</w:t>
            </w:r>
          </w:p>
        </w:tc>
        <w:tc>
          <w:tcPr>
            <w:tcW w:type="dxa" w:w="3312"/>
            <w:vAlign w:val="center"/>
            <w:shd w:fill="1F4E79"/>
          </w:tcPr>
          <w:p>
            <w:pPr>
              <w:spacing w:after="0"/>
            </w:pPr>
            <w:r/>
            <w:r>
              <w:rPr>
                <w:b/>
                <w:color w:val="FFFFFF"/>
                <w:sz w:val="18"/>
              </w:rPr>
              <w:t>Key point</w:t>
            </w:r>
          </w:p>
        </w:tc>
      </w:tr>
      <w:tr>
        <w:tc>
          <w:tcPr>
            <w:tcW w:type="dxa" w:w="3312"/>
            <w:vAlign w:val="center"/>
          </w:tcPr>
          <w:p>
            <w:pPr>
              <w:spacing w:after="0"/>
            </w:pPr>
            <w:r/>
            <w:r>
              <w:rPr>
                <w:b w:val="0"/>
                <w:sz w:val="17"/>
              </w:rPr>
              <w:t>=Raw_Data!A2</w:t>
            </w:r>
          </w:p>
        </w:tc>
        <w:tc>
          <w:tcPr>
            <w:tcW w:type="dxa" w:w="3312"/>
            <w:vAlign w:val="center"/>
          </w:tcPr>
          <w:p>
            <w:pPr>
              <w:spacing w:after="0"/>
            </w:pPr>
            <w:r/>
            <w:r>
              <w:rPr>
                <w:b w:val="0"/>
                <w:sz w:val="17"/>
              </w:rPr>
              <w:t>Link Customer ID</w:t>
            </w:r>
          </w:p>
        </w:tc>
        <w:tc>
          <w:tcPr>
            <w:tcW w:type="dxa" w:w="3312"/>
            <w:vAlign w:val="center"/>
          </w:tcPr>
          <w:p>
            <w:pPr>
              <w:spacing w:after="0"/>
            </w:pPr>
            <w:r/>
            <w:r>
              <w:rPr>
                <w:b w:val="0"/>
                <w:sz w:val="17"/>
              </w:rPr>
              <w:t>Fill down to row 3901.</w:t>
            </w:r>
          </w:p>
        </w:tc>
      </w:tr>
      <w:tr>
        <w:tc>
          <w:tcPr>
            <w:tcW w:type="dxa" w:w="3312"/>
            <w:vAlign w:val="center"/>
            <w:shd w:fill="EAF1F8"/>
          </w:tcPr>
          <w:p>
            <w:pPr>
              <w:spacing w:after="0"/>
            </w:pPr>
            <w:r/>
            <w:r>
              <w:rPr>
                <w:b w:val="0"/>
                <w:sz w:val="17"/>
              </w:rPr>
              <w:t>=Raw_Data!F2</w:t>
            </w:r>
          </w:p>
        </w:tc>
        <w:tc>
          <w:tcPr>
            <w:tcW w:type="dxa" w:w="3312"/>
            <w:vAlign w:val="center"/>
            <w:shd w:fill="EAF1F8"/>
          </w:tcPr>
          <w:p>
            <w:pPr>
              <w:spacing w:after="0"/>
            </w:pPr>
            <w:r/>
            <w:r>
              <w:rPr>
                <w:b w:val="0"/>
                <w:sz w:val="17"/>
              </w:rPr>
              <w:t>Link Purchase Amount</w:t>
            </w:r>
          </w:p>
        </w:tc>
        <w:tc>
          <w:tcPr>
            <w:tcW w:type="dxa" w:w="3312"/>
            <w:vAlign w:val="center"/>
            <w:shd w:fill="EAF1F8"/>
          </w:tcPr>
          <w:p>
            <w:pPr>
              <w:spacing w:after="0"/>
            </w:pPr>
            <w:r/>
            <w:r>
              <w:rPr>
                <w:b w:val="0"/>
                <w:sz w:val="17"/>
              </w:rPr>
              <w:t>Purchase Amount is source column F.</w:t>
            </w:r>
          </w:p>
        </w:tc>
      </w:tr>
      <w:tr>
        <w:tc>
          <w:tcPr>
            <w:tcW w:type="dxa" w:w="3312"/>
            <w:vAlign w:val="center"/>
          </w:tcPr>
          <w:p>
            <w:pPr>
              <w:spacing w:after="0"/>
            </w:pPr>
            <w:r/>
            <w:r>
              <w:rPr>
                <w:b w:val="0"/>
                <w:sz w:val="17"/>
              </w:rPr>
              <w:t>=IF(B2&gt;=100,"High",IF(B2&gt;=50,"Medium","Low"))</w:t>
            </w:r>
          </w:p>
        </w:tc>
        <w:tc>
          <w:tcPr>
            <w:tcW w:type="dxa" w:w="3312"/>
            <w:vAlign w:val="center"/>
          </w:tcPr>
          <w:p>
            <w:pPr>
              <w:spacing w:after="0"/>
            </w:pPr>
            <w:r/>
            <w:r>
              <w:rPr>
                <w:b w:val="0"/>
                <w:sz w:val="17"/>
              </w:rPr>
              <w:t>Create spending segment</w:t>
            </w:r>
          </w:p>
        </w:tc>
        <w:tc>
          <w:tcPr>
            <w:tcW w:type="dxa" w:w="3312"/>
            <w:vAlign w:val="center"/>
          </w:tcPr>
          <w:p>
            <w:pPr>
              <w:spacing w:after="0"/>
            </w:pPr>
            <w:r/>
            <w:r>
              <w:rPr>
                <w:b w:val="0"/>
                <w:sz w:val="17"/>
              </w:rPr>
              <w:t>Nested IF applies thresholds in order.</w:t>
            </w:r>
          </w:p>
        </w:tc>
      </w:tr>
      <w:tr>
        <w:tc>
          <w:tcPr>
            <w:tcW w:type="dxa" w:w="3312"/>
            <w:vAlign w:val="center"/>
            <w:shd w:fill="EAF1F8"/>
          </w:tcPr>
          <w:p>
            <w:pPr>
              <w:spacing w:after="0"/>
            </w:pPr>
            <w:r/>
            <w:r>
              <w:rPr>
                <w:b w:val="0"/>
                <w:sz w:val="17"/>
              </w:rPr>
              <w:t>=SUMIFS(B2:B11,C2:C11,"High")</w:t>
            </w:r>
          </w:p>
        </w:tc>
        <w:tc>
          <w:tcPr>
            <w:tcW w:type="dxa" w:w="3312"/>
            <w:vAlign w:val="center"/>
            <w:shd w:fill="EAF1F8"/>
          </w:tcPr>
          <w:p>
            <w:pPr>
              <w:spacing w:after="0"/>
            </w:pPr>
            <w:r/>
            <w:r>
              <w:rPr>
                <w:b w:val="0"/>
                <w:sz w:val="17"/>
              </w:rPr>
              <w:t>Sum purchase amounts by segment</w:t>
            </w:r>
          </w:p>
        </w:tc>
        <w:tc>
          <w:tcPr>
            <w:tcW w:type="dxa" w:w="3312"/>
            <w:vAlign w:val="center"/>
            <w:shd w:fill="EAF1F8"/>
          </w:tcPr>
          <w:p>
            <w:pPr>
              <w:spacing w:after="0"/>
            </w:pPr>
            <w:r/>
            <w:r>
              <w:rPr>
                <w:b w:val="0"/>
                <w:sz w:val="17"/>
              </w:rPr>
              <w:t>Expand ranges for full-dataset calculations.</w:t>
            </w:r>
          </w:p>
        </w:tc>
      </w:tr>
      <w:tr>
        <w:tc>
          <w:tcPr>
            <w:tcW w:type="dxa" w:w="3312"/>
            <w:vAlign w:val="center"/>
          </w:tcPr>
          <w:p>
            <w:pPr>
              <w:spacing w:after="0"/>
            </w:pPr>
            <w:r/>
            <w:r>
              <w:rPr>
                <w:b w:val="0"/>
                <w:sz w:val="17"/>
              </w:rPr>
              <w:t>=COUNTIF($C$2:$C$3901,H2)</w:t>
            </w:r>
          </w:p>
        </w:tc>
        <w:tc>
          <w:tcPr>
            <w:tcW w:type="dxa" w:w="3312"/>
            <w:vAlign w:val="center"/>
          </w:tcPr>
          <w:p>
            <w:pPr>
              <w:spacing w:after="0"/>
            </w:pPr>
            <w:r/>
            <w:r>
              <w:rPr>
                <w:b w:val="0"/>
                <w:sz w:val="17"/>
              </w:rPr>
              <w:t>Count each segment</w:t>
            </w:r>
          </w:p>
        </w:tc>
        <w:tc>
          <w:tcPr>
            <w:tcW w:type="dxa" w:w="3312"/>
            <w:vAlign w:val="center"/>
          </w:tcPr>
          <w:p>
            <w:pPr>
              <w:spacing w:after="0"/>
            </w:pPr>
            <w:r/>
            <w:r>
              <w:rPr>
                <w:b w:val="0"/>
                <w:sz w:val="17"/>
              </w:rPr>
              <w:t>Absolute ranges stay fixed when copied down.</w:t>
            </w:r>
          </w:p>
        </w:tc>
      </w:tr>
      <w:tr>
        <w:tc>
          <w:tcPr>
            <w:tcW w:type="dxa" w:w="3312"/>
            <w:vAlign w:val="center"/>
            <w:shd w:fill="EAF1F8"/>
          </w:tcPr>
          <w:p>
            <w:pPr>
              <w:spacing w:after="0"/>
            </w:pPr>
            <w:r/>
            <w:r>
              <w:rPr>
                <w:b w:val="0"/>
                <w:sz w:val="17"/>
              </w:rPr>
              <w:t>=IFERROR(AVERAGE(B2:B11),0)</w:t>
            </w:r>
          </w:p>
        </w:tc>
        <w:tc>
          <w:tcPr>
            <w:tcW w:type="dxa" w:w="3312"/>
            <w:vAlign w:val="center"/>
            <w:shd w:fill="EAF1F8"/>
          </w:tcPr>
          <w:p>
            <w:pPr>
              <w:spacing w:after="0"/>
            </w:pPr>
            <w:r/>
            <w:r>
              <w:rPr>
                <w:b w:val="0"/>
                <w:sz w:val="17"/>
              </w:rPr>
              <w:t>Average with error handling</w:t>
            </w:r>
          </w:p>
        </w:tc>
        <w:tc>
          <w:tcPr>
            <w:tcW w:type="dxa" w:w="3312"/>
            <w:vAlign w:val="center"/>
            <w:shd w:fill="EAF1F8"/>
          </w:tcPr>
          <w:p>
            <w:pPr>
              <w:spacing w:after="0"/>
            </w:pPr>
            <w:r/>
            <w:r>
              <w:rPr>
                <w:b w:val="0"/>
                <w:sz w:val="17"/>
              </w:rPr>
              <w:t>A zero fallback should be interpreted carefully.</w:t>
            </w:r>
          </w:p>
        </w:tc>
      </w:tr>
      <w:tr>
        <w:tc>
          <w:tcPr>
            <w:tcW w:type="dxa" w:w="3312"/>
            <w:vAlign w:val="center"/>
          </w:tcPr>
          <w:p>
            <w:pPr>
              <w:spacing w:after="0"/>
            </w:pPr>
            <w:r/>
            <w:r>
              <w:rPr>
                <w:b w:val="0"/>
                <w:sz w:val="17"/>
              </w:rPr>
              <w:t>=IFERROR(AVERAGEIF($C$2:$C$3901,H2,$B$2:$B$3901),0)</w:t>
            </w:r>
          </w:p>
        </w:tc>
        <w:tc>
          <w:tcPr>
            <w:tcW w:type="dxa" w:w="3312"/>
            <w:vAlign w:val="center"/>
          </w:tcPr>
          <w:p>
            <w:pPr>
              <w:spacing w:after="0"/>
            </w:pPr>
            <w:r/>
            <w:r>
              <w:rPr>
                <w:b w:val="0"/>
                <w:sz w:val="17"/>
              </w:rPr>
              <w:t>Average purchase by segment</w:t>
            </w:r>
          </w:p>
        </w:tc>
        <w:tc>
          <w:tcPr>
            <w:tcW w:type="dxa" w:w="3312"/>
            <w:vAlign w:val="center"/>
          </w:tcPr>
          <w:p>
            <w:pPr>
              <w:spacing w:after="0"/>
            </w:pPr>
            <w:r/>
            <w:r>
              <w:rPr>
                <w:b w:val="0"/>
                <w:sz w:val="17"/>
              </w:rPr>
              <w:t>Criteria comes from the summary table.</w:t>
            </w:r>
          </w:p>
        </w:tc>
      </w:tr>
      <w:tr>
        <w:tc>
          <w:tcPr>
            <w:tcW w:type="dxa" w:w="3312"/>
            <w:vAlign w:val="center"/>
            <w:shd w:fill="EAF1F8"/>
          </w:tcPr>
          <w:p>
            <w:pPr>
              <w:spacing w:after="0"/>
            </w:pPr>
            <w:r/>
            <w:r>
              <w:rPr>
                <w:b w:val="0"/>
                <w:sz w:val="17"/>
              </w:rPr>
              <w:t>=IFERROR(VLOOKUP(A2,Raw_Data!A:E,5,FALSE),"Not Found")</w:t>
            </w:r>
          </w:p>
        </w:tc>
        <w:tc>
          <w:tcPr>
            <w:tcW w:type="dxa" w:w="3312"/>
            <w:vAlign w:val="center"/>
            <w:shd w:fill="EAF1F8"/>
          </w:tcPr>
          <w:p>
            <w:pPr>
              <w:spacing w:after="0"/>
            </w:pPr>
            <w:r/>
            <w:r>
              <w:rPr>
                <w:b w:val="0"/>
                <w:sz w:val="17"/>
              </w:rPr>
              <w:t>Retrieve Category</w:t>
            </w:r>
          </w:p>
        </w:tc>
        <w:tc>
          <w:tcPr>
            <w:tcW w:type="dxa" w:w="3312"/>
            <w:vAlign w:val="center"/>
            <w:shd w:fill="EAF1F8"/>
          </w:tcPr>
          <w:p>
            <w:pPr>
              <w:spacing w:after="0"/>
            </w:pPr>
            <w:r/>
            <w:r>
              <w:rPr>
                <w:b w:val="0"/>
                <w:sz w:val="17"/>
              </w:rPr>
              <w:t>Exact match; Category is column E.</w:t>
            </w:r>
          </w:p>
        </w:tc>
      </w:tr>
      <w:tr>
        <w:tc>
          <w:tcPr>
            <w:tcW w:type="dxa" w:w="3312"/>
            <w:vAlign w:val="center"/>
          </w:tcPr>
          <w:p>
            <w:pPr>
              <w:spacing w:after="0"/>
            </w:pPr>
            <w:r/>
            <w:r>
              <w:rPr>
                <w:b w:val="0"/>
                <w:sz w:val="17"/>
              </w:rPr>
              <w:t>INDEX/SMALL/IF array formula</w:t>
            </w:r>
          </w:p>
        </w:tc>
        <w:tc>
          <w:tcPr>
            <w:tcW w:type="dxa" w:w="3312"/>
            <w:vAlign w:val="center"/>
          </w:tcPr>
          <w:p>
            <w:pPr>
              <w:spacing w:after="0"/>
            </w:pPr>
            <w:r/>
            <w:r>
              <w:rPr>
                <w:b w:val="0"/>
                <w:sz w:val="17"/>
              </w:rPr>
              <w:t>Return matching High purchase amounts</w:t>
            </w:r>
          </w:p>
        </w:tc>
        <w:tc>
          <w:tcPr>
            <w:tcW w:type="dxa" w:w="3312"/>
            <w:vAlign w:val="center"/>
          </w:tcPr>
          <w:p>
            <w:pPr>
              <w:spacing w:after="0"/>
            </w:pPr>
            <w:r/>
            <w:r>
              <w:rPr>
                <w:b w:val="0"/>
                <w:sz w:val="17"/>
              </w:rPr>
              <w:t>Legacy Excel may require Ctrl+Shift+Enter.</w:t>
            </w:r>
          </w:p>
        </w:tc>
      </w:tr>
    </w:tbl>
    <w:p>
      <w:pPr>
        <w:spacing w:after="20"/>
      </w:pPr>
    </w:p>
    <w:p>
      <w:pPr>
        <w:pStyle w:val="Heading1"/>
      </w:pPr>
      <w:r>
        <w:t>Appendix B. Final Submission Checklist</w:t>
      </w:r>
    </w:p>
    <w:p>
      <w:pPr>
        <w:pStyle w:val="ListBullet"/>
      </w:pPr>
      <w:r>
        <w:t>☐ Save the latest Excel workbook after correcting Category lookup formulas.</w:t>
      </w:r>
    </w:p>
    <w:p>
      <w:pPr>
        <w:pStyle w:val="ListBullet"/>
      </w:pPr>
      <w:r>
        <w:t>☐ Refresh the location Pivot Table and confirm its grand total equals $233,081.</w:t>
      </w:r>
    </w:p>
    <w:p>
      <w:pPr>
        <w:pStyle w:val="ListBullet"/>
      </w:pPr>
      <w:r>
        <w:t>☐ Check that formula ranges include all 3,900 data records.</w:t>
      </w:r>
    </w:p>
    <w:p>
      <w:pPr>
        <w:pStyle w:val="ListBullet"/>
      </w:pPr>
      <w:r>
        <w:t>☐ Keep the segment Pivot Table and chart readable; consider separate charts for totals and averages.</w:t>
      </w:r>
    </w:p>
    <w:p>
      <w:pPr>
        <w:pStyle w:val="ListBullet"/>
      </w:pPr>
      <w:r>
        <w:t>☐ Capture final screenshots after the last corrections and include them in the report or project folder.</w:t>
      </w:r>
    </w:p>
    <w:p>
      <w:pPr>
        <w:pStyle w:val="ListBullet"/>
      </w:pPr>
      <w:r>
        <w:t>☐ Upload the report and workbook to the project repository and paste the repository URL into the internship portal.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Junior Data Analyst Internship | Advanced Excel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 ADVANCED EXCEL DATA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Advanced Excel Data Analysis Report</dc:title>
  <dc:subject>Advanced formulas, Pivot Tables, visualisation and business insights</dc:subject>
  <dc:creator>Junior Data Analyst Internship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