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48"/>
          <w:szCs w:val="48"/>
        </w:rPr>
        <w:t xml:space="preserve">Dossier de veille technologique</w:t>
      </w:r>
    </w:p>
    <w:p>
      <w:pPr>
        <w:spacing w:after="600"/>
        <w:jc w:val="center"/>
      </w:pPr>
      <w:r>
        <w:rPr>
          <w:sz w:val="32"/>
          <w:szCs w:val="32"/>
        </w:rPr>
        <w:t xml:space="preserve">L'évolution du hardware informatique</w:t>
      </w:r>
      <w:r>
        <w:rPr>
          <w:sz w:val="32"/>
          <w:szCs w:val="32"/>
        </w:rPr>
        <w:t xml:space="preserve">
face à l'essor de l'intelligence artificielle</w:t>
      </w:r>
    </w:p>
    <w:p>
      <w:pPr>
        <w:spacing w:after="200" w:before="1200"/>
        <w:jc w:val="center"/>
      </w:pPr>
      <w:r>
        <w:rPr>
          <w:sz w:val="26"/>
          <w:szCs w:val="26"/>
        </w:rPr>
        <w:t xml:space="preserve">BTS SIO – Épreuve E5</w:t>
      </w:r>
    </w:p>
    <w:p>
      <w:pPr>
        <w:spacing w:after="200"/>
        <w:jc w:val="center"/>
      </w:pPr>
      <w:r>
        <w:rPr>
          <w:sz w:val="26"/>
          <w:szCs w:val="26"/>
        </w:rPr>
        <w:t xml:space="preserve">Session 2026</w:t>
      </w:r>
    </w:p>
    <w:p>
      <w:pPr>
        <w:spacing w:before="600"/>
        <w:jc w:val="center"/>
      </w:pPr>
      <w:r>
        <w:rPr>
          <w:i/>
          <w:iCs/>
          <w:sz w:val="22"/>
          <w:szCs w:val="22"/>
        </w:rPr>
        <w:t xml:space="preserve">[Nom Prénom – Établissement]</w:t>
      </w:r>
    </w:p>
    <w:p>
      <w:r>
        <w:br w:type="page"/>
      </w:r>
    </w:p>
    <w:p>
      <w:pPr>
        <w:pStyle w:val="Heading1"/>
        <w:spacing w:after="200" w:before="360"/>
      </w:pPr>
      <w:r>
        <w:t xml:space="preserve">Sommaire</w:t>
      </w:r>
    </w:p>
    <w:p>
      <w:pPr>
        <w:spacing w:after="120"/>
      </w:pPr>
      <w:r>
        <w:t xml:space="preserve">1. Présentation du sujet et justification du choix</w:t>
      </w:r>
    </w:p>
    <w:p>
      <w:pPr>
        <w:spacing w:after="120"/>
      </w:pPr>
      <w:r>
        <w:t xml:space="preserve">2. Méthodologie de veille</w:t>
      </w:r>
    </w:p>
    <w:p>
      <w:pPr>
        <w:spacing w:after="120"/>
      </w:pPr>
      <w:r>
        <w:t xml:space="preserve">3. Synthèse des tendances identifiées</w:t>
      </w:r>
    </w:p>
    <w:p>
      <w:pPr>
        <w:spacing w:after="120"/>
      </w:pPr>
      <w:r>
        <w:t xml:space="preserve">4. Fiches de veille capitalisées</w:t>
      </w:r>
    </w:p>
    <w:p>
      <w:pPr>
        <w:spacing w:after="120"/>
      </w:pPr>
      <w:r>
        <w:t xml:space="preserve">5. Bilan et perspectives</w:t>
      </w:r>
    </w:p>
    <w:p>
      <w:r>
        <w:br w:type="page"/>
      </w:r>
    </w:p>
    <w:p>
      <w:pPr>
        <w:pStyle w:val="Heading1"/>
        <w:spacing w:after="200" w:before="360"/>
      </w:pPr>
      <w:r>
        <w:t xml:space="preserve">1. Présentation du sujet et justification du choix</w:t>
      </w:r>
    </w:p>
    <w:p>
      <w:pPr>
        <w:pStyle w:val="Heading2"/>
        <w:spacing w:after="160" w:before="240"/>
      </w:pPr>
      <w:r>
        <w:t xml:space="preserve">Sujet retenu</w:t>
      </w:r>
    </w:p>
    <w:p>
      <w:pPr>
        <w:spacing w:after="120"/>
      </w:pPr>
      <w:r>
        <w:rPr>
          <w:b/>
          <w:bCs/>
        </w:rPr>
        <w:t xml:space="preserve">« L'évolution du hardware informatique face à l'essor de l'intelligence artificielle »</w:t>
      </w:r>
    </w:p>
    <w:p>
      <w:pPr>
        <w:pStyle w:val="Heading2"/>
        <w:spacing w:after="160" w:before="240"/>
      </w:pPr>
      <w:r>
        <w:t xml:space="preserve">Justification du choix</w:t>
      </w:r>
    </w:p>
    <w:p>
      <w:pPr>
        <w:spacing w:after="120"/>
      </w:pPr>
      <w:r>
        <w:t xml:space="preserve">L'intelligence artificielle est devenue en quelques années un sujet structurant pour l'ensemble du secteur informatique. Au-delà des aspects logiciels, elle transforme en profondeur le matériel : nouveaux types de processeurs, refonte des datacenters, course à la puissance, mais aussi nouveaux enjeux énergétiques et géopolitiques.</w:t>
      </w:r>
    </w:p>
    <w:p>
      <w:pPr>
        <w:spacing w:after="120"/>
      </w:pPr>
      <w:r>
        <w:t xml:space="preserve">J'ai choisi ce sujet pour quatre raisons :</w:t>
      </w:r>
    </w:p>
    <w:p>
      <w:pPr>
        <w:pStyle w:val="ListParagraph"/>
        <w:numPr>
          <w:ilvl w:val="0"/>
          <w:numId w:val="2"/>
        </w:numPr>
        <w:spacing w:after="80"/>
      </w:pPr>
      <w:r>
        <w:t xml:space="preserve">Il est en lien direct avec mon métier futur : que ce soit en administration système ou en développement, je serai amené à utiliser des machines intégrant ces nouvelles technologies.</w:t>
      </w:r>
    </w:p>
    <w:p>
      <w:pPr>
        <w:pStyle w:val="ListParagraph"/>
        <w:numPr>
          <w:ilvl w:val="0"/>
          <w:numId w:val="2"/>
        </w:numPr>
        <w:spacing w:after="80"/>
      </w:pPr>
      <w:r>
        <w:t xml:space="preserve">Il croise plusieurs domaines (matériel, logiciel, énergie, géopolitique), ce qui permet une analyse riche et nuancée.</w:t>
      </w:r>
    </w:p>
    <w:p>
      <w:pPr>
        <w:pStyle w:val="ListParagraph"/>
        <w:numPr>
          <w:ilvl w:val="0"/>
          <w:numId w:val="2"/>
        </w:numPr>
        <w:spacing w:after="80"/>
      </w:pPr>
      <w:r>
        <w:t xml:space="preserve">Son actualité est très soutenue : les annonces se succèdent chaque semaine, ce qui garantit un flux continu d'informations à analyser.</w:t>
      </w:r>
    </w:p>
    <w:p>
      <w:pPr>
        <w:pStyle w:val="ListParagraph"/>
        <w:numPr>
          <w:ilvl w:val="0"/>
          <w:numId w:val="2"/>
        </w:numPr>
        <w:spacing w:after="80"/>
      </w:pPr>
      <w:r>
        <w:t xml:space="preserve">Il permet de développer un regard critique : performances, mais aussi consommation, dépendance industrielle, accessibilité économique.</w:t>
      </w:r>
    </w:p>
    <w:p>
      <w:pPr>
        <w:pStyle w:val="Heading2"/>
        <w:spacing w:after="160" w:before="240"/>
      </w:pPr>
      <w:r>
        <w:t xml:space="preserve">Périmètre de la veille</w:t>
      </w:r>
    </w:p>
    <w:p>
      <w:pPr>
        <w:pStyle w:val="ListParagraph"/>
        <w:numPr>
          <w:ilvl w:val="0"/>
          <w:numId w:val="2"/>
        </w:numPr>
        <w:spacing w:after="80"/>
      </w:pPr>
      <w:r>
        <w:t xml:space="preserve">Processeurs (CPU x86 et ARM) : Intel, AMD, Apple Silicon, Qualcomm.</w:t>
      </w:r>
    </w:p>
    <w:p>
      <w:pPr>
        <w:pStyle w:val="ListParagraph"/>
        <w:numPr>
          <w:ilvl w:val="0"/>
          <w:numId w:val="2"/>
        </w:numPr>
        <w:spacing w:after="80"/>
      </w:pPr>
      <w:r>
        <w:t xml:space="preserve">Cartes graphiques (GPU) : NVIDIA, AMD.</w:t>
      </w:r>
    </w:p>
    <w:p>
      <w:pPr>
        <w:pStyle w:val="ListParagraph"/>
        <w:numPr>
          <w:ilvl w:val="0"/>
          <w:numId w:val="2"/>
        </w:numPr>
        <w:spacing w:after="80"/>
      </w:pPr>
      <w:r>
        <w:t xml:space="preserve">Puces dédiées à l'IA : NPU et TPU.</w:t>
      </w:r>
    </w:p>
    <w:p>
      <w:pPr>
        <w:pStyle w:val="ListParagraph"/>
        <w:numPr>
          <w:ilvl w:val="0"/>
          <w:numId w:val="2"/>
        </w:numPr>
        <w:spacing w:after="80"/>
      </w:pPr>
      <w:r>
        <w:t xml:space="preserve">Chaîne de production des semi-conducteurs : TSMC, Samsung, Intel Foundry.</w:t>
      </w:r>
    </w:p>
    <w:p>
      <w:pPr>
        <w:pStyle w:val="ListParagraph"/>
        <w:numPr>
          <w:ilvl w:val="0"/>
          <w:numId w:val="2"/>
        </w:numPr>
        <w:spacing w:after="80"/>
      </w:pPr>
      <w:r>
        <w:t xml:space="preserve">Enjeux énergétiques et géopolitiques associés.</w:t>
      </w:r>
    </w:p>
    <w:p>
      <w:r>
        <w:br w:type="page"/>
      </w:r>
    </w:p>
    <w:p>
      <w:pPr>
        <w:pStyle w:val="Heading1"/>
        <w:spacing w:after="200" w:before="360"/>
      </w:pPr>
      <w:r>
        <w:t xml:space="preserve">2. Méthodologie de veille</w:t>
      </w:r>
    </w:p>
    <w:p>
      <w:pPr>
        <w:pStyle w:val="Heading2"/>
        <w:spacing w:after="160" w:before="240"/>
      </w:pPr>
      <w:r>
        <w:t xml:space="preserve">Outils mis en place</w:t>
      </w:r>
    </w:p>
    <w:p>
      <w:pPr>
        <w:spacing w:after="120"/>
      </w:pPr>
      <w:r>
        <w:t xml:space="preserve">Pour structurer cette veille sur le long terme, j'ai mis en place deux outils complémentaires :</w:t>
      </w:r>
    </w:p>
    <w:p>
      <w:pPr>
        <w:pStyle w:val="ListParagraph"/>
        <w:numPr>
          <w:ilvl w:val="0"/>
          <w:numId w:val="2"/>
        </w:numPr>
        <w:spacing w:after="80"/>
      </w:pPr>
      <w:r>
        <w:rPr>
          <w:b/>
          <w:bCs/>
        </w:rPr>
        <w:t xml:space="preserve">Feedly</w:t>
      </w:r>
      <w:r>
        <w:t xml:space="preserve"> : agrégateur de flux RSS qui centralise mes sources dans une seule interface. Cela me permet de parcourir rapidement les nouveautés sans avoir à visiter chaque site.</w:t>
      </w:r>
    </w:p>
    <w:p>
      <w:pPr>
        <w:pStyle w:val="ListParagraph"/>
        <w:numPr>
          <w:ilvl w:val="0"/>
          <w:numId w:val="2"/>
        </w:numPr>
        <w:spacing w:after="80"/>
      </w:pPr>
      <w:r>
        <w:rPr>
          <w:b/>
          <w:bCs/>
        </w:rPr>
        <w:t xml:space="preserve">Notion</w:t>
      </w:r>
      <w:r>
        <w:t xml:space="preserve"> : base de capitalisation. Chaque article retenu fait l'objet d'une fiche structurée (date, source, résumé, analyse personnelle). Cela transforme la lecture passive en réelle compétence.</w:t>
      </w:r>
    </w:p>
    <w:p>
      <w:pPr>
        <w:pStyle w:val="Heading2"/>
        <w:spacing w:after="160" w:before="240"/>
      </w:pPr>
      <w:r>
        <w:t xml:space="preserve">Sources françaises suivies</w:t>
      </w:r>
    </w:p>
    <w:p>
      <w:pPr>
        <w:pStyle w:val="ListParagraph"/>
        <w:numPr>
          <w:ilvl w:val="0"/>
          <w:numId w:val="2"/>
        </w:numPr>
        <w:spacing w:after="80"/>
      </w:pPr>
      <w:r>
        <w:t xml:space="preserve">Tom's Hardware France : tests et benchmarks détaillés.</w:t>
      </w:r>
    </w:p>
    <w:p>
      <w:pPr>
        <w:pStyle w:val="ListParagraph"/>
        <w:numPr>
          <w:ilvl w:val="0"/>
          <w:numId w:val="2"/>
        </w:numPr>
        <w:spacing w:after="80"/>
      </w:pPr>
      <w:r>
        <w:t xml:space="preserve">Les Numériques : synthèses accessibles sur les évolutions du marché.</w:t>
      </w:r>
    </w:p>
    <w:p>
      <w:pPr>
        <w:pStyle w:val="ListParagraph"/>
        <w:numPr>
          <w:ilvl w:val="0"/>
          <w:numId w:val="2"/>
        </w:numPr>
        <w:spacing w:after="80"/>
      </w:pPr>
      <w:r>
        <w:t xml:space="preserve">Next INpact : analyses de fond et angle indépendant.</w:t>
      </w:r>
    </w:p>
    <w:p>
      <w:pPr>
        <w:pStyle w:val="ListParagraph"/>
        <w:numPr>
          <w:ilvl w:val="0"/>
          <w:numId w:val="2"/>
        </w:numPr>
        <w:spacing w:after="80"/>
      </w:pPr>
      <w:r>
        <w:t xml:space="preserve">Le Monde Informatique : actualité tournée vers l'entreprise et le DSI.</w:t>
      </w:r>
    </w:p>
    <w:p>
      <w:pPr>
        <w:pStyle w:val="ListParagraph"/>
        <w:numPr>
          <w:ilvl w:val="0"/>
          <w:numId w:val="2"/>
        </w:numPr>
        <w:spacing w:after="80"/>
      </w:pPr>
      <w:r>
        <w:t xml:space="preserve">Frandroid : actualité tech grand public.</w:t>
      </w:r>
    </w:p>
    <w:p>
      <w:pPr>
        <w:pStyle w:val="ListParagraph"/>
        <w:numPr>
          <w:ilvl w:val="0"/>
          <w:numId w:val="2"/>
        </w:numPr>
        <w:spacing w:after="80"/>
      </w:pPr>
      <w:r>
        <w:t xml:space="preserve">Korben : veille tech accessible avec ton vulgarisé.</w:t>
      </w:r>
    </w:p>
    <w:p>
      <w:pPr>
        <w:pStyle w:val="Heading2"/>
        <w:spacing w:after="160" w:before="240"/>
      </w:pPr>
      <w:r>
        <w:t xml:space="preserve">Sources internationales suivies</w:t>
      </w:r>
    </w:p>
    <w:p>
      <w:pPr>
        <w:pStyle w:val="ListParagraph"/>
        <w:numPr>
          <w:ilvl w:val="0"/>
          <w:numId w:val="2"/>
        </w:numPr>
        <w:spacing w:after="80"/>
      </w:pPr>
      <w:r>
        <w:t xml:space="preserve">AnandTech : référence technique mondiale, articles très approfondis.</w:t>
      </w:r>
    </w:p>
    <w:p>
      <w:pPr>
        <w:pStyle w:val="ListParagraph"/>
        <w:numPr>
          <w:ilvl w:val="0"/>
          <w:numId w:val="2"/>
        </w:numPr>
        <w:spacing w:after="80"/>
      </w:pPr>
      <w:r>
        <w:t xml:space="preserve">Tom's Hardware US : version anglophone, contenu plus large.</w:t>
      </w:r>
    </w:p>
    <w:p>
      <w:pPr>
        <w:pStyle w:val="ListParagraph"/>
        <w:numPr>
          <w:ilvl w:val="0"/>
          <w:numId w:val="2"/>
        </w:numPr>
        <w:spacing w:after="80"/>
      </w:pPr>
      <w:r>
        <w:t xml:space="preserve">Ars Technica : analyses journalistiques de fond.</w:t>
      </w:r>
    </w:p>
    <w:p>
      <w:pPr>
        <w:pStyle w:val="ListParagraph"/>
        <w:numPr>
          <w:ilvl w:val="0"/>
          <w:numId w:val="2"/>
        </w:numPr>
        <w:spacing w:after="80"/>
      </w:pPr>
      <w:r>
        <w:t xml:space="preserve">The Verge : généraliste tech américain.</w:t>
      </w:r>
    </w:p>
    <w:p>
      <w:pPr>
        <w:pStyle w:val="ListParagraph"/>
        <w:numPr>
          <w:ilvl w:val="0"/>
          <w:numId w:val="2"/>
        </w:numPr>
        <w:spacing w:after="80"/>
      </w:pPr>
      <w:r>
        <w:t xml:space="preserve">Phoronix : spécialisé Linux et hardware professionnel.</w:t>
      </w:r>
    </w:p>
    <w:p>
      <w:pPr>
        <w:pStyle w:val="Heading2"/>
        <w:spacing w:after="160" w:before="240"/>
      </w:pPr>
      <w:r>
        <w:t xml:space="preserve">Sources complémentaires</w:t>
      </w:r>
    </w:p>
    <w:p>
      <w:pPr>
        <w:pStyle w:val="ListParagraph"/>
        <w:numPr>
          <w:ilvl w:val="0"/>
          <w:numId w:val="2"/>
        </w:numPr>
        <w:spacing w:after="80"/>
      </w:pPr>
      <w:r>
        <w:t xml:space="preserve">LinkedIn : suivi d'analystes du secteur (Patrick Moorhead, Ian Cutress).</w:t>
      </w:r>
    </w:p>
    <w:p>
      <w:pPr>
        <w:pStyle w:val="ListParagraph"/>
        <w:numPr>
          <w:ilvl w:val="0"/>
          <w:numId w:val="2"/>
        </w:numPr>
        <w:spacing w:after="80"/>
      </w:pPr>
      <w:r>
        <w:t xml:space="preserve">Twitter/X : annonces officielles et débats techniques en temps réel.</w:t>
      </w:r>
    </w:p>
    <w:p>
      <w:pPr>
        <w:pStyle w:val="ListParagraph"/>
        <w:numPr>
          <w:ilvl w:val="0"/>
          <w:numId w:val="2"/>
        </w:numPr>
        <w:spacing w:after="80"/>
      </w:pPr>
      <w:r>
        <w:t xml:space="preserve">Reddit : retours d'expérience sur r/hardware et r/sysadmin.</w:t>
      </w:r>
    </w:p>
    <w:p>
      <w:pPr>
        <w:pStyle w:val="Heading2"/>
        <w:spacing w:after="160" w:before="240"/>
      </w:pPr>
      <w:r>
        <w:t xml:space="preserve">Fréquence et méthode</w:t>
      </w:r>
    </w:p>
    <w:p>
      <w:pPr>
        <w:pStyle w:val="ListParagraph"/>
        <w:numPr>
          <w:ilvl w:val="0"/>
          <w:numId w:val="2"/>
        </w:numPr>
        <w:spacing w:after="80"/>
      </w:pPr>
      <w:r>
        <w:t xml:space="preserve">Créneau hebdomadaire fixe (lundi matin), environ 30 minutes.</w:t>
      </w:r>
    </w:p>
    <w:p>
      <w:pPr>
        <w:pStyle w:val="ListParagraph"/>
        <w:numPr>
          <w:ilvl w:val="0"/>
          <w:numId w:val="2"/>
        </w:numPr>
        <w:spacing w:after="80"/>
      </w:pPr>
      <w:r>
        <w:t xml:space="preserve">Lecture rapide des titres dans Feedly, sélection des articles pertinents.</w:t>
      </w:r>
    </w:p>
    <w:p>
      <w:pPr>
        <w:pStyle w:val="ListParagraph"/>
        <w:numPr>
          <w:ilvl w:val="0"/>
          <w:numId w:val="2"/>
        </w:numPr>
        <w:spacing w:after="80"/>
      </w:pPr>
      <w:r>
        <w:t xml:space="preserve">Lecture approfondie de 2 à 3 articles par semaine.</w:t>
      </w:r>
    </w:p>
    <w:p>
      <w:pPr>
        <w:pStyle w:val="ListParagraph"/>
        <w:numPr>
          <w:ilvl w:val="0"/>
          <w:numId w:val="2"/>
        </w:numPr>
        <w:spacing w:after="80"/>
      </w:pPr>
      <w:r>
        <w:t xml:space="preserve">Capitalisation dans Notion des informations marquantes.</w:t>
      </w:r>
    </w:p>
    <w:p>
      <w:pPr>
        <w:pStyle w:val="ListParagraph"/>
        <w:numPr>
          <w:ilvl w:val="0"/>
          <w:numId w:val="2"/>
        </w:numPr>
        <w:spacing w:after="80"/>
      </w:pPr>
      <w:r>
        <w:t xml:space="preserve">Croisement systématique des sources avant validation d'une information.</w:t>
      </w:r>
    </w:p>
    <w:p>
      <w:pPr>
        <w:pStyle w:val="Heading2"/>
        <w:spacing w:after="160" w:before="240"/>
      </w:pPr>
      <w:r>
        <w:t xml:space="preserve">Critères de fiabilité</w:t>
      </w:r>
    </w:p>
    <w:p>
      <w:pPr>
        <w:spacing w:after="120"/>
      </w:pPr>
      <w:r>
        <w:t xml:space="preserve">Avant de retenir une information, je vérifie :</w:t>
      </w:r>
    </w:p>
    <w:p>
      <w:pPr>
        <w:pStyle w:val="ListParagraph"/>
        <w:numPr>
          <w:ilvl w:val="0"/>
          <w:numId w:val="2"/>
        </w:numPr>
        <w:spacing w:after="80"/>
      </w:pPr>
      <w:r>
        <w:t xml:space="preserve">L'origine de la source : média reconnu ou blog isolé.</w:t>
      </w:r>
    </w:p>
    <w:p>
      <w:pPr>
        <w:pStyle w:val="ListParagraph"/>
        <w:numPr>
          <w:ilvl w:val="0"/>
          <w:numId w:val="2"/>
        </w:numPr>
        <w:spacing w:after="80"/>
      </w:pPr>
      <w:r>
        <w:t xml:space="preserve">Le croisement par au moins une source indépendante.</w:t>
      </w:r>
    </w:p>
    <w:p>
      <w:pPr>
        <w:pStyle w:val="ListParagraph"/>
        <w:numPr>
          <w:ilvl w:val="0"/>
          <w:numId w:val="2"/>
        </w:numPr>
        <w:spacing w:after="80"/>
      </w:pPr>
      <w:r>
        <w:t xml:space="preserve">La date de publication, particulièrement importante dans un domaine qui évolue vite.</w:t>
      </w:r>
    </w:p>
    <w:p>
      <w:pPr>
        <w:pStyle w:val="ListParagraph"/>
        <w:numPr>
          <w:ilvl w:val="0"/>
          <w:numId w:val="2"/>
        </w:numPr>
        <w:spacing w:after="80"/>
      </w:pPr>
      <w:r>
        <w:t xml:space="preserve">La distinction entre annonce officielle d'un constructeur et rumeur ou fuite (« leak »).</w:t>
      </w:r>
    </w:p>
    <w:p>
      <w:r>
        <w:br w:type="page"/>
      </w:r>
    </w:p>
    <w:p>
      <w:pPr>
        <w:pStyle w:val="Heading1"/>
        <w:spacing w:after="200" w:before="360"/>
      </w:pPr>
      <w:r>
        <w:t xml:space="preserve">3. Synthèse des tendances identifiées</w:t>
      </w:r>
    </w:p>
    <w:p>
      <w:pPr>
        <w:spacing w:after="120"/>
      </w:pPr>
      <w:r>
        <w:t xml:space="preserve">Sur cette année de veille, trois grandes tendances se dégagent :</w:t>
      </w:r>
    </w:p>
    <w:p>
      <w:pPr>
        <w:pStyle w:val="Heading2"/>
        <w:spacing w:after="160" w:before="240"/>
      </w:pPr>
      <w:r>
        <w:t xml:space="preserve">Tendance 1 — La domination de NVIDIA sur le hardware IA</w:t>
      </w:r>
    </w:p>
    <w:p>
      <w:pPr>
        <w:spacing w:after="120"/>
      </w:pPr>
      <w:r>
        <w:t xml:space="preserve">NVIDIA a confirmé sa position dominante sur le marché des GPU dédiés à l'intelligence artificielle. Les architectures Hopper (H100) puis Blackwell (B200) équipent la majorité des datacenters d'IA. Cette domination ne s'explique pas seulement par la performance brute du matériel, mais aussi par la maturité de l'écosystème logiciel CUDA, devenu standard de fait pour les chercheurs et développeurs IA.</w:t>
      </w:r>
    </w:p>
    <w:p>
      <w:pPr>
        <w:spacing w:after="120"/>
      </w:pPr>
      <w:r>
        <w:t xml:space="preserve">La concurrence existe — AMD avec ses MI300X, Google avec ses TPU, Amazon avec Trainium — mais elle peine à rattraper l'avance écosystémique de NVIDIA.</w:t>
      </w:r>
    </w:p>
    <w:p>
      <w:pPr>
        <w:pStyle w:val="Heading2"/>
        <w:spacing w:after="160" w:before="240"/>
      </w:pPr>
      <w:r>
        <w:t xml:space="preserve">Tendance 2 — La généralisation des NPU dans les PC grand public</w:t>
      </w:r>
    </w:p>
    <w:p>
      <w:pPr>
        <w:spacing w:after="120"/>
      </w:pPr>
      <w:r>
        <w:t xml:space="preserve">Le NPU (Neural Processing Unit), longtemps réservé aux smartphones et aux machines spécialisées, s'impose dans les PC grand public. Microsoft a structuré le marché en créant la catégorie Copilot+ PC, qui exige un NPU délivrant au moins 40 TOPS.</w:t>
      </w:r>
    </w:p>
    <w:p>
      <w:pPr>
        <w:spacing w:after="120"/>
      </w:pPr>
      <w:r>
        <w:t xml:space="preserve">Tous les grands fondeurs ont suivi : Qualcomm (Snapdragon X Elite), Intel (Core Ultra), AMD (Ryzen AI), Apple (Neural Engine). En deux ans, la puissance des NPU est passée d'environ 10 TOPS à plus de 50 TOPS, signe d'une évolution très rapide.</w:t>
      </w:r>
    </w:p>
    <w:p>
      <w:pPr>
        <w:pStyle w:val="Heading2"/>
        <w:spacing w:after="160" w:before="240"/>
      </w:pPr>
      <w:r>
        <w:t xml:space="preserve">Tendance 3 — Les semi-conducteurs, enjeu géopolitique majeur</w:t>
      </w:r>
    </w:p>
    <w:p>
      <w:pPr>
        <w:spacing w:after="120"/>
      </w:pPr>
      <w:r>
        <w:t xml:space="preserve">La fabrication des puces les plus avancées dépend à environ 90 % d'un seul acteur, TSMC, implanté à Taïwan. Cette concentration crée une vulnérabilité stratégique pour l'ensemble de l'industrie informatique mondiale.</w:t>
      </w:r>
    </w:p>
    <w:p>
      <w:pPr>
        <w:spacing w:after="120"/>
      </w:pPr>
      <w:r>
        <w:t xml:space="preserve">Les grandes puissances ont réagi : le CHIPS Act américain (52 milliards de dollars) finance la construction d'usines aux États-Unis, et l'EU Chips Act (43 milliards d'euros) vise à relocaliser 20 % de la production mondiale en Europe d'ici 2030. Le hardware n'est plus seulement un sujet technique, il est devenu un sujet de souveraineté nationale.</w:t>
      </w:r>
    </w:p>
    <w:p>
      <w:r>
        <w:br w:type="page"/>
      </w:r>
    </w:p>
    <w:p>
      <w:pPr>
        <w:pStyle w:val="Heading1"/>
        <w:spacing w:after="200" w:before="360"/>
      </w:pPr>
      <w:r>
        <w:t xml:space="preserve">4. Fiches de veille capitalisées</w:t>
      </w:r>
    </w:p>
    <w:p>
      <w:pPr>
        <w:spacing w:after="120"/>
      </w:pPr>
      <w:r>
        <w:t xml:space="preserve">Le tableau ci-dessous présente les articles capitalisés sur la période de mai 2025 à avril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760"/>
      </w:tblGrid>
      <w:tr>
        <w:trPr>
          <w:tblHeader/>
        </w:trPr>
        <w:tc>
          <w:tcPr>
            <w:tcW w:type="dxa" w:w="1100"/>
            <w:tcBorders>
              <w:top w:val="single" w:color="999999" w:sz="4"/>
              <w:left w:val="single" w:color="999999" w:sz="4"/>
              <w:bottom w:val="single" w:color="999999" w:sz="4"/>
              <w:right w:val="single" w:color="999999" w:sz="4"/>
            </w:tcBorders>
            <w:shd w:fill="2E75B6" w:val="clear"/>
            <w:tcMar>
              <w:top w:type="dxa" w:w="100"/>
              <w:left w:type="dxa" w:w="100"/>
              <w:bottom w:type="dxa" w:w="100"/>
              <w:right w:type="dxa" w:w="100"/>
            </w:tcMar>
          </w:tcPr>
          <w:p>
            <w:r>
              <w:rPr>
                <w:b/>
                <w:bCs/>
                <w:color w:val="FFFFFF"/>
                <w:sz w:val="20"/>
                <w:szCs w:val="20"/>
              </w:rPr>
              <w:t xml:space="preserve">Date</w:t>
            </w:r>
          </w:p>
        </w:tc>
        <w:tc>
          <w:tcPr>
            <w:tcW w:type="dxa" w:w="1500"/>
            <w:tcBorders>
              <w:top w:val="single" w:color="999999" w:sz="4"/>
              <w:left w:val="single" w:color="999999" w:sz="4"/>
              <w:bottom w:val="single" w:color="999999" w:sz="4"/>
              <w:right w:val="single" w:color="999999" w:sz="4"/>
            </w:tcBorders>
            <w:shd w:fill="2E75B6" w:val="clear"/>
            <w:tcMar>
              <w:top w:type="dxa" w:w="100"/>
              <w:left w:type="dxa" w:w="100"/>
              <w:bottom w:type="dxa" w:w="100"/>
              <w:right w:type="dxa" w:w="100"/>
            </w:tcMar>
          </w:tcPr>
          <w:p>
            <w:r>
              <w:rPr>
                <w:b/>
                <w:bCs/>
                <w:color w:val="FFFFFF"/>
                <w:sz w:val="20"/>
                <w:szCs w:val="20"/>
              </w:rPr>
              <w:t xml:space="preserve">Source</w:t>
            </w:r>
          </w:p>
        </w:tc>
        <w:tc>
          <w:tcPr>
            <w:tcW w:type="dxa" w:w="6760"/>
            <w:tcBorders>
              <w:top w:val="single" w:color="999999" w:sz="4"/>
              <w:left w:val="single" w:color="999999" w:sz="4"/>
              <w:bottom w:val="single" w:color="999999" w:sz="4"/>
              <w:right w:val="single" w:color="999999" w:sz="4"/>
            </w:tcBorders>
            <w:shd w:fill="2E75B6" w:val="clear"/>
            <w:tcMar>
              <w:top w:type="dxa" w:w="100"/>
              <w:left w:type="dxa" w:w="100"/>
              <w:bottom w:type="dxa" w:w="100"/>
              <w:right w:type="dxa" w:w="100"/>
            </w:tcMar>
          </w:tcPr>
          <w:p>
            <w:r>
              <w:rPr>
                <w:b/>
                <w:bCs/>
                <w:color w:val="FFFFFF"/>
                <w:sz w:val="20"/>
                <w:szCs w:val="20"/>
              </w:rPr>
              <w:t xml:space="preserve">Article et analyse</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12/05/2025</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Tom's Hardware</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NVIDIA dévoile l'architecture Blackwell B200</w:t>
            </w:r>
          </w:p>
          <w:p>
            <w:pPr>
              <w:spacing w:after="60"/>
            </w:pPr>
            <w:r>
              <w:rPr>
                <w:sz w:val="18"/>
                <w:szCs w:val="18"/>
              </w:rPr>
              <w:t xml:space="preserve">Résumé : NVIDIA présente son nouveau GPU B200 destiné aux datacenters d'IA. Avec 208 milliards de transistors, il offre 5 fois la performance du H100 sur l'entraînement des grands modèles de langage.</w:t>
            </w:r>
          </w:p>
          <w:p>
            <w:r>
              <w:rPr>
                <w:i/>
                <w:iCs/>
                <w:sz w:val="18"/>
                <w:szCs w:val="18"/>
              </w:rPr>
              <w:t xml:space="preserve">Ce que j'en retiens : NVIDIA conforte sa domination sur le marché du hardware IA. Le rapport performance/watt devient un argument stratégique.</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03/06/2025</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Next INpact</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Microsoft lance la catégorie Copilot+ PC</w:t>
            </w:r>
          </w:p>
          <w:p>
            <w:pPr>
              <w:spacing w:after="60"/>
            </w:pPr>
            <w:r>
              <w:rPr>
                <w:sz w:val="18"/>
                <w:szCs w:val="18"/>
              </w:rPr>
              <w:t xml:space="preserve">Résumé : Microsoft impose un NPU d'au moins 40 TOPS pour qu'un PC soit certifié Copilot+. Les premiers modèles tournent sur Snapdragon X Elite (Qualcomm).</w:t>
            </w:r>
          </w:p>
          <w:p>
            <w:r>
              <w:rPr>
                <w:i/>
                <w:iCs/>
                <w:sz w:val="18"/>
                <w:szCs w:val="18"/>
              </w:rPr>
              <w:t xml:space="preserve">Ce que j'en retiens : Le NPU devient un composant standard du PC grand public, pas seulement réservé aux machines pro.</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21/06/2025</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AnandTech</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Intel Core Ultra : la première gamme x86 avec NPU intégré</w:t>
            </w:r>
          </w:p>
          <w:p>
            <w:pPr>
              <w:spacing w:after="60"/>
            </w:pPr>
            <w:r>
              <w:rPr>
                <w:sz w:val="18"/>
                <w:szCs w:val="18"/>
              </w:rPr>
              <w:t xml:space="preserve">Résumé : Intel intègre un NPU dans ses processeurs grand public Core Ultra (architecture Meteor Lake puis Lunar Lake), avec environ 48 TOPS sur la dernière génération.</w:t>
            </w:r>
          </w:p>
          <w:p>
            <w:r>
              <w:rPr>
                <w:i/>
                <w:iCs/>
                <w:sz w:val="18"/>
                <w:szCs w:val="18"/>
              </w:rPr>
              <w:t xml:space="preserve">Ce que j'en retiens : Intel rattrape son retard sur Apple Silicon en intégrant l'IA directement dans le SoC.</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08/07/2025</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Les Numériques</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Apple présente la puce M4 et son Neural Engine 38 TOPS</w:t>
            </w:r>
          </w:p>
          <w:p>
            <w:pPr>
              <w:spacing w:after="60"/>
            </w:pPr>
            <w:r>
              <w:rPr>
                <w:sz w:val="18"/>
                <w:szCs w:val="18"/>
              </w:rPr>
              <w:t xml:space="preserve">Résumé : Apple continue sa stratégie de puces ARM maison. Le M4 met l'accent sur l'efficacité énergétique et l'IA on-device pour Apple Intelligence.</w:t>
            </w:r>
          </w:p>
          <w:p>
            <w:r>
              <w:rPr>
                <w:i/>
                <w:iCs/>
                <w:sz w:val="18"/>
                <w:szCs w:val="18"/>
              </w:rPr>
              <w:t xml:space="preserve">Ce que j'en retiens : Apple Silicon prouve qu'ARM peut concurrencer x86 sur le PC, performance ET autonomie.</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29/07/2025</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Le Monde Informatique</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TSMC investit 65 milliards aux États-Unis (CHIPS Act)</w:t>
            </w:r>
          </w:p>
          <w:p>
            <w:pPr>
              <w:spacing w:after="60"/>
            </w:pPr>
            <w:r>
              <w:rPr>
                <w:sz w:val="18"/>
                <w:szCs w:val="18"/>
              </w:rPr>
              <w:t xml:space="preserve">Résumé : TSMC annonce la construction d'usines en Arizona pour produire des puces avancées. Objectif : réduire la dépendance des États-Unis à Taïwan.</w:t>
            </w:r>
          </w:p>
          <w:p>
            <w:r>
              <w:rPr>
                <w:i/>
                <w:iCs/>
                <w:sz w:val="18"/>
                <w:szCs w:val="18"/>
              </w:rPr>
              <w:t xml:space="preserve">Ce que j'en retiens : Le hardware est devenu un enjeu géopolitique majeur. La souveraineté numérique passe par les semi-conducteurs.</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14/09/2025</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Ars Technica</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AMD MI300X : la riposte à NVIDIA dans l'IA</w:t>
            </w:r>
          </w:p>
          <w:p>
            <w:pPr>
              <w:spacing w:after="60"/>
            </w:pPr>
            <w:r>
              <w:rPr>
                <w:sz w:val="18"/>
                <w:szCs w:val="18"/>
              </w:rPr>
              <w:t xml:space="preserve">Résumé : AMD lance son accélérateur MI300X avec 192 Go de mémoire HBM3. Performances proches du H100, mais l'écosystème logiciel ROCm reste moins mature que CUDA.</w:t>
            </w:r>
          </w:p>
          <w:p>
            <w:r>
              <w:rPr>
                <w:i/>
                <w:iCs/>
                <w:sz w:val="18"/>
                <w:szCs w:val="18"/>
              </w:rPr>
              <w:t xml:space="preserve">Ce que j'en retiens : Le hardware ne suffit pas : l'écosystème logiciel (CUDA chez NVIDIA) est aussi déterminant que la puce.</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02/10/2025</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Frandroid</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Qualcomm Snapdragon X Elite : ARM débarque sur Windows</w:t>
            </w:r>
          </w:p>
          <w:p>
            <w:pPr>
              <w:spacing w:after="60"/>
            </w:pPr>
            <w:r>
              <w:rPr>
                <w:sz w:val="18"/>
                <w:szCs w:val="18"/>
              </w:rPr>
              <w:t xml:space="preserve">Résumé : Les premiers PC Windows ARM commencent à se vendre correctement grâce à l'émulation x86 de Windows 11 et au support natif progressif des applis.</w:t>
            </w:r>
          </w:p>
          <w:p>
            <w:r>
              <w:rPr>
                <w:i/>
                <w:iCs/>
                <w:sz w:val="18"/>
                <w:szCs w:val="18"/>
              </w:rPr>
              <w:t xml:space="preserve">Ce que j'en retiens : L'architecture ARM gagne du terrain face à x86, sur tous les segments.</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20/10/2025</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Phoronix</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PCIe 5.0 et NVMe 2.0 démocratisent les SSD ultra-rapides</w:t>
            </w:r>
          </w:p>
          <w:p>
            <w:pPr>
              <w:spacing w:after="60"/>
            </w:pPr>
            <w:r>
              <w:rPr>
                <w:sz w:val="18"/>
                <w:szCs w:val="18"/>
              </w:rPr>
              <w:t xml:space="preserve">Résumé : Les SSD PCIe 5.0 atteignent 14 Go/s en lecture séquentielle. Le standard NVMe 2.0 ajoute des fonctionnalités pour les datacenters.</w:t>
            </w:r>
          </w:p>
          <w:p>
            <w:r>
              <w:rPr>
                <w:i/>
                <w:iCs/>
                <w:sz w:val="18"/>
                <w:szCs w:val="18"/>
              </w:rPr>
              <w:t xml:space="preserve">Ce que j'en retiens : Le stockage progresse aussi vite que le calcul. Important pour les workloads IA gourmands en data.</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11/11/2025</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Next INpact</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Consommation énergétique : les datacenters d'IA inquiètent</w:t>
            </w:r>
          </w:p>
          <w:p>
            <w:pPr>
              <w:spacing w:after="60"/>
            </w:pPr>
            <w:r>
              <w:rPr>
                <w:sz w:val="18"/>
                <w:szCs w:val="18"/>
              </w:rPr>
              <w:t xml:space="preserve">Résumé : L'AIE estime que les datacenters mondiaux pourraient doubler leur consommation d'ici 2030, principalement à cause de l'IA générative.</w:t>
            </w:r>
          </w:p>
          <w:p>
            <w:r>
              <w:rPr>
                <w:i/>
                <w:iCs/>
                <w:sz w:val="18"/>
                <w:szCs w:val="18"/>
              </w:rPr>
              <w:t xml:space="preserve">Ce que j'en retiens : La performance brute ne suffit plus, l'efficacité énergétique devient critique. Sujet d'éco-conception.</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05/12/2025</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Tom's Hardware</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Refroidissement liquide direct : nouvelle norme des datacenters IA</w:t>
            </w:r>
          </w:p>
          <w:p>
            <w:pPr>
              <w:spacing w:after="60"/>
            </w:pPr>
            <w:r>
              <w:rPr>
                <w:sz w:val="18"/>
                <w:szCs w:val="18"/>
              </w:rPr>
              <w:t xml:space="preserve">Résumé : Les serveurs équipés de GPU H100/B200 dépassent les capacités de refroidissement à air. Le DLC (Direct Liquid Cooling) devient incontournable.</w:t>
            </w:r>
          </w:p>
          <w:p>
            <w:r>
              <w:rPr>
                <w:i/>
                <w:iCs/>
                <w:sz w:val="18"/>
                <w:szCs w:val="18"/>
              </w:rPr>
              <w:t xml:space="preserve">Ce que j'en retiens : L'infrastructure physique évolue : un sysadmin doit comprendre ces enjeux thermiques.</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18/01/2026</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Korben</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L'Europe accélère sur les semi-conducteurs avec l'EU Chips Act</w:t>
            </w:r>
          </w:p>
          <w:p>
            <w:pPr>
              <w:spacing w:after="60"/>
            </w:pPr>
            <w:r>
              <w:rPr>
                <w:sz w:val="18"/>
                <w:szCs w:val="18"/>
              </w:rPr>
              <w:t xml:space="preserve">Résumé : L'UE prévoit 43 milliards d'euros pour relocaliser 20% de la production mondiale de puces en Europe d'ici 2030.</w:t>
            </w:r>
          </w:p>
          <w:p>
            <w:r>
              <w:rPr>
                <w:i/>
                <w:iCs/>
                <w:sz w:val="18"/>
                <w:szCs w:val="18"/>
              </w:rPr>
              <w:t xml:space="preserve">Ce que j'en retiens : Réponse européenne au CHIPS Act américain. La souveraineté numérique est une priorité politique.</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07/02/2026</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AnandTech</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NVIDIA Project DIGITS : un mini-PC IA à 3000 $</w:t>
            </w:r>
          </w:p>
          <w:p>
            <w:pPr>
              <w:spacing w:after="60"/>
            </w:pPr>
            <w:r>
              <w:rPr>
                <w:sz w:val="18"/>
                <w:szCs w:val="18"/>
              </w:rPr>
              <w:t xml:space="preserve">Résumé : NVIDIA annonce un poste de travail compact pour les développeurs IA, basé sur la puce GB10. Permet de faire tourner des modèles jusqu'à 200 milliards de paramètres en local.</w:t>
            </w:r>
          </w:p>
          <w:p>
            <w:r>
              <w:rPr>
                <w:i/>
                <w:iCs/>
                <w:sz w:val="18"/>
                <w:szCs w:val="18"/>
              </w:rPr>
              <w:t xml:space="preserve">Ce que j'en retiens : L'IA locale (vs cloud) devient accessible aux pros. Enjeu de confidentialité des données.</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25/02/2026</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Le Monde Informatique</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Google présente sa nouvelle puce TPU v6</w:t>
            </w:r>
          </w:p>
          <w:p>
            <w:pPr>
              <w:spacing w:after="60"/>
            </w:pPr>
            <w:r>
              <w:rPr>
                <w:sz w:val="18"/>
                <w:szCs w:val="18"/>
              </w:rPr>
              <w:t xml:space="preserve">Résumé : Google dévoile la sixième génération de TPU (Tensor Processing Unit), exclusivement utilisée dans son cloud. Vise à concurrencer NVIDIA sur l'inférence IA à grande échelle.</w:t>
            </w:r>
          </w:p>
          <w:p>
            <w:r>
              <w:rPr>
                <w:i/>
                <w:iCs/>
                <w:sz w:val="18"/>
                <w:szCs w:val="18"/>
              </w:rPr>
              <w:t xml:space="preserve">Ce que j'en retiens : Les hyperscalers (Google, Amazon, Microsoft) conçoivent leurs propres puces. NVIDIA n'a plus le monopole.</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b/>
                <w:bCs/>
                <w:sz w:val="18"/>
                <w:szCs w:val="18"/>
              </w:rPr>
              <w:t xml:space="preserve">10/03/2026</w:t>
            </w:r>
          </w:p>
        </w:tc>
        <w:tc>
          <w:tcPr>
            <w:tcW w:type="dxa" w:w="150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r>
              <w:rPr>
                <w:sz w:val="18"/>
                <w:szCs w:val="18"/>
              </w:rPr>
              <w:t xml:space="preserve">Ars Technica</w:t>
            </w:r>
          </w:p>
        </w:tc>
        <w:tc>
          <w:tcPr>
            <w:tcW w:type="dxa" w:w="6760"/>
            <w:tcBorders>
              <w:top w:val="single" w:color="999999" w:sz="4"/>
              <w:left w:val="single" w:color="999999" w:sz="4"/>
              <w:bottom w:val="single" w:color="999999" w:sz="4"/>
              <w:right w:val="single" w:color="999999" w:sz="4"/>
            </w:tcBorders>
            <w:shd w:fill="FFFFFF" w:val="clear"/>
            <w:tcMar>
              <w:top w:type="dxa" w:w="80"/>
              <w:left w:type="dxa" w:w="100"/>
              <w:bottom w:type="dxa" w:w="80"/>
              <w:right w:type="dxa" w:w="100"/>
            </w:tcMar>
          </w:tcPr>
          <w:p>
            <w:pPr>
              <w:spacing w:after="60"/>
            </w:pPr>
            <w:r>
              <w:rPr>
                <w:b/>
                <w:bCs/>
                <w:sz w:val="18"/>
                <w:szCs w:val="18"/>
              </w:rPr>
              <w:t xml:space="preserve">Refroidissement par immersion : OVH teste à grande échelle</w:t>
            </w:r>
          </w:p>
          <w:p>
            <w:pPr>
              <w:spacing w:after="60"/>
            </w:pPr>
            <w:r>
              <w:rPr>
                <w:sz w:val="18"/>
                <w:szCs w:val="18"/>
              </w:rPr>
              <w:t xml:space="preserve">Résumé : OVHcloud généralise l'immersion de serveurs dans un liquide diélectrique. Réduction de 30% de la consommation de refroidissement.</w:t>
            </w:r>
          </w:p>
          <w:p>
            <w:r>
              <w:rPr>
                <w:i/>
                <w:iCs/>
                <w:sz w:val="18"/>
                <w:szCs w:val="18"/>
              </w:rPr>
              <w:t xml:space="preserve">Ce que j'en retiens : Acteur français, démarche éco-conception. Démarche intéressante de diversification des sources d'innovation.</w:t>
            </w:r>
          </w:p>
        </w:tc>
      </w:tr>
      <w:tr>
        <w:tc>
          <w:tcPr>
            <w:tcW w:type="dxa" w:w="11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b/>
                <w:bCs/>
                <w:sz w:val="18"/>
                <w:szCs w:val="18"/>
              </w:rPr>
              <w:t xml:space="preserve">02/04/2026</w:t>
            </w:r>
          </w:p>
        </w:tc>
        <w:tc>
          <w:tcPr>
            <w:tcW w:type="dxa" w:w="150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r>
              <w:rPr>
                <w:sz w:val="18"/>
                <w:szCs w:val="18"/>
              </w:rPr>
              <w:t xml:space="preserve">Tom's Hardware</w:t>
            </w:r>
          </w:p>
        </w:tc>
        <w:tc>
          <w:tcPr>
            <w:tcW w:type="dxa" w:w="6760"/>
            <w:tcBorders>
              <w:top w:val="single" w:color="999999" w:sz="4"/>
              <w:left w:val="single" w:color="999999" w:sz="4"/>
              <w:bottom w:val="single" w:color="999999" w:sz="4"/>
              <w:right w:val="single" w:color="999999" w:sz="4"/>
            </w:tcBorders>
            <w:shd w:fill="F4F6F8" w:val="clear"/>
            <w:tcMar>
              <w:top w:type="dxa" w:w="80"/>
              <w:left w:type="dxa" w:w="100"/>
              <w:bottom w:type="dxa" w:w="80"/>
              <w:right w:type="dxa" w:w="100"/>
            </w:tcMar>
          </w:tcPr>
          <w:p>
            <w:pPr>
              <w:spacing w:after="60"/>
            </w:pPr>
            <w:r>
              <w:rPr>
                <w:b/>
                <w:bCs/>
                <w:sz w:val="18"/>
                <w:szCs w:val="18"/>
              </w:rPr>
              <w:t xml:space="preserve">Apple M5 et la généralisation des NPU à 50+ TOPS</w:t>
            </w:r>
          </w:p>
          <w:p>
            <w:pPr>
              <w:spacing w:after="60"/>
            </w:pPr>
            <w:r>
              <w:rPr>
                <w:sz w:val="18"/>
                <w:szCs w:val="18"/>
              </w:rPr>
              <w:t xml:space="preserve">Résumé : La nouvelle puce Apple M5 dépasse les 50 TOPS sur son Neural Engine. Apple Intelligence devient plus performant en local sans nécessiter le cloud.</w:t>
            </w:r>
          </w:p>
          <w:p>
            <w:r>
              <w:rPr>
                <w:i/>
                <w:iCs/>
                <w:sz w:val="18"/>
                <w:szCs w:val="18"/>
              </w:rPr>
              <w:t xml:space="preserve">Ce que j'en retiens : Bilan : en 2 ans, les NPU sont passés de 10 à 50 TOPS. Évolution très rapide, à suivre de près.</w:t>
            </w:r>
          </w:p>
        </w:tc>
      </w:tr>
    </w:tbl>
    <w:p>
      <w:r>
        <w:br w:type="page"/>
      </w:r>
    </w:p>
    <w:p>
      <w:pPr>
        <w:pStyle w:val="Heading1"/>
        <w:spacing w:after="200" w:before="360"/>
      </w:pPr>
      <w:r>
        <w:t xml:space="preserve">5. Bilan et perspectives</w:t>
      </w:r>
    </w:p>
    <w:p>
      <w:pPr>
        <w:pStyle w:val="Heading2"/>
        <w:spacing w:after="160" w:before="240"/>
      </w:pPr>
      <w:r>
        <w:t xml:space="preserve">Apports de cette veille</w:t>
      </w:r>
    </w:p>
    <w:p>
      <w:pPr>
        <w:spacing w:after="120"/>
      </w:pPr>
      <w:r>
        <w:t xml:space="preserve">Cette veille m'a apporté trois bénéfices principaux :</w:t>
      </w:r>
    </w:p>
    <w:p>
      <w:pPr>
        <w:pStyle w:val="ListParagraph"/>
        <w:numPr>
          <w:ilvl w:val="0"/>
          <w:numId w:val="2"/>
        </w:numPr>
        <w:spacing w:after="80"/>
      </w:pPr>
      <w:r>
        <w:t xml:space="preserve">Une compréhension plus fine de l'écosystème matériel actuel : je sais désormais distinguer un CPU, un GPU et un NPU, comprendre l'unité TOPS, ou encore expliquer pourquoi NVIDIA domine grâce à CUDA.</w:t>
      </w:r>
    </w:p>
    <w:p>
      <w:pPr>
        <w:pStyle w:val="ListParagraph"/>
        <w:numPr>
          <w:ilvl w:val="0"/>
          <w:numId w:val="2"/>
        </w:numPr>
        <w:spacing w:after="80"/>
      </w:pPr>
      <w:r>
        <w:t xml:space="preserve">Une capacité à mettre l'actualité technique en perspective : derrière chaque annonce de produit se jouent des enjeux énergétiques, économiques et géopolitiques.</w:t>
      </w:r>
    </w:p>
    <w:p>
      <w:pPr>
        <w:pStyle w:val="ListParagraph"/>
        <w:numPr>
          <w:ilvl w:val="0"/>
          <w:numId w:val="2"/>
        </w:numPr>
        <w:spacing w:after="80"/>
      </w:pPr>
      <w:r>
        <w:t xml:space="preserve">Une habitude de travail régulière (créneau hebdomadaire, capitalisation), transposable à n'importe quel autre sujet professionnel.</w:t>
      </w:r>
    </w:p>
    <w:p>
      <w:pPr>
        <w:pStyle w:val="Heading2"/>
        <w:spacing w:after="160" w:before="240"/>
      </w:pPr>
      <w:r>
        <w:t xml:space="preserve">Limites identifiées</w:t>
      </w:r>
    </w:p>
    <w:p>
      <w:pPr>
        <w:pStyle w:val="ListParagraph"/>
        <w:numPr>
          <w:ilvl w:val="0"/>
          <w:numId w:val="2"/>
        </w:numPr>
        <w:spacing w:after="80"/>
      </w:pPr>
      <w:r>
        <w:t xml:space="preserve">Les performances brutes des accélérateurs IA progressent plus vite que les capacités de refroidissement et d'alimentation des datacenters, ce qui crée un goulot d'étranglement physique.</w:t>
      </w:r>
    </w:p>
    <w:p>
      <w:pPr>
        <w:pStyle w:val="ListParagraph"/>
        <w:numPr>
          <w:ilvl w:val="0"/>
          <w:numId w:val="2"/>
        </w:numPr>
        <w:spacing w:after="80"/>
      </w:pPr>
      <w:r>
        <w:t xml:space="preserve">La dépendance à un petit nombre d'acteurs (NVIDIA, TSMC) constitue un risque systémique.</w:t>
      </w:r>
    </w:p>
    <w:p>
      <w:pPr>
        <w:pStyle w:val="ListParagraph"/>
        <w:numPr>
          <w:ilvl w:val="0"/>
          <w:numId w:val="2"/>
        </w:numPr>
        <w:spacing w:after="80"/>
      </w:pPr>
      <w:r>
        <w:t xml:space="preserve">Le coût de ces technologies creuse l'écart entre grandes entreprises et structures plus modestes.</w:t>
      </w:r>
    </w:p>
    <w:p>
      <w:pPr>
        <w:pStyle w:val="Heading2"/>
        <w:spacing w:after="160" w:before="240"/>
      </w:pPr>
      <w:r>
        <w:t xml:space="preserve">Perspectives à suivre</w:t>
      </w:r>
    </w:p>
    <w:p>
      <w:pPr>
        <w:pStyle w:val="ListParagraph"/>
        <w:numPr>
          <w:ilvl w:val="0"/>
          <w:numId w:val="2"/>
        </w:numPr>
        <w:spacing w:after="80"/>
      </w:pPr>
      <w:r>
        <w:t xml:space="preserve">La montée en puissance des hyperscalers (Google TPU, Amazon Trainium, Microsoft Maia) qui conçoivent leurs propres puces.</w:t>
      </w:r>
    </w:p>
    <w:p>
      <w:pPr>
        <w:pStyle w:val="ListParagraph"/>
        <w:numPr>
          <w:ilvl w:val="0"/>
          <w:numId w:val="2"/>
        </w:numPr>
        <w:spacing w:after="80"/>
      </w:pPr>
      <w:r>
        <w:t xml:space="preserve">Le développement de l'IA locale (« on-device ») qui pourrait modifier l'équilibre entre cloud et machine personnelle.</w:t>
      </w:r>
    </w:p>
    <w:p>
      <w:pPr>
        <w:pStyle w:val="ListParagraph"/>
        <w:numPr>
          <w:ilvl w:val="0"/>
          <w:numId w:val="2"/>
        </w:numPr>
        <w:spacing w:after="80"/>
      </w:pPr>
      <w:r>
        <w:t xml:space="preserve">Les politiques publiques de souveraineté et leurs effets concrets sur la chaîne d'approvisionnement.</w:t>
      </w:r>
    </w:p>
    <w:p>
      <w:pPr>
        <w:pStyle w:val="ListParagraph"/>
        <w:numPr>
          <w:ilvl w:val="0"/>
          <w:numId w:val="2"/>
        </w:numPr>
        <w:spacing w:after="80"/>
      </w:pPr>
      <w:r>
        <w:t xml:space="preserve">L'arrivée éventuelle d'architectures de rupture (calcul neuromorphique, premières applications quantiques).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2026-05-08T18:27:25.027Z</dcterms:created>
  <dcterms:modified xsi:type="dcterms:W3CDTF">2026-05-08T18:27:25.028Z</dcterms:modified>
</cp:coreProperties>
</file>

<file path=docProps/custom.xml><?xml version="1.0" encoding="utf-8"?>
<Properties xmlns="http://schemas.openxmlformats.org/officeDocument/2006/custom-properties" xmlns:vt="http://schemas.openxmlformats.org/officeDocument/2006/docPropsVTypes"/>
</file>