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Congressional 5107 — Political Program Plan</w:t>
      </w:r>
    </w:p>
    <w:p>
      <w:pPr>
        <w:pStyle w:val="Heading2"/>
      </w:pPr>
      <w:r>
        <w:t>Executive Summary</w:t>
      </w:r>
    </w:p>
    <w:p>
      <w:r>
        <w:rPr>
          <w:b w:val="0"/>
        </w:rPr>
        <w:t>In Virginia's 7th Congressional District, we have a unique opportunity to engage and mobilize young voters, particularly young men aged 18-35. This demographic has shown a significant mobilization gap, and addressing their concerns could be pivotal in shifting the district's electoral outcome. Our strategy focuses on addressing their primary concerns: economic stability, job quality, and housing affordability. By implementing a targeted outreach program that includes personalized canvassing, phone banking, and digital engagement, we aim to increase young voter turnout by at least 4%, which could result in a net gain of approximately 6,000 votes.</w:t>
      </w:r>
    </w:p>
    <w:p>
      <w:pPr>
        <w:pStyle w:val="Heading2"/>
      </w:pPr>
      <w:r>
        <w:t>District Background</w:t>
      </w:r>
    </w:p>
    <w:p>
      <w:r>
        <w:rPr>
          <w:b w:val="0"/>
        </w:rPr>
        <w:t>Virginia's 7th Congressional District encompasses suburban areas with a diverse population. The district is anchored by Henrico and Chesterfield Counties, which have a significant Black and growing Hispanic population. Historically, the district has seen moderate voter turnout, with a 57% participation rate in the 2022 midterms. The district's political landscape is competitive, with both parties vying for influence among the diverse communities. The district's key issues include economic development and housing, making it a battleground for candidates who can effectively address these concerns.</w:t>
      </w:r>
    </w:p>
    <w:p>
      <w:pPr>
        <w:pStyle w:val="Heading2"/>
      </w:pPr>
      <w:r>
        <w:t>Target Universe and Demographics</w:t>
      </w:r>
    </w:p>
    <w:p>
      <w:r>
        <w:rPr>
          <w:b w:val="0"/>
        </w:rPr>
        <w:t>Our target universe primarily includes young voters aged 18-29, who currently represent 18% of the voting-age population but only 11% of midterm participants. The district's demographics are diverse, with Black voters making up 28% of the CVAP in key precincts and a growing Hispanic population. These groups have been historically under-contacted, presenting an opportunity for our campaign to engage them effectively. The focus will be on precincts with high concentrations of young and minority voters to maximize our outreach efforts.</w:t>
      </w:r>
    </w:p>
    <w:p>
      <w:pPr>
        <w:pStyle w:val="Heading2"/>
      </w:pPr>
      <w:r>
        <w:t>Geographic Targeting</w:t>
      </w:r>
    </w:p>
    <w:p>
      <w:r>
        <w:rPr>
          <w:b w:val="0"/>
        </w:rPr>
        <w:t>Our geographic targeting strategy prioritizes precincts with high concentrations of young voters and minority communities. Notable precincts include Tucker, Midlothian, and Crenshaw, which have significant Black and Hispanic populations. By concentrating our efforts in these areas, we aim to increase voter engagement and turnout, aligning with our win-number goal. This targeted approach ensures that our resources are efficiently utilized in precincts where they can have the most impact.</w:t>
      </w:r>
    </w:p>
    <w:p>
      <w:pPr>
        <w:pStyle w:val="Heading3"/>
      </w:pPr>
      <w:r>
        <w:t>Top 5 Target Precincts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Precinct</w:t>
            </w:r>
          </w:p>
        </w:tc>
        <w:tc>
          <w:tcPr>
            <w:tcW w:type="dxa" w:w="1440"/>
          </w:tcPr>
          <w:p>
            <w:r>
              <w:rPr>
                <w:b/>
              </w:rPr>
              <w:t>Vap</w:t>
            </w:r>
          </w:p>
        </w:tc>
        <w:tc>
          <w:tcPr>
            <w:tcW w:type="dxa" w:w="1440"/>
          </w:tcPr>
          <w:p>
            <w:r>
              <w:rPr>
                <w:b/>
              </w:rPr>
              <w:t>Total Cvap</w:t>
            </w:r>
          </w:p>
        </w:tc>
        <w:tc>
          <w:tcPr>
            <w:tcW w:type="dxa" w:w="1440"/>
          </w:tcPr>
          <w:p>
            <w:r>
              <w:rPr>
                <w:b/>
              </w:rPr>
              <w:t>Black</w:t>
            </w:r>
          </w:p>
        </w:tc>
        <w:tc>
          <w:tcPr>
            <w:tcW w:type="dxa" w:w="1440"/>
          </w:tcPr>
          <w:p>
            <w:r>
              <w:rPr>
                <w:b/>
              </w:rPr>
              <w:t>Hispanic</w:t>
            </w:r>
          </w:p>
        </w:tc>
        <w:tc>
          <w:tcPr>
            <w:tcW w:type="dxa" w:w="1440"/>
          </w:tcPr>
          <w:p>
            <w:r>
              <w:rPr>
                <w:b/>
              </w:rPr>
              <w:t>White</w:t>
            </w:r>
          </w:p>
        </w:tc>
      </w:tr>
      <w:tr>
        <w:tc>
          <w:tcPr>
            <w:tcW w:type="dxa" w:w="1440"/>
          </w:tcPr>
          <w:p>
            <w:r>
              <w:t>Tucker</w:t>
            </w:r>
          </w:p>
        </w:tc>
        <w:tc>
          <w:tcPr>
            <w:tcW w:type="dxa" w:w="1440"/>
          </w:tcPr>
          <w:p>
            <w:r>
              <w:t>6,917</w:t>
            </w:r>
          </w:p>
        </w:tc>
        <w:tc>
          <w:tcPr>
            <w:tcW w:type="dxa" w:w="1440"/>
          </w:tcPr>
          <w:p>
            <w:r>
              <w:t>5,840</w:t>
            </w:r>
          </w:p>
        </w:tc>
        <w:tc>
          <w:tcPr>
            <w:tcW w:type="dxa" w:w="1440"/>
          </w:tcPr>
          <w:p>
            <w:r>
              <w:t>1,620</w:t>
            </w:r>
          </w:p>
        </w:tc>
        <w:tc>
          <w:tcPr>
            <w:tcW w:type="dxa" w:w="1440"/>
          </w:tcPr>
          <w:p>
            <w:r>
              <w:t>530</w:t>
            </w:r>
          </w:p>
        </w:tc>
        <w:tc>
          <w:tcPr>
            <w:tcW w:type="dxa" w:w="1440"/>
          </w:tcPr>
          <w:p>
            <w:r>
              <w:t>3,340</w:t>
            </w:r>
          </w:p>
        </w:tc>
      </w:tr>
      <w:tr>
        <w:tc>
          <w:tcPr>
            <w:tcW w:type="dxa" w:w="1440"/>
          </w:tcPr>
          <w:p>
            <w:r>
              <w:t>Midlothian</w:t>
            </w:r>
          </w:p>
        </w:tc>
        <w:tc>
          <w:tcPr>
            <w:tcW w:type="dxa" w:w="1440"/>
          </w:tcPr>
          <w:p>
            <w:r>
              <w:t>6,744</w:t>
            </w:r>
          </w:p>
        </w:tc>
        <w:tc>
          <w:tcPr>
            <w:tcW w:type="dxa" w:w="1440"/>
          </w:tcPr>
          <w:p>
            <w:r>
              <w:t>5,920</w:t>
            </w:r>
          </w:p>
        </w:tc>
        <w:tc>
          <w:tcPr>
            <w:tcW w:type="dxa" w:w="1440"/>
          </w:tcPr>
          <w:p>
            <w:r>
              <w:t>980</w:t>
            </w:r>
          </w:p>
        </w:tc>
        <w:tc>
          <w:tcPr>
            <w:tcW w:type="dxa" w:w="1440"/>
          </w:tcPr>
          <w:p>
            <w:r>
              <w:t>410</w:t>
            </w:r>
          </w:p>
        </w:tc>
        <w:tc>
          <w:tcPr>
            <w:tcW w:type="dxa" w:w="1440"/>
          </w:tcPr>
          <w:p>
            <w:r>
              <w:t>4,220</w:t>
            </w:r>
          </w:p>
        </w:tc>
      </w:tr>
      <w:tr>
        <w:tc>
          <w:tcPr>
            <w:tcW w:type="dxa" w:w="1440"/>
          </w:tcPr>
          <w:p>
            <w:r>
              <w:t>Crenshaw</w:t>
            </w:r>
          </w:p>
        </w:tc>
        <w:tc>
          <w:tcPr>
            <w:tcW w:type="dxa" w:w="1440"/>
          </w:tcPr>
          <w:p>
            <w:r>
              <w:t>6,203</w:t>
            </w:r>
          </w:p>
        </w:tc>
        <w:tc>
          <w:tcPr>
            <w:tcW w:type="dxa" w:w="1440"/>
          </w:tcPr>
          <w:p>
            <w:r>
              <w:t>5,540</w:t>
            </w:r>
          </w:p>
        </w:tc>
        <w:tc>
          <w:tcPr>
            <w:tcW w:type="dxa" w:w="1440"/>
          </w:tcPr>
          <w:p>
            <w:r>
              <w:t>1,890</w:t>
            </w:r>
          </w:p>
        </w:tc>
        <w:tc>
          <w:tcPr>
            <w:tcW w:type="dxa" w:w="1440"/>
          </w:tcPr>
          <w:p>
            <w:r>
              <w:t>620</w:t>
            </w:r>
          </w:p>
        </w:tc>
        <w:tc>
          <w:tcPr>
            <w:tcW w:type="dxa" w:w="1440"/>
          </w:tcPr>
          <w:p>
            <w:r>
              <w:t>2,730</w:t>
            </w:r>
          </w:p>
        </w:tc>
      </w:tr>
      <w:tr>
        <w:tc>
          <w:tcPr>
            <w:tcW w:type="dxa" w:w="1440"/>
          </w:tcPr>
          <w:p>
            <w:r>
              <w:t>Hermitage</w:t>
            </w:r>
          </w:p>
        </w:tc>
        <w:tc>
          <w:tcPr>
            <w:tcW w:type="dxa" w:w="1440"/>
          </w:tcPr>
          <w:p>
            <w:r>
              <w:t>5,989</w:t>
            </w:r>
          </w:p>
        </w:tc>
        <w:tc>
          <w:tcPr>
            <w:tcW w:type="dxa" w:w="1440"/>
          </w:tcPr>
          <w:p>
            <w:r>
              <w:t>5,120</w:t>
            </w:r>
          </w:p>
        </w:tc>
        <w:tc>
          <w:tcPr>
            <w:tcW w:type="dxa" w:w="1440"/>
          </w:tcPr>
          <w:p>
            <w:r>
              <w:t>2,410</w:t>
            </w:r>
          </w:p>
        </w:tc>
        <w:tc>
          <w:tcPr>
            <w:tcW w:type="dxa" w:w="1440"/>
          </w:tcPr>
          <w:p>
            <w:r>
              <w:t>580</w:t>
            </w:r>
          </w:p>
        </w:tc>
        <w:tc>
          <w:tcPr>
            <w:tcW w:type="dxa" w:w="1440"/>
          </w:tcPr>
          <w:p>
            <w:r>
              <w:t>1,880</w:t>
            </w:r>
          </w:p>
        </w:tc>
      </w:tr>
      <w:tr>
        <w:tc>
          <w:tcPr>
            <w:tcW w:type="dxa" w:w="1440"/>
          </w:tcPr>
          <w:p>
            <w:r>
              <w:t>Chippenham</w:t>
            </w:r>
          </w:p>
        </w:tc>
        <w:tc>
          <w:tcPr>
            <w:tcW w:type="dxa" w:w="1440"/>
          </w:tcPr>
          <w:p>
            <w:r>
              <w:t>5,945</w:t>
            </w:r>
          </w:p>
        </w:tc>
        <w:tc>
          <w:tcPr>
            <w:tcW w:type="dxa" w:w="1440"/>
          </w:tcPr>
          <w:p>
            <w:r>
              <w:t>5,200</w:t>
            </w:r>
          </w:p>
        </w:tc>
        <w:tc>
          <w:tcPr>
            <w:tcW w:type="dxa" w:w="1440"/>
          </w:tcPr>
          <w:p>
            <w:r>
              <w:t>1,540</w:t>
            </w:r>
          </w:p>
        </w:tc>
        <w:tc>
          <w:tcPr>
            <w:tcW w:type="dxa" w:w="1440"/>
          </w:tcPr>
          <w:p>
            <w:r>
              <w:t>490</w:t>
            </w:r>
          </w:p>
        </w:tc>
        <w:tc>
          <w:tcPr>
            <w:tcW w:type="dxa" w:w="1440"/>
          </w:tcPr>
          <w:p>
            <w:r>
              <w:t>2,960</w:t>
            </w:r>
          </w:p>
        </w:tc>
      </w:tr>
    </w:tbl>
    <w:p/>
    <w:p>
      <w:pPr>
        <w:pStyle w:val="Heading2"/>
      </w:pPr>
      <w:r>
        <w:t>Messaging Strategy</w:t>
      </w:r>
    </w:p>
    <w:p>
      <w:r>
        <w:rPr>
          <w:b w:val="0"/>
        </w:rPr>
        <w:t>Our messaging strategy is multifaceted, focusing on direct engagement and personalized communication.</w:t>
      </w:r>
    </w:p>
    <w:p>
      <w:pPr>
        <w:pStyle w:val="ListBullet"/>
      </w:pPr>
      <w:r>
        <w:rPr>
          <w:b/>
        </w:rPr>
        <w:t>Canvassing Approach:</w:t>
      </w:r>
      <w:r>
        <w:rPr>
          <w:b w:val="0"/>
        </w:rPr>
        <w:t xml:space="preserve"> We will conduct door-to-door canvassing in the evenings, focusing on economic stability and housing affordability. Canvassers will use personalized scripts to engage voters in meaningful conversations.</w:t>
      </w:r>
    </w:p>
    <w:p>
      <w:pPr>
        <w:pStyle w:val="ListBullet"/>
      </w:pPr>
      <w:r>
        <w:rPr>
          <w:b/>
        </w:rPr>
        <w:t>Phone Banking Plan:</w:t>
      </w:r>
      <w:r>
        <w:rPr>
          <w:b w:val="0"/>
        </w:rPr>
        <w:t xml:space="preserve"> Calls will emphasize the candidate's concrete plans for economic and housing issues, with a focus on engaging undecided voters.</w:t>
      </w:r>
    </w:p>
    <w:p>
      <w:pPr>
        <w:pStyle w:val="ListBullet"/>
      </w:pPr>
      <w:r>
        <w:rPr>
          <w:b/>
        </w:rPr>
        <w:t>Text Messaging Goals:</w:t>
      </w:r>
      <w:r>
        <w:rPr>
          <w:b w:val="0"/>
        </w:rPr>
        <w:t xml:space="preserve"> Personalized text messages will be sent to young voters, highlighting key issues and encouraging voter participation.</w:t>
      </w:r>
    </w:p>
    <w:p>
      <w:pPr>
        <w:pStyle w:val="ListBullet"/>
      </w:pPr>
      <w:r>
        <w:rPr>
          <w:b/>
        </w:rPr>
        <w:t>Mail Narrative Themes:</w:t>
      </w:r>
      <w:r>
        <w:rPr>
          <w:b w:val="0"/>
        </w:rPr>
        <w:t xml:space="preserve"> Mail pieces will focus on the candidate's commitment to economic and housing improvements, urging voters to make their voices heard.</w:t>
      </w:r>
    </w:p>
    <w:p>
      <w:pPr>
        <w:pStyle w:val="ListBullet"/>
      </w:pPr>
      <w:r>
        <w:rPr>
          <w:b/>
        </w:rPr>
        <w:t>Digital Ad Strategy:</w:t>
      </w:r>
      <w:r>
        <w:rPr>
          <w:b w:val="0"/>
        </w:rPr>
        <w:t xml:space="preserve"> Digital ads will run on platforms like Facebook and Instagram, with A/B testing to optimize performance. The ads will focus on economic stability and the importance of voting.</w:t>
      </w:r>
    </w:p>
    <w:p>
      <w:r>
        <w:rPr>
          <w:b/>
        </w:rPr>
        <w:t>Scripts and Copy:</w:t>
      </w:r>
    </w:p>
    <w:p>
      <w:pPr>
        <w:pStyle w:val="ListBullet"/>
      </w:pPr>
      <w:r>
        <w:rPr>
          <w:b/>
        </w:rPr>
        <w:t>Canvassing Script:</w:t>
      </w:r>
      <w:r>
        <w:rPr>
          <w:b w:val="0"/>
        </w:rPr>
        <w:t xml:space="preserve"> Engages voters on economic and housing issues, with a focus on personalized interaction.</w:t>
      </w:r>
    </w:p>
    <w:p>
      <w:pPr>
        <w:pStyle w:val="ListBullet"/>
      </w:pPr>
      <w:r>
        <w:rPr>
          <w:b/>
        </w:rPr>
        <w:t>Phone Banking Script:</w:t>
      </w:r>
      <w:r>
        <w:rPr>
          <w:b w:val="0"/>
        </w:rPr>
        <w:t xml:space="preserve"> Highlights the candidate's plans and gauges voter support.</w:t>
      </w:r>
    </w:p>
    <w:p>
      <w:pPr>
        <w:pStyle w:val="ListBullet"/>
      </w:pPr>
      <w:r>
        <w:rPr>
          <w:b/>
        </w:rPr>
        <w:t>Text Script:</w:t>
      </w:r>
      <w:r>
        <w:rPr>
          <w:b w:val="0"/>
        </w:rPr>
        <w:t xml:space="preserve"> Uses personalized outreach to engage young voters and provide voting information.</w:t>
      </w:r>
    </w:p>
    <w:p>
      <w:pPr>
        <w:pStyle w:val="ListBullet"/>
      </w:pPr>
      <w:r>
        <w:rPr>
          <w:b/>
        </w:rPr>
        <w:t>Mail Narrative:</w:t>
      </w:r>
      <w:r>
        <w:rPr>
          <w:b w:val="0"/>
        </w:rPr>
        <w:t xml:space="preserve"> Emphasizes the candidate's commitment to addressing key community concerns.</w:t>
      </w:r>
    </w:p>
    <w:p>
      <w:pPr>
        <w:pStyle w:val="ListBullet"/>
      </w:pPr>
      <w:r>
        <w:rPr>
          <w:b/>
        </w:rPr>
        <w:t>Digital Copy Block:</w:t>
      </w:r>
      <w:r>
        <w:rPr>
          <w:b w:val="0"/>
        </w:rPr>
        <w:t xml:space="preserve"> Focuses on economic stability and the importance of voter participation.</w:t>
      </w:r>
    </w:p>
    <w:p>
      <w:pPr>
        <w:pStyle w:val="Heading2"/>
      </w:pPr>
      <w:r>
        <w:t>Budget Estimate</w:t>
      </w:r>
    </w:p>
    <w:p>
      <w:r>
        <w:rPr>
          <w:b w:val="0"/>
        </w:rPr>
        <w:t>Our budget of $75,000 is strategically allocated to maximize voter contact across multiple channels. The budget supports door knocking, phone calls, text messages, mail pieces, and digital impressions. Trade-offs include focusing more heavily on digital and text outreach due to their cost-effectiveness and potential reach. This allocation allows us to engage with a large number of voters while maintaining a balanced approach across different outreach methods.</w:t>
      </w:r>
    </w:p>
    <w:p>
      <w:pPr>
        <w:pStyle w:val="Heading3"/>
      </w:pPr>
      <w:r>
        <w:t>Per-Contact Rate Estimates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Tactic</w:t>
            </w:r>
          </w:p>
        </w:tc>
        <w:tc>
          <w:tcPr>
            <w:tcW w:type="dxa" w:w="2160"/>
          </w:tcPr>
          <w:p>
            <w:r>
              <w:rPr>
                <w:b/>
              </w:rPr>
              <w:t>Unit Cost</w:t>
            </w:r>
          </w:p>
        </w:tc>
        <w:tc>
          <w:tcPr>
            <w:tcW w:type="dxa" w:w="2160"/>
          </w:tcPr>
          <w:p>
            <w:r>
              <w:rPr>
                <w:b/>
              </w:rPr>
              <w:t>Contact Goal</w:t>
            </w:r>
          </w:p>
        </w:tc>
        <w:tc>
          <w:tcPr>
            <w:tcW w:type="dxa" w:w="2160"/>
          </w:tcPr>
          <w:p>
            <w:r>
              <w:rPr>
                <w:b/>
              </w:rPr>
              <w:t>Budget Allocated</w:t>
            </w:r>
          </w:p>
        </w:tc>
      </w:tr>
      <w:tr>
        <w:tc>
          <w:tcPr>
            <w:tcW w:type="dxa" w:w="2160"/>
          </w:tcPr>
          <w:p>
            <w:r>
              <w:t>Door Knock</w:t>
            </w:r>
          </w:p>
        </w:tc>
        <w:tc>
          <w:tcPr>
            <w:tcW w:type="dxa" w:w="2160"/>
          </w:tcPr>
          <w:p>
            <w:r>
              <w:t>$7.00</w:t>
            </w:r>
          </w:p>
        </w:tc>
        <w:tc>
          <w:tcPr>
            <w:tcW w:type="dxa" w:w="2160"/>
          </w:tcPr>
          <w:p>
            <w:r>
              <w:t>3,750</w:t>
            </w:r>
          </w:p>
        </w:tc>
        <w:tc>
          <w:tcPr>
            <w:tcW w:type="dxa" w:w="2160"/>
          </w:tcPr>
          <w:p>
            <w:r>
              <w:t>$26,250</w:t>
            </w:r>
          </w:p>
        </w:tc>
      </w:tr>
      <w:tr>
        <w:tc>
          <w:tcPr>
            <w:tcW w:type="dxa" w:w="2160"/>
          </w:tcPr>
          <w:p>
            <w:r>
              <w:t>Phone Call</w:t>
            </w:r>
          </w:p>
        </w:tc>
        <w:tc>
          <w:tcPr>
            <w:tcW w:type="dxa" w:w="2160"/>
          </w:tcPr>
          <w:p>
            <w:r>
              <w:t>$1.50</w:t>
            </w:r>
          </w:p>
        </w:tc>
        <w:tc>
          <w:tcPr>
            <w:tcW w:type="dxa" w:w="2160"/>
          </w:tcPr>
          <w:p>
            <w:r>
              <w:t>10,000</w:t>
            </w:r>
          </w:p>
        </w:tc>
        <w:tc>
          <w:tcPr>
            <w:tcW w:type="dxa" w:w="2160"/>
          </w:tcPr>
          <w:p>
            <w:r>
              <w:t>$15,000</w:t>
            </w:r>
          </w:p>
        </w:tc>
      </w:tr>
      <w:tr>
        <w:tc>
          <w:tcPr>
            <w:tcW w:type="dxa" w:w="2160"/>
          </w:tcPr>
          <w:p>
            <w:r>
              <w:t>Text Message</w:t>
            </w:r>
          </w:p>
        </w:tc>
        <w:tc>
          <w:tcPr>
            <w:tcW w:type="dxa" w:w="2160"/>
          </w:tcPr>
          <w:p>
            <w:r>
              <w:t>$0.05</w:t>
            </w:r>
          </w:p>
        </w:tc>
        <w:tc>
          <w:tcPr>
            <w:tcW w:type="dxa" w:w="2160"/>
          </w:tcPr>
          <w:p>
            <w:r>
              <w:t>150,000</w:t>
            </w:r>
          </w:p>
        </w:tc>
        <w:tc>
          <w:tcPr>
            <w:tcW w:type="dxa" w:w="2160"/>
          </w:tcPr>
          <w:p>
            <w:r>
              <w:t>$7,500</w:t>
            </w:r>
          </w:p>
        </w:tc>
      </w:tr>
      <w:tr>
        <w:tc>
          <w:tcPr>
            <w:tcW w:type="dxa" w:w="2160"/>
          </w:tcPr>
          <w:p>
            <w:r>
              <w:t>Mail Piece</w:t>
            </w:r>
          </w:p>
        </w:tc>
        <w:tc>
          <w:tcPr>
            <w:tcW w:type="dxa" w:w="2160"/>
          </w:tcPr>
          <w:p>
            <w:r>
              <w:t>$1.00</w:t>
            </w:r>
          </w:p>
        </w:tc>
        <w:tc>
          <w:tcPr>
            <w:tcW w:type="dxa" w:w="2160"/>
          </w:tcPr>
          <w:p>
            <w:r>
              <w:t>18,250</w:t>
            </w:r>
          </w:p>
        </w:tc>
        <w:tc>
          <w:tcPr>
            <w:tcW w:type="dxa" w:w="2160"/>
          </w:tcPr>
          <w:p>
            <w:r>
              <w:t>$18,750</w:t>
            </w:r>
          </w:p>
        </w:tc>
      </w:tr>
      <w:tr>
        <w:tc>
          <w:tcPr>
            <w:tcW w:type="dxa" w:w="2160"/>
          </w:tcPr>
          <w:p>
            <w:r>
              <w:t>Digital Advertising</w:t>
            </w:r>
          </w:p>
        </w:tc>
        <w:tc>
          <w:tcPr>
            <w:tcW w:type="dxa" w:w="2160"/>
          </w:tcPr>
          <w:p>
            <w:r>
              <w:t>$0.02</w:t>
            </w:r>
          </w:p>
        </w:tc>
        <w:tc>
          <w:tcPr>
            <w:tcW w:type="dxa" w:w="2160"/>
          </w:tcPr>
          <w:p>
            <w:r>
              <w:t>375,000</w:t>
            </w:r>
          </w:p>
        </w:tc>
        <w:tc>
          <w:tcPr>
            <w:tcW w:type="dxa" w:w="2160"/>
          </w:tcPr>
          <w:p>
            <w:r>
              <w:t>$7,500</w:t>
            </w:r>
          </w:p>
        </w:tc>
      </w:tr>
    </w:tbl>
    <w:p/>
    <w:p>
      <w:pPr>
        <w:pStyle w:val="Heading3"/>
      </w:pPr>
      <w:r>
        <w:t>Historical FEC Spending (comparable cycles)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Estimated Spend</w:t>
            </w:r>
          </w:p>
        </w:tc>
      </w:tr>
      <w:tr>
        <w:tc>
          <w:tcPr>
            <w:tcW w:type="dxa" w:w="4320"/>
          </w:tcPr>
          <w:p>
            <w:r>
              <w:t>Total Program (FEC average)</w:t>
            </w:r>
          </w:p>
        </w:tc>
        <w:tc>
          <w:tcPr>
            <w:tcW w:type="dxa" w:w="4320"/>
          </w:tcPr>
          <w:p>
            <w:r>
              <w:t>$1,341,459</w:t>
            </w:r>
          </w:p>
        </w:tc>
      </w:tr>
      <w:tr>
        <w:tc>
          <w:tcPr>
            <w:tcW w:type="dxa" w:w="4320"/>
          </w:tcPr>
          <w:p>
            <w:r>
              <w:t>Personnel</w:t>
            </w:r>
          </w:p>
        </w:tc>
        <w:tc>
          <w:tcPr>
            <w:tcW w:type="dxa" w:w="4320"/>
          </w:tcPr>
          <w:p>
            <w:r>
              <w:t>$469,511</w:t>
            </w:r>
          </w:p>
        </w:tc>
      </w:tr>
      <w:tr>
        <w:tc>
          <w:tcPr>
            <w:tcW w:type="dxa" w:w="4320"/>
          </w:tcPr>
          <w:p>
            <w:r>
              <w:t>Mail</w:t>
            </w:r>
          </w:p>
        </w:tc>
        <w:tc>
          <w:tcPr>
            <w:tcW w:type="dxa" w:w="4320"/>
          </w:tcPr>
          <w:p>
            <w:r>
              <w:t>$268,292</w:t>
            </w:r>
          </w:p>
        </w:tc>
      </w:tr>
      <w:tr>
        <w:tc>
          <w:tcPr>
            <w:tcW w:type="dxa" w:w="4320"/>
          </w:tcPr>
          <w:p>
            <w:r>
              <w:t>Digital</w:t>
            </w:r>
          </w:p>
        </w:tc>
        <w:tc>
          <w:tcPr>
            <w:tcW w:type="dxa" w:w="4320"/>
          </w:tcPr>
          <w:p>
            <w:r>
              <w:t>$335,365</w:t>
            </w:r>
          </w:p>
        </w:tc>
      </w:tr>
      <w:tr>
        <w:tc>
          <w:tcPr>
            <w:tcW w:type="dxa" w:w="4320"/>
          </w:tcPr>
          <w:p>
            <w:r>
              <w:t>Phones</w:t>
            </w:r>
          </w:p>
        </w:tc>
        <w:tc>
          <w:tcPr>
            <w:tcW w:type="dxa" w:w="4320"/>
          </w:tcPr>
          <w:p>
            <w:r>
              <w:t>$134,146</w:t>
            </w:r>
          </w:p>
        </w:tc>
      </w:tr>
      <w:tr>
        <w:tc>
          <w:tcPr>
            <w:tcW w:type="dxa" w:w="4320"/>
          </w:tcPr>
          <w:p>
            <w:r>
              <w:t>Miscellaneous</w:t>
            </w:r>
          </w:p>
        </w:tc>
        <w:tc>
          <w:tcPr>
            <w:tcW w:type="dxa" w:w="4320"/>
          </w:tcPr>
          <w:p>
            <w:r>
              <w:t>$134,146</w:t>
            </w:r>
          </w:p>
        </w:tc>
      </w:tr>
    </w:tbl>
    <w:p/>
    <w:p>
      <w:pPr>
        <w:pStyle w:val="Heading2"/>
      </w:pPr>
      <w:r>
        <w:t>Win Number Calculation</w:t>
      </w:r>
    </w:p>
    <w:p>
      <w:r>
        <w:rPr>
          <w:b w:val="0"/>
        </w:rPr>
        <w:t>The win number for this district is calculated at 154,214 votes, with a projected turnout of 296,565. This calculation is based on historical turnout data from the 2018 and 2022 midterm cycles. Achieving this win number requires a focused effort on increasing turnout among young and minority voters, who have historically been underrepresented in midterm elections. Our program is designed to bridge this gap and secure the necessary votes for victory.</w:t>
      </w:r>
    </w:p>
    <w:p>
      <w:pPr>
        <w:pStyle w:val="Heading3"/>
      </w:pPr>
      <w:r>
        <w:t>Win Number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Win Number (votes needed)</w:t>
            </w:r>
          </w:p>
        </w:tc>
        <w:tc>
          <w:tcPr>
            <w:tcW w:type="dxa" w:w="4320"/>
          </w:tcPr>
          <w:p>
            <w:r>
              <w:t>154,214</w:t>
            </w:r>
          </w:p>
        </w:tc>
      </w:tr>
      <w:tr>
        <w:tc>
          <w:tcPr>
            <w:tcW w:type="dxa" w:w="4320"/>
          </w:tcPr>
          <w:p>
            <w:r>
              <w:t>Projected Turnout</w:t>
            </w:r>
          </w:p>
        </w:tc>
        <w:tc>
          <w:tcPr>
            <w:tcW w:type="dxa" w:w="4320"/>
          </w:tcPr>
          <w:p>
            <w:r>
              <w:t>296,565</w:t>
            </w:r>
          </w:p>
        </w:tc>
      </w:tr>
      <w:tr>
        <w:tc>
          <w:tcPr>
            <w:tcW w:type="dxa" w:w="4320"/>
          </w:tcPr>
          <w:p>
            <w:r>
              <w:t>Voter Universe (CVAP)</w:t>
            </w:r>
          </w:p>
        </w:tc>
        <w:tc>
          <w:tcPr>
            <w:tcW w:type="dxa" w:w="4320"/>
          </w:tcPr>
          <w:p>
            <w:r>
              <w:t>522,000</w:t>
            </w:r>
          </w:p>
        </w:tc>
      </w:tr>
      <w:tr>
        <w:tc>
          <w:tcPr>
            <w:tcW w:type="dxa" w:w="4320"/>
          </w:tcPr>
          <w:p>
            <w:r>
              <w:t>Avg Historical Turnout</w:t>
            </w:r>
          </w:p>
        </w:tc>
        <w:tc>
          <w:tcPr>
            <w:tcW w:type="dxa" w:w="4320"/>
          </w:tcPr>
          <w:p>
            <w:r>
              <w:t>56.8%</w:t>
            </w:r>
          </w:p>
        </w:tc>
      </w:tr>
      <w:tr>
        <w:tc>
          <w:tcPr>
            <w:tcW w:type="dxa" w:w="4320"/>
          </w:tcPr>
          <w:p>
            <w:r>
              <w:t>Victory Margin Target</w:t>
            </w:r>
          </w:p>
        </w:tc>
        <w:tc>
          <w:tcPr>
            <w:tcW w:type="dxa" w:w="4320"/>
          </w:tcPr>
          <w:p>
            <w:r>
              <w:t>52.0%</w:t>
            </w:r>
          </w:p>
        </w:tc>
      </w:tr>
      <w:tr>
        <w:tc>
          <w:tcPr>
            <w:tcW w:type="dxa" w:w="4320"/>
          </w:tcPr>
          <w:p>
            <w:r>
              <w:t>Historical Basis</w:t>
            </w:r>
          </w:p>
        </w:tc>
        <w:tc>
          <w:tcPr>
            <w:tcW w:type="dxa" w:w="4320"/>
          </w:tcPr>
          <w:p>
            <w:r>
              <w:t>Based on 2018 and 2022 midterm cycles</w:t>
            </w:r>
          </w:p>
        </w:tc>
      </w:tr>
    </w:tbl>
    <w:p/>
    <w:p>
      <w:pPr>
        <w:pStyle w:val="Heading2"/>
      </w:pPr>
      <w:r>
        <w:t>Program Recommendations</w:t>
      </w:r>
    </w:p>
    <w:p>
      <w:r>
        <w:rPr>
          <w:b w:val="0"/>
        </w:rPr>
        <w:t xml:space="preserve">1. </w:t>
      </w:r>
      <w:r>
        <w:rPr>
          <w:b/>
        </w:rPr>
        <w:t>Prioritize Evening Canvassing:</w:t>
      </w:r>
      <w:r>
        <w:rPr>
          <w:b w:val="0"/>
        </w:rPr>
        <w:t xml:space="preserve"> Focus on door-to-door outreach during evening hours to engage young voters effectively, as this has shown to increase conversation length and engagement.</w:t>
      </w:r>
    </w:p>
    <w:p>
      <w:r>
        <w:rPr>
          <w:b w:val="0"/>
        </w:rPr>
        <w:t xml:space="preserve">2. </w:t>
      </w:r>
      <w:r>
        <w:rPr>
          <w:b/>
        </w:rPr>
        <w:t>Expand Digital Outreach:</w:t>
      </w:r>
      <w:r>
        <w:rPr>
          <w:b w:val="0"/>
        </w:rPr>
        <w:t xml:space="preserve"> Allocate resources to digital advertising and social media engagement, targeting young voters with tailored messages about economic stability and housing affordability.</w:t>
      </w:r>
    </w:p>
    <w:p>
      <w:r>
        <w:rPr>
          <w:b w:val="0"/>
        </w:rPr>
        <w:t xml:space="preserve">3. </w:t>
      </w:r>
      <w:r>
        <w:rPr>
          <w:b/>
        </w:rPr>
        <w:t>Leverage Text Messaging:</w:t>
      </w:r>
      <w:r>
        <w:rPr>
          <w:b w:val="0"/>
        </w:rPr>
        <w:t xml:space="preserve"> Utilize personalized text messages to reach young voters, providing information on voting logistics and the candidate's platform.</w:t>
      </w:r>
    </w:p>
    <w:p>
      <w:r>
        <w:rPr>
          <w:b w:val="0"/>
        </w:rPr>
        <w:t xml:space="preserve">4. </w:t>
      </w:r>
      <w:r>
        <w:rPr>
          <w:b/>
        </w:rPr>
        <w:t>Engage Minority Communities:</w:t>
      </w:r>
      <w:r>
        <w:rPr>
          <w:b w:val="0"/>
        </w:rPr>
        <w:t xml:space="preserve"> Increase outreach efforts in precincts with high concentrations of Black and Hispanic voters, focusing on their specific concerns and encouraging voter participation.</w:t>
      </w:r>
    </w:p>
    <w:p>
      <w:r>
        <w:rPr>
          <w:b w:val="0"/>
        </w:rPr>
        <w:t xml:space="preserve">5. </w:t>
      </w:r>
      <w:r>
        <w:rPr>
          <w:b/>
        </w:rPr>
        <w:t>Monitor and Adjust Strategy:</w:t>
      </w:r>
      <w:r>
        <w:rPr>
          <w:b w:val="0"/>
        </w:rPr>
        <w:t xml:space="preserve"> Continuously evaluate the effectiveness of outreach methods and adjust strategies based on performance data to ensure optimal resource allocation.</w:t>
      </w:r>
    </w:p>
    <w:p>
      <w:r>
        <w:rPr>
          <w:i/>
        </w:rPr>
        <w:t>Research sourced from materials dated as recently as unknown.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8"/>
      </w:rPr>
      <w:t>CONFIDENTIAL — For internal campaign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