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DCF" w14:textId="0C149876" w:rsidR="00B31974" w:rsidRPr="00C61FCF" w:rsidRDefault="00B31974" w:rsidP="00B31974">
      <w:pPr>
        <w:pStyle w:val="NormalWeb"/>
        <w:jc w:val="center"/>
        <w:rPr>
          <w:rFonts w:asciiTheme="minorHAnsi" w:hAnsiTheme="minorHAnsi" w:cstheme="minorHAnsi"/>
          <w:iCs/>
          <w:color w:val="2F5496" w:themeColor="accent1" w:themeShade="BF"/>
          <w:sz w:val="22"/>
          <w:szCs w:val="22"/>
        </w:rPr>
      </w:pPr>
      <w:r w:rsidRPr="00C61FCF">
        <w:rPr>
          <w:rFonts w:asciiTheme="minorHAnsi" w:hAnsiTheme="minorHAnsi" w:cstheme="minorHAnsi"/>
          <w:iCs/>
          <w:color w:val="2F5496" w:themeColor="accent1" w:themeShade="BF"/>
          <w:sz w:val="22"/>
          <w:szCs w:val="22"/>
        </w:rPr>
        <w:t>MONITORAMENTO DE VAREJO E ESTRATÉGIA DE VENDAS</w:t>
      </w:r>
    </w:p>
    <w:p w14:paraId="1E6AF4BC" w14:textId="77777777" w:rsidR="00C61FCF" w:rsidRDefault="00C61FCF" w:rsidP="00DB6933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0" w:name="_Hlk215067411"/>
    </w:p>
    <w:p w14:paraId="31775CB0" w14:textId="08A433FC" w:rsidR="00DB6933" w:rsidRPr="00C61FCF" w:rsidRDefault="00DB6933" w:rsidP="00DB69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1FCF">
        <w:rPr>
          <w:rFonts w:asciiTheme="minorHAnsi" w:hAnsiTheme="minorHAnsi" w:cstheme="minorHAnsi"/>
          <w:sz w:val="22"/>
          <w:szCs w:val="22"/>
        </w:rPr>
        <w:t xml:space="preserve">Desenvolvimento de solução de BI para análise de faturamento focando em Data Storytelling para tomada de decisão. Identifiquei através da matriz de dispersão que a categoria "Notebooks" representa 20% da receita total (R$ 1 Bi), sendo o pilar financeiro da empresa, enquanto "Celulares" atuam como geradores de volume/tráfego. Mapeei a resiliência do negócio (recuperação de 10,5% após queda sazonal) e a pulverização de receita, evidenciando que o faturamento é equilibrado nacionalmente e não dependente apenas do eixo </w:t>
      </w:r>
      <w:proofErr w:type="spellStart"/>
      <w:r w:rsidRPr="00C61FCF">
        <w:rPr>
          <w:rFonts w:asciiTheme="minorHAnsi" w:hAnsiTheme="minorHAnsi" w:cstheme="minorHAnsi"/>
          <w:sz w:val="22"/>
          <w:szCs w:val="22"/>
        </w:rPr>
        <w:t>Rio-SP</w:t>
      </w:r>
      <w:proofErr w:type="spellEnd"/>
      <w:r w:rsidRPr="00C61FCF"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0932B58B" w14:textId="77777777" w:rsidR="00DB6933" w:rsidRPr="00C61FCF" w:rsidRDefault="00DB6933" w:rsidP="00F6461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</w:p>
    <w:p w14:paraId="393F78F5" w14:textId="725A31BB" w:rsidR="00F64617" w:rsidRPr="00C61FCF" w:rsidRDefault="00F64617" w:rsidP="00F6461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C61FCF">
        <w:rPr>
          <w:rFonts w:asciiTheme="minorHAnsi" w:hAnsiTheme="minorHAnsi" w:cstheme="minorHAnsi"/>
          <w:b/>
          <w:bCs/>
          <w:sz w:val="22"/>
          <w:szCs w:val="22"/>
        </w:rPr>
        <w:t xml:space="preserve">Dashboard 1 </w:t>
      </w:r>
    </w:p>
    <w:p w14:paraId="012C93E2" w14:textId="77777777" w:rsidR="00F64617" w:rsidRPr="00C61FCF" w:rsidRDefault="00F64617" w:rsidP="00F646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1FCF">
        <w:rPr>
          <w:rFonts w:asciiTheme="minorHAnsi" w:hAnsiTheme="minorHAnsi" w:cstheme="minorHAnsi"/>
          <w:sz w:val="22"/>
          <w:szCs w:val="22"/>
        </w:rPr>
        <w:t>Apesar do nome simpático, o "Mercadinho do Manoel" apresenta dados de uma potência de varejo. Ao analisar este dashboard, o foco foi traduzir números frios em narrativa de negócio. A história principal aqui é a clássica batalha entre Volume vs. Valor.</w:t>
      </w:r>
    </w:p>
    <w:p w14:paraId="2631E76C" w14:textId="77777777" w:rsidR="00F64617" w:rsidRPr="00C61FCF" w:rsidRDefault="00F64617" w:rsidP="00F646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1FCF">
        <w:rPr>
          <w:rFonts w:asciiTheme="minorHAnsi" w:hAnsiTheme="minorHAnsi" w:cstheme="minorHAnsi"/>
          <w:sz w:val="22"/>
          <w:szCs w:val="22"/>
        </w:rPr>
        <w:t>Identifiquei que, enquanto o Celular é o campeão de popularidade (185 mil unidades), servindo como "isca" de tráfego, o verdadeiro pilar financeiro é o Notebook. Sozinho, ele gera mais de R$ 1 Bilhão, representando 20% de todo o faturamento da empresa.</w:t>
      </w:r>
    </w:p>
    <w:p w14:paraId="6387D50D" w14:textId="77777777" w:rsidR="00F64617" w:rsidRPr="00C61FCF" w:rsidRDefault="00F64617" w:rsidP="00F646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1FCF">
        <w:rPr>
          <w:rFonts w:asciiTheme="minorHAnsi" w:hAnsiTheme="minorHAnsi" w:cstheme="minorHAnsi"/>
          <w:sz w:val="22"/>
          <w:szCs w:val="22"/>
        </w:rPr>
        <w:t xml:space="preserve">O gráfico de dispersão isola o Notebook como um </w:t>
      </w:r>
      <w:r w:rsidRPr="00C61FCF">
        <w:rPr>
          <w:rFonts w:asciiTheme="minorHAnsi" w:hAnsiTheme="minorHAnsi" w:cstheme="minorHAnsi"/>
          <w:i/>
          <w:iCs/>
          <w:sz w:val="22"/>
          <w:szCs w:val="22"/>
        </w:rPr>
        <w:t>outlier</w:t>
      </w:r>
      <w:r w:rsidRPr="00C61FCF">
        <w:rPr>
          <w:rFonts w:asciiTheme="minorHAnsi" w:hAnsiTheme="minorHAnsi" w:cstheme="minorHAnsi"/>
          <w:sz w:val="22"/>
          <w:szCs w:val="22"/>
        </w:rPr>
        <w:t xml:space="preserve"> positivo, revelando uma dependência estratégica: uma ruptura de estoque nesta categoria seria muito mais crítica do que em itens da "linha branca" (como Geladeiras), que performam bem, mas com menor impacto individual. A conclusão? A estratégia ideal seria proteger o estoque de TI e usar o volume de celulares para alavancar vendas cruzadas.</w:t>
      </w:r>
    </w:p>
    <w:p w14:paraId="2C8608F4" w14:textId="77777777" w:rsidR="00F64617" w:rsidRPr="00C61FCF" w:rsidRDefault="00F64617" w:rsidP="00F6461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C61FCF">
        <w:rPr>
          <w:rFonts w:asciiTheme="minorHAnsi" w:hAnsiTheme="minorHAnsi" w:cstheme="minorHAnsi"/>
          <w:b/>
          <w:bCs/>
          <w:sz w:val="22"/>
          <w:szCs w:val="22"/>
        </w:rPr>
        <w:t xml:space="preserve">Dashboard 2 </w:t>
      </w:r>
    </w:p>
    <w:p w14:paraId="45EF04CF" w14:textId="77777777" w:rsidR="00F64617" w:rsidRPr="00C61FCF" w:rsidRDefault="00F64617" w:rsidP="00F646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1FCF">
        <w:rPr>
          <w:rFonts w:asciiTheme="minorHAnsi" w:hAnsiTheme="minorHAnsi" w:cstheme="minorHAnsi"/>
          <w:sz w:val="22"/>
          <w:szCs w:val="22"/>
        </w:rPr>
        <w:t>Complementando a visão de produtos, aprofundei a análise nos eixos Temporal e Geográfico. Ao observar a evolução trimestral, notamos um negócio maduro e resiliente: mesmo enfrentando uma retração severa no Q3 de 2016 (-12%), a operação demonstrou rápida capacidade de reação, recuperando o faturamento no trimestre seguinte (+10,5%) e mantendo a média anual estável na casa de R$ 1,7 Bilhão.</w:t>
      </w:r>
    </w:p>
    <w:p w14:paraId="6912C40E" w14:textId="3DC3D3DB" w:rsidR="00824089" w:rsidRPr="00C61FCF" w:rsidRDefault="00F64617">
      <w:pPr>
        <w:rPr>
          <w:rFonts w:eastAsia="Times New Roman" w:cstheme="minorHAnsi"/>
          <w:lang w:eastAsia="pt-BR"/>
        </w:rPr>
      </w:pPr>
      <w:r w:rsidRPr="00C61FCF">
        <w:rPr>
          <w:rFonts w:eastAsia="Times New Roman" w:cstheme="minorHAnsi"/>
          <w:lang w:eastAsia="pt-BR"/>
        </w:rPr>
        <w:t>Porém, o grande destaque estratégico está na Geografia. Ao contrário de muitas empresas que dependem excessivamente da matriz em São Paulo, aqui vemos uma distribuição de receita incrivelmente equilibrada. Embora SP lidere, a diferença para o segundo (Goiás) e terceiro lugar (Espírito Santo) é marginal. Isso indica uma pulverização de risco eficiente e uma marca consolidada nacionalmente, performando com força total tanto no Centro-Oeste quanto no Sul e Sudeste, sem depender de um único polo econômico.</w:t>
      </w:r>
    </w:p>
    <w:sectPr w:rsidR="00824089" w:rsidRPr="00C61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851B0"/>
    <w:multiLevelType w:val="multilevel"/>
    <w:tmpl w:val="25B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35"/>
    <w:rsid w:val="001200C6"/>
    <w:rsid w:val="0029647D"/>
    <w:rsid w:val="00824089"/>
    <w:rsid w:val="00B31974"/>
    <w:rsid w:val="00C61FCF"/>
    <w:rsid w:val="00DB6933"/>
    <w:rsid w:val="00F64617"/>
    <w:rsid w:val="00F8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DD35A"/>
  <w15:chartTrackingRefBased/>
  <w15:docId w15:val="{9C7F9FB3-0C8B-4AA6-829A-F8285C63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4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376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6</cp:revision>
  <dcterms:created xsi:type="dcterms:W3CDTF">2025-11-25T02:44:00Z</dcterms:created>
  <dcterms:modified xsi:type="dcterms:W3CDTF">2025-11-26T22:26:00Z</dcterms:modified>
</cp:coreProperties>
</file>