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73E99">
      <w:pPr>
        <w:rPr>
          <w:rFonts w:ascii="Tahoma" w:hAnsi="Tahoma" w:eastAsia="Tahoma" w:cs="Tahoma"/>
          <w:i w:val="0"/>
          <w:iCs w:val="0"/>
          <w:caps w:val="0"/>
          <w:color w:val="2F3034"/>
          <w:spacing w:val="0"/>
          <w:sz w:val="15"/>
          <w:szCs w:val="15"/>
          <w:shd w:val="clear" w:fill="FFFFFF"/>
        </w:rPr>
      </w:pPr>
      <w:r>
        <w:rPr>
          <w:rFonts w:ascii="Tahoma" w:hAnsi="Tahoma" w:eastAsia="Tahoma" w:cs="Tahoma"/>
          <w:i w:val="0"/>
          <w:iCs w:val="0"/>
          <w:caps w:val="0"/>
          <w:color w:val="2F3034"/>
          <w:spacing w:val="0"/>
          <w:sz w:val="15"/>
          <w:szCs w:val="15"/>
          <w:shd w:val="clear" w:fill="FFFFFF"/>
        </w:rPr>
        <w:t>一种量化标准图。 这个图前段时间做过闰土的都应该都熟悉。 这种图都有几次那种尝试站上均线的动作，但是一旦站不上，就是一波比一波低，杀到尾盘。 我一般会在跌破均线后看，如果站不上均线就直接卖，绝对不能等到尾盘。 然后次日都有一个修复上影线的动作，如果是强修复，比如反包，那么趋势继续，如果是弱修复，比如冲高回落，那么基本上就是短期顶部。</w:t>
      </w:r>
    </w:p>
    <w:p w14:paraId="4E54D31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2886075"/>
            <wp:effectExtent l="0" t="0" r="127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EBE0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2326640"/>
            <wp:effectExtent l="0" t="0" r="1270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288E5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19500" cy="1285875"/>
            <wp:effectExtent l="0" t="0" r="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3A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2026-06-29T08:40:59Z</dcterms:created>
  <dc:creator>BALLBALLU</dc:creator>
  <cp:lastModifiedBy>WPS_1655432839</cp:lastModifiedBy>
  <dcterms:modified xsi:type="dcterms:W3CDTF">2026-06-29T08:41:41Z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eyJoZGlkIjoiY2FkMzAxYjEyNjFkYmJlZWE0YWFmNzI3NjI1YzhhZmIiLCJ1c2VySWQiOiIxMzg1MDA2Mzg5In0=</vt:lpwstr>
  </property>
  <property fmtid="{D5CDD505-2E9C-101B-9397-08002B2CF9AE}" pid="4" name="ICV">
    <vt:lpwstr>E60D9250029C4582928909E6573AE62C_12</vt:lpwstr>
  </property>
</Properties>
</file>