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E785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集合竞价</w:t>
      </w:r>
    </w:p>
    <w:p w14:paraId="3D7489C1">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9:15~9:25撮合成交</w:t>
      </w:r>
    </w:p>
    <w:p w14:paraId="0A2ECE51">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9:15~9:19可以撤单，9:20~9:25不可撤单</w:t>
      </w:r>
    </w:p>
    <w:p w14:paraId="7CFBC46E">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集合竞价买入</w:t>
      </w:r>
    </w:p>
    <w:p w14:paraId="5ABBFB59">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在讲集合竞价买入之前，我先给大家科普一下集合竞价的规则。</w:t>
      </w:r>
    </w:p>
    <w:p w14:paraId="530F873D">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集合竞价的成交有三个条件：</w:t>
      </w:r>
    </w:p>
    <w:p w14:paraId="494D3E5E">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w:t>
      </w:r>
      <w:r>
        <w:rPr>
          <w:rFonts w:hint="eastAsia" w:ascii="微软雅黑" w:hAnsi="微软雅黑" w:eastAsia="微软雅黑" w:cs="微软雅黑"/>
          <w:b/>
          <w:bCs/>
          <w:spacing w:val="15"/>
          <w:sz w:val="18"/>
          <w:szCs w:val="18"/>
          <w:lang w:val="en-US" w:eastAsia="zh-CN"/>
        </w:rPr>
        <w:t>这个成交价为</w:t>
      </w:r>
      <w:r>
        <w:rPr>
          <w:rFonts w:hint="eastAsia" w:ascii="微软雅黑" w:hAnsi="微软雅黑" w:eastAsia="微软雅黑" w:cs="微软雅黑"/>
          <w:b/>
          <w:bCs/>
          <w:color w:val="FF0000"/>
          <w:spacing w:val="15"/>
          <w:sz w:val="18"/>
          <w:szCs w:val="18"/>
          <w:shd w:val="clear" w:color="auto" w:fill="auto"/>
          <w:lang w:val="en-US" w:eastAsia="zh-CN"/>
        </w:rPr>
        <w:t>成交量最大</w:t>
      </w:r>
      <w:r>
        <w:rPr>
          <w:rFonts w:hint="eastAsia" w:ascii="微软雅黑" w:hAnsi="微软雅黑" w:eastAsia="微软雅黑" w:cs="微软雅黑"/>
          <w:b/>
          <w:bCs/>
          <w:spacing w:val="15"/>
          <w:sz w:val="18"/>
          <w:szCs w:val="18"/>
          <w:lang w:val="en-US" w:eastAsia="zh-CN"/>
        </w:rPr>
        <w:t>的价格</w:t>
      </w:r>
      <w:r>
        <w:rPr>
          <w:rFonts w:hint="eastAsia" w:ascii="微软雅黑" w:hAnsi="微软雅黑" w:eastAsia="微软雅黑" w:cs="微软雅黑"/>
          <w:spacing w:val="15"/>
          <w:sz w:val="18"/>
          <w:szCs w:val="18"/>
          <w:lang w:val="en-US" w:eastAsia="zh-CN"/>
        </w:rPr>
        <w:t>；</w:t>
      </w:r>
    </w:p>
    <w:p w14:paraId="1F6A176D">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2、</w:t>
      </w:r>
      <w:r>
        <w:rPr>
          <w:rFonts w:hint="eastAsia" w:ascii="微软雅黑" w:hAnsi="微软雅黑" w:eastAsia="微软雅黑" w:cs="微软雅黑"/>
          <w:b/>
          <w:bCs/>
          <w:color w:val="FF0000"/>
          <w:spacing w:val="15"/>
          <w:sz w:val="18"/>
          <w:szCs w:val="18"/>
          <w:lang w:val="en-US" w:eastAsia="zh-CN"/>
        </w:rPr>
        <w:t>高于基准成交价</w:t>
      </w:r>
      <w:r>
        <w:rPr>
          <w:rFonts w:hint="eastAsia" w:ascii="微软雅黑" w:hAnsi="微软雅黑" w:eastAsia="微软雅黑" w:cs="微软雅黑"/>
          <w:b/>
          <w:bCs/>
          <w:spacing w:val="15"/>
          <w:sz w:val="18"/>
          <w:szCs w:val="18"/>
          <w:lang w:val="en-US" w:eastAsia="zh-CN"/>
        </w:rPr>
        <w:t xml:space="preserve">的所有买单 和 </w:t>
      </w:r>
      <w:r>
        <w:rPr>
          <w:rFonts w:hint="eastAsia" w:ascii="微软雅黑" w:hAnsi="微软雅黑" w:eastAsia="微软雅黑" w:cs="微软雅黑"/>
          <w:b/>
          <w:bCs/>
          <w:color w:val="FF0000"/>
          <w:spacing w:val="15"/>
          <w:sz w:val="18"/>
          <w:szCs w:val="18"/>
          <w:lang w:val="en-US" w:eastAsia="zh-CN"/>
        </w:rPr>
        <w:t>低于基准成交价</w:t>
      </w:r>
      <w:r>
        <w:rPr>
          <w:rFonts w:hint="eastAsia" w:ascii="微软雅黑" w:hAnsi="微软雅黑" w:eastAsia="微软雅黑" w:cs="微软雅黑"/>
          <w:b/>
          <w:bCs/>
          <w:spacing w:val="15"/>
          <w:sz w:val="18"/>
          <w:szCs w:val="18"/>
          <w:lang w:val="en-US" w:eastAsia="zh-CN"/>
        </w:rPr>
        <w:t>的所有卖单都能成交</w:t>
      </w:r>
      <w:r>
        <w:rPr>
          <w:rFonts w:hint="eastAsia" w:ascii="微软雅黑" w:hAnsi="微软雅黑" w:eastAsia="微软雅黑" w:cs="微软雅黑"/>
          <w:spacing w:val="15"/>
          <w:sz w:val="18"/>
          <w:szCs w:val="18"/>
          <w:lang w:val="en-US" w:eastAsia="zh-CN"/>
        </w:rPr>
        <w:t>；</w:t>
      </w:r>
    </w:p>
    <w:p w14:paraId="2C661710">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3、与基准成交价相同的报价单，至少有一方可以全部成交</w:t>
      </w:r>
      <w:r>
        <w:rPr>
          <w:rFonts w:hint="eastAsia" w:ascii="微软雅黑" w:hAnsi="微软雅黑" w:eastAsia="微软雅黑" w:cs="微软雅黑"/>
          <w:spacing w:val="15"/>
          <w:sz w:val="18"/>
          <w:szCs w:val="18"/>
          <w:lang w:val="en-US" w:eastAsia="zh-CN"/>
        </w:rPr>
        <w:t>。</w:t>
      </w:r>
    </w:p>
    <w:p w14:paraId="10C878E8">
      <w:pPr>
        <w:ind w:firstLine="420" w:firstLineChars="200"/>
        <w:rPr>
          <w:rFonts w:hint="eastAsia" w:ascii="微软雅黑" w:hAnsi="微软雅黑" w:eastAsia="微软雅黑" w:cs="微软雅黑"/>
          <w:spacing w:val="15"/>
          <w:sz w:val="18"/>
          <w:szCs w:val="18"/>
          <w:lang w:val="en-US" w:eastAsia="zh-CN"/>
        </w:rPr>
      </w:pPr>
    </w:p>
    <w:p w14:paraId="69FAE847">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我这里举一个例子，假设某只股票的集合竞价申报情况如下：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052"/>
        <w:gridCol w:w="1787"/>
        <w:gridCol w:w="1420"/>
        <w:gridCol w:w="1165"/>
        <w:gridCol w:w="1675"/>
      </w:tblGrid>
      <w:tr w14:paraId="7E05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9" w:type="dxa"/>
          </w:tcPr>
          <w:p w14:paraId="3D2FA081">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买价</w:t>
            </w:r>
          </w:p>
        </w:tc>
        <w:tc>
          <w:tcPr>
            <w:tcW w:w="1052" w:type="dxa"/>
          </w:tcPr>
          <w:p w14:paraId="5CE10DC3">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数目</w:t>
            </w:r>
          </w:p>
        </w:tc>
        <w:tc>
          <w:tcPr>
            <w:tcW w:w="1787" w:type="dxa"/>
          </w:tcPr>
          <w:p w14:paraId="246C8683">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有效买价成交</w:t>
            </w:r>
          </w:p>
        </w:tc>
        <w:tc>
          <w:tcPr>
            <w:tcW w:w="1420" w:type="dxa"/>
          </w:tcPr>
          <w:p w14:paraId="7E16A772">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卖价</w:t>
            </w:r>
          </w:p>
        </w:tc>
        <w:tc>
          <w:tcPr>
            <w:tcW w:w="1165" w:type="dxa"/>
          </w:tcPr>
          <w:p w14:paraId="4798C087">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数目</w:t>
            </w:r>
          </w:p>
        </w:tc>
        <w:tc>
          <w:tcPr>
            <w:tcW w:w="1675" w:type="dxa"/>
          </w:tcPr>
          <w:p w14:paraId="5E11FD04">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有效卖价成交</w:t>
            </w:r>
          </w:p>
        </w:tc>
      </w:tr>
      <w:tr w14:paraId="7DFD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3F75FEF0">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10.2</w:t>
            </w:r>
          </w:p>
        </w:tc>
        <w:tc>
          <w:tcPr>
            <w:tcW w:w="1052" w:type="dxa"/>
          </w:tcPr>
          <w:p w14:paraId="2B44EE80">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c>
          <w:tcPr>
            <w:tcW w:w="1787" w:type="dxa"/>
          </w:tcPr>
          <w:p w14:paraId="0F55B05A">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c>
          <w:tcPr>
            <w:tcW w:w="1420" w:type="dxa"/>
          </w:tcPr>
          <w:p w14:paraId="2CD41245">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10.8</w:t>
            </w:r>
          </w:p>
        </w:tc>
        <w:tc>
          <w:tcPr>
            <w:tcW w:w="1165" w:type="dxa"/>
          </w:tcPr>
          <w:p w14:paraId="65A79C97">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w:t>
            </w:r>
          </w:p>
        </w:tc>
        <w:tc>
          <w:tcPr>
            <w:tcW w:w="1675" w:type="dxa"/>
          </w:tcPr>
          <w:p w14:paraId="3E386C86">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无效</w:t>
            </w:r>
          </w:p>
        </w:tc>
      </w:tr>
      <w:tr w14:paraId="3754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1DCCF585">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w:t>
            </w:r>
          </w:p>
        </w:tc>
        <w:tc>
          <w:tcPr>
            <w:tcW w:w="1052" w:type="dxa"/>
          </w:tcPr>
          <w:p w14:paraId="18270BD5">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3000</w:t>
            </w:r>
          </w:p>
        </w:tc>
        <w:tc>
          <w:tcPr>
            <w:tcW w:w="1787" w:type="dxa"/>
          </w:tcPr>
          <w:p w14:paraId="732AE49F">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3000</w:t>
            </w:r>
          </w:p>
        </w:tc>
        <w:tc>
          <w:tcPr>
            <w:tcW w:w="1420" w:type="dxa"/>
          </w:tcPr>
          <w:p w14:paraId="646A04BA">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10.2</w:t>
            </w:r>
          </w:p>
        </w:tc>
        <w:tc>
          <w:tcPr>
            <w:tcW w:w="1165" w:type="dxa"/>
          </w:tcPr>
          <w:p w14:paraId="3803F023">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1500</w:t>
            </w:r>
          </w:p>
        </w:tc>
        <w:tc>
          <w:tcPr>
            <w:tcW w:w="1675" w:type="dxa"/>
          </w:tcPr>
          <w:p w14:paraId="558F21C2">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w:t>
            </w:r>
          </w:p>
        </w:tc>
      </w:tr>
      <w:tr w14:paraId="2BE4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1BF9B3FC">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9.8</w:t>
            </w:r>
          </w:p>
        </w:tc>
        <w:tc>
          <w:tcPr>
            <w:tcW w:w="1052" w:type="dxa"/>
          </w:tcPr>
          <w:p w14:paraId="0BBF56C9">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250</w:t>
            </w:r>
          </w:p>
        </w:tc>
        <w:tc>
          <w:tcPr>
            <w:tcW w:w="1787" w:type="dxa"/>
          </w:tcPr>
          <w:p w14:paraId="6F796AD6">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w:t>
            </w:r>
          </w:p>
        </w:tc>
        <w:tc>
          <w:tcPr>
            <w:tcW w:w="1420" w:type="dxa"/>
          </w:tcPr>
          <w:p w14:paraId="48210BE0">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w:t>
            </w:r>
          </w:p>
        </w:tc>
        <w:tc>
          <w:tcPr>
            <w:tcW w:w="1165" w:type="dxa"/>
          </w:tcPr>
          <w:p w14:paraId="121A77D6">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2500</w:t>
            </w:r>
          </w:p>
        </w:tc>
        <w:tc>
          <w:tcPr>
            <w:tcW w:w="1675" w:type="dxa"/>
          </w:tcPr>
          <w:p w14:paraId="25781397">
            <w:pPr>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2500</w:t>
            </w:r>
          </w:p>
        </w:tc>
      </w:tr>
      <w:tr w14:paraId="5C57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49B0BC54">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9.7</w:t>
            </w:r>
          </w:p>
        </w:tc>
        <w:tc>
          <w:tcPr>
            <w:tcW w:w="1052" w:type="dxa"/>
          </w:tcPr>
          <w:p w14:paraId="3671F025">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w:t>
            </w:r>
          </w:p>
        </w:tc>
        <w:tc>
          <w:tcPr>
            <w:tcW w:w="1787" w:type="dxa"/>
          </w:tcPr>
          <w:p w14:paraId="6412EA1B">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w:t>
            </w:r>
          </w:p>
        </w:tc>
        <w:tc>
          <w:tcPr>
            <w:tcW w:w="1420" w:type="dxa"/>
          </w:tcPr>
          <w:p w14:paraId="15216060">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9.8</w:t>
            </w:r>
          </w:p>
        </w:tc>
        <w:tc>
          <w:tcPr>
            <w:tcW w:w="1165" w:type="dxa"/>
          </w:tcPr>
          <w:p w14:paraId="19EAA8EB">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500</w:t>
            </w:r>
          </w:p>
        </w:tc>
        <w:tc>
          <w:tcPr>
            <w:tcW w:w="1675" w:type="dxa"/>
          </w:tcPr>
          <w:p w14:paraId="0C4D3A58">
            <w:pPr>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500</w:t>
            </w:r>
          </w:p>
        </w:tc>
      </w:tr>
      <w:tr w14:paraId="0645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736AEBBE">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9.4</w:t>
            </w:r>
          </w:p>
        </w:tc>
        <w:tc>
          <w:tcPr>
            <w:tcW w:w="1052" w:type="dxa"/>
          </w:tcPr>
          <w:p w14:paraId="48CC6AED">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w:t>
            </w:r>
          </w:p>
        </w:tc>
        <w:tc>
          <w:tcPr>
            <w:tcW w:w="1787" w:type="dxa"/>
          </w:tcPr>
          <w:p w14:paraId="77F37E6F">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无效</w:t>
            </w:r>
          </w:p>
        </w:tc>
        <w:tc>
          <w:tcPr>
            <w:tcW w:w="1420" w:type="dxa"/>
          </w:tcPr>
          <w:p w14:paraId="3C01FD5F">
            <w:pPr>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9.7</w:t>
            </w:r>
          </w:p>
        </w:tc>
        <w:tc>
          <w:tcPr>
            <w:tcW w:w="1165" w:type="dxa"/>
          </w:tcPr>
          <w:p w14:paraId="038A8464">
            <w:pPr>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 xml:space="preserve">1000 </w:t>
            </w:r>
          </w:p>
        </w:tc>
        <w:tc>
          <w:tcPr>
            <w:tcW w:w="1675" w:type="dxa"/>
          </w:tcPr>
          <w:p w14:paraId="0288FA11">
            <w:pPr>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r>
    </w:tbl>
    <w:p w14:paraId="678A8F53">
      <w:pPr>
        <w:rPr>
          <w:rFonts w:hint="eastAsia" w:ascii="微软雅黑" w:hAnsi="微软雅黑" w:eastAsia="微软雅黑" w:cs="微软雅黑"/>
          <w:spacing w:val="15"/>
          <w:sz w:val="18"/>
          <w:szCs w:val="18"/>
          <w:lang w:val="en-US" w:eastAsia="zh-CN"/>
        </w:rPr>
      </w:pPr>
    </w:p>
    <w:p w14:paraId="5649CC96">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买价最高是10.2元，而卖价最高是10.8元，10.8＞10.2，因此10.8元的卖单不会成交，这笔无效。</w:t>
      </w:r>
    </w:p>
    <w:p w14:paraId="05E7E2C0">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买价最低是9.4元，卖价最低是9.7元，9.4＜9.7，因此9.4元的买单也不会成交。</w:t>
      </w:r>
    </w:p>
    <w:p w14:paraId="2E63B618">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这两个价格的单子无法撮合成交，因此是无效的。</w:t>
      </w:r>
    </w:p>
    <w:p w14:paraId="32C5FCB2">
      <w:pPr>
        <w:ind w:firstLine="420" w:firstLineChars="200"/>
        <w:rPr>
          <w:rFonts w:hint="eastAsia" w:ascii="微软雅黑" w:hAnsi="微软雅黑" w:eastAsia="微软雅黑" w:cs="微软雅黑"/>
          <w:spacing w:val="15"/>
          <w:sz w:val="18"/>
          <w:szCs w:val="18"/>
          <w:lang w:val="en-US" w:eastAsia="zh-CN"/>
        </w:rPr>
      </w:pPr>
    </w:p>
    <w:p w14:paraId="177D7FF9">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假设基准成交价是10.2元，此时这个价位有1000手买单和1500手卖单，那么在10.2元的价位</w:t>
      </w:r>
      <w:r>
        <w:rPr>
          <w:rFonts w:hint="eastAsia" w:ascii="微软雅黑" w:hAnsi="微软雅黑" w:eastAsia="微软雅黑" w:cs="微软雅黑"/>
          <w:b/>
          <w:bCs/>
          <w:spacing w:val="15"/>
          <w:sz w:val="18"/>
          <w:szCs w:val="18"/>
          <w:lang w:val="en-US" w:eastAsia="zh-CN"/>
        </w:rPr>
        <w:t>只会成交1000手</w:t>
      </w:r>
      <w:r>
        <w:rPr>
          <w:rFonts w:hint="eastAsia" w:ascii="微软雅黑" w:hAnsi="微软雅黑" w:eastAsia="微软雅黑" w:cs="微软雅黑"/>
          <w:spacing w:val="15"/>
          <w:sz w:val="18"/>
          <w:szCs w:val="18"/>
          <w:lang w:val="en-US" w:eastAsia="zh-CN"/>
        </w:rPr>
        <w:t>，有4500（500+2500+500+1000）手卖单无法成交；</w:t>
      </w:r>
    </w:p>
    <w:p w14:paraId="1A787C13">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假设基准成交价是10元，大于等于10元的买单有4000手，小于等于10元的卖单有4000手，因此</w:t>
      </w:r>
      <w:r>
        <w:rPr>
          <w:rFonts w:hint="eastAsia" w:ascii="微软雅黑" w:hAnsi="微软雅黑" w:eastAsia="微软雅黑" w:cs="微软雅黑"/>
          <w:b/>
          <w:bCs/>
          <w:spacing w:val="15"/>
          <w:sz w:val="18"/>
          <w:szCs w:val="18"/>
          <w:lang w:val="en-US" w:eastAsia="zh-CN"/>
        </w:rPr>
        <w:t>10元的价位会成交4000手，</w:t>
      </w:r>
      <w:r>
        <w:rPr>
          <w:rFonts w:hint="eastAsia" w:ascii="微软雅黑" w:hAnsi="微软雅黑" w:eastAsia="微软雅黑" w:cs="微软雅黑"/>
          <w:b w:val="0"/>
          <w:bCs w:val="0"/>
          <w:spacing w:val="15"/>
          <w:sz w:val="18"/>
          <w:szCs w:val="18"/>
          <w:lang w:val="en-US" w:eastAsia="zh-CN"/>
        </w:rPr>
        <w:t>有1500（500+1000）手无法成交</w:t>
      </w:r>
      <w:r>
        <w:rPr>
          <w:rFonts w:hint="eastAsia" w:ascii="微软雅黑" w:hAnsi="微软雅黑" w:eastAsia="微软雅黑" w:cs="微软雅黑"/>
          <w:spacing w:val="15"/>
          <w:sz w:val="18"/>
          <w:szCs w:val="18"/>
          <w:lang w:val="en-US" w:eastAsia="zh-CN"/>
        </w:rPr>
        <w:t>；</w:t>
      </w:r>
    </w:p>
    <w:p w14:paraId="2A4DB7A2">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假设基准成交价是9.8元，大于等于9.8元的买单有4250手，小于等于9.8元的卖单有1500手，因此</w:t>
      </w:r>
      <w:r>
        <w:rPr>
          <w:rFonts w:hint="eastAsia" w:ascii="微软雅黑" w:hAnsi="微软雅黑" w:eastAsia="微软雅黑" w:cs="微软雅黑"/>
          <w:b/>
          <w:bCs/>
          <w:spacing w:val="15"/>
          <w:sz w:val="18"/>
          <w:szCs w:val="18"/>
          <w:lang w:val="en-US" w:eastAsia="zh-CN"/>
        </w:rPr>
        <w:t>9.8元的价位会成交1500手卖单</w:t>
      </w:r>
      <w:r>
        <w:rPr>
          <w:rFonts w:hint="eastAsia" w:ascii="微软雅黑" w:hAnsi="微软雅黑" w:eastAsia="微软雅黑" w:cs="微软雅黑"/>
          <w:spacing w:val="15"/>
          <w:sz w:val="18"/>
          <w:szCs w:val="18"/>
          <w:lang w:val="en-US" w:eastAsia="zh-CN"/>
        </w:rPr>
        <w:t>，有2750手买单无法成交；</w:t>
      </w:r>
    </w:p>
    <w:p w14:paraId="258508D0">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假设基准成交价是9.7元，大于等于9.7元的卖单有4350手，小于等于9.7元的卖单有1000手，因此</w:t>
      </w:r>
      <w:r>
        <w:rPr>
          <w:rFonts w:hint="eastAsia" w:ascii="微软雅黑" w:hAnsi="微软雅黑" w:eastAsia="微软雅黑" w:cs="微软雅黑"/>
          <w:b/>
          <w:bCs/>
          <w:spacing w:val="15"/>
          <w:sz w:val="18"/>
          <w:szCs w:val="18"/>
          <w:lang w:val="en-US" w:eastAsia="zh-CN"/>
        </w:rPr>
        <w:t>9.7元会成交1000手</w:t>
      </w:r>
      <w:r>
        <w:rPr>
          <w:rFonts w:hint="eastAsia" w:ascii="微软雅黑" w:hAnsi="微软雅黑" w:eastAsia="微软雅黑" w:cs="微软雅黑"/>
          <w:spacing w:val="15"/>
          <w:sz w:val="18"/>
          <w:szCs w:val="18"/>
          <w:lang w:val="en-US" w:eastAsia="zh-CN"/>
        </w:rPr>
        <w:t>，有3350手买单无法成交。</w:t>
      </w:r>
    </w:p>
    <w:p w14:paraId="35F7DEB6">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股票的开盘价是由股票价格在有效价格范围内选取成交量最大的价位所产生的，因此股票的开盘价就是成交量最大的10元，这只股票的开盘价就是10元。</w:t>
      </w:r>
      <w:r>
        <w:rPr>
          <w:rFonts w:hint="eastAsia" w:ascii="微软雅黑" w:hAnsi="微软雅黑" w:eastAsia="微软雅黑" w:cs="微软雅黑"/>
          <w:b/>
          <w:bCs/>
          <w:spacing w:val="15"/>
          <w:sz w:val="18"/>
          <w:szCs w:val="18"/>
          <w:lang w:val="en-US" w:eastAsia="zh-CN"/>
        </w:rPr>
        <w:t>高于10元的买单全部成交，低于10元的卖单也全部成交。</w:t>
      </w:r>
      <w:r>
        <w:rPr>
          <w:rFonts w:hint="eastAsia" w:ascii="微软雅黑" w:hAnsi="微软雅黑" w:eastAsia="微软雅黑" w:cs="微软雅黑"/>
          <w:spacing w:val="15"/>
          <w:sz w:val="18"/>
          <w:szCs w:val="18"/>
          <w:lang w:val="en-US" w:eastAsia="zh-CN"/>
        </w:rPr>
        <w:t>由于这里买卖价的数据刚好相等，因此可以全部成交。</w:t>
      </w:r>
    </w:p>
    <w:p w14:paraId="3BD5F1F3">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并且即便是挂单在10.2的买单、9.8元卖单、9.7的卖单，都是以10元的价格进行成交。</w:t>
      </w:r>
    </w:p>
    <w:p w14:paraId="52F61537">
      <w:pPr>
        <w:rPr>
          <w:rFonts w:hint="eastAsia" w:ascii="微软雅黑" w:hAnsi="微软雅黑" w:eastAsia="微软雅黑" w:cs="微软雅黑"/>
          <w:spacing w:val="15"/>
          <w:sz w:val="18"/>
          <w:szCs w:val="18"/>
          <w:lang w:val="en-US" w:eastAsia="zh-CN"/>
        </w:rPr>
      </w:pPr>
    </w:p>
    <w:p w14:paraId="53356178">
      <w:pPr>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对于买单来说，价格相同时，越早挂单的越先成交。时间相同时，价格越高越先成交。</w:t>
      </w:r>
    </w:p>
    <w:p w14:paraId="27C0D643">
      <w:pPr>
        <w:ind w:firstLine="420" w:firstLineChars="200"/>
        <w:rPr>
          <w:rFonts w:hint="default" w:ascii="微软雅黑" w:hAnsi="微软雅黑" w:eastAsia="微软雅黑" w:cs="微软雅黑"/>
          <w:b/>
          <w:bCs/>
          <w:color w:val="E54C5E" w:themeColor="accent6"/>
          <w:spacing w:val="15"/>
          <w:sz w:val="18"/>
          <w:szCs w:val="18"/>
          <w:lang w:val="en-US" w:eastAsia="zh-CN"/>
          <w14:textFill>
            <w14:solidFill>
              <w14:schemeClr w14:val="accent6"/>
            </w14:solidFill>
          </w14:textFill>
        </w:rPr>
      </w:pPr>
      <w:r>
        <w:rPr>
          <w:rFonts w:hint="eastAsia" w:ascii="微软雅黑" w:hAnsi="微软雅黑" w:eastAsia="微软雅黑" w:cs="微软雅黑"/>
          <w:b/>
          <w:bCs/>
          <w:color w:val="E54C5E" w:themeColor="accent6"/>
          <w:spacing w:val="15"/>
          <w:sz w:val="18"/>
          <w:szCs w:val="18"/>
          <w:lang w:val="en-US" w:eastAsia="zh-CN"/>
          <w14:textFill>
            <w14:solidFill>
              <w14:schemeClr w14:val="accent6"/>
            </w14:solidFill>
          </w14:textFill>
        </w:rPr>
        <w:t>最极端→全部隔夜涨停（涨停价）→先报到交易所的单子先成交；</w:t>
      </w:r>
    </w:p>
    <w:p w14:paraId="72DACDB1">
      <w:pPr>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对于卖单来说，价格相同时，越早挂单的越先成交。时间相同时，价格越低越先成交。</w:t>
      </w:r>
    </w:p>
    <w:p w14:paraId="2EC59A0F">
      <w:pPr>
        <w:ind w:firstLine="420" w:firstLineChars="200"/>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color w:val="E54C5E" w:themeColor="accent6"/>
          <w:spacing w:val="15"/>
          <w:sz w:val="18"/>
          <w:szCs w:val="18"/>
          <w:lang w:val="en-US" w:eastAsia="zh-CN"/>
          <w14:textFill>
            <w14:solidFill>
              <w14:schemeClr w14:val="accent6"/>
            </w14:solidFill>
          </w14:textFill>
        </w:rPr>
        <w:t>最极端→全部隔夜跌停（跌停价）→先报到交易所的单子先成交；</w:t>
      </w:r>
    </w:p>
    <w:p w14:paraId="512065D6">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时间上，集合竞价的时间在每个交易日的上午9:15-9:25，其中9:15-9:20所申报的单子可以进行撤单，9:20-9:25所申报的单子不能撤单，这点需要注意。</w:t>
      </w:r>
    </w:p>
    <w:p w14:paraId="217FFD85">
      <w:pPr>
        <w:ind w:firstLine="420" w:firstLineChars="200"/>
        <w:rPr>
          <w:rFonts w:hint="eastAsia" w:ascii="微软雅黑" w:hAnsi="微软雅黑" w:eastAsia="微软雅黑" w:cs="微软雅黑"/>
          <w:spacing w:val="15"/>
          <w:sz w:val="18"/>
          <w:szCs w:val="18"/>
          <w:lang w:val="en-US" w:eastAsia="zh-CN"/>
        </w:rPr>
      </w:pPr>
    </w:p>
    <w:p w14:paraId="56693F35">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软件中，上方是未匹配的量，红的是买，绿色的是卖，而下方是已经匹配的量，同样红买绿卖。很多软件都会在9:20有个断崖，因为这是最晚撤单时间，随后都是不可撤单的时间，因此可以看到柱子是随着时间增长的。</w:t>
      </w:r>
    </w:p>
    <w:p w14:paraId="144B5293">
      <w:pPr>
        <w:ind w:firstLine="420" w:firstLineChars="200"/>
        <w:jc w:val="center"/>
        <w:rPr>
          <w:rFonts w:hint="default" w:ascii="微软雅黑" w:hAnsi="微软雅黑" w:eastAsia="微软雅黑" w:cs="微软雅黑"/>
          <w:spacing w:val="15"/>
          <w:sz w:val="18"/>
          <w:szCs w:val="18"/>
          <w:lang w:val="en-US" w:eastAsia="zh-CN"/>
        </w:rPr>
      </w:pPr>
      <w:r>
        <w:drawing>
          <wp:inline distT="0" distB="0" distL="114300" distR="114300">
            <wp:extent cx="1924050" cy="215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24050" cy="2152650"/>
                    </a:xfrm>
                    <a:prstGeom prst="rect">
                      <a:avLst/>
                    </a:prstGeom>
                    <a:noFill/>
                    <a:ln>
                      <a:noFill/>
                    </a:ln>
                  </pic:spPr>
                </pic:pic>
              </a:graphicData>
            </a:graphic>
          </wp:inline>
        </w:drawing>
      </w:r>
    </w:p>
    <w:p w14:paraId="32D5E245">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（11/22双成药业竞价）</w:t>
      </w:r>
    </w:p>
    <w:p w14:paraId="690EA026">
      <w:pPr>
        <w:rPr>
          <w:rFonts w:hint="eastAsia" w:ascii="微软雅黑" w:hAnsi="微软雅黑" w:eastAsia="微软雅黑" w:cs="微软雅黑"/>
          <w:b/>
          <w:bCs/>
          <w:sz w:val="21"/>
          <w:szCs w:val="21"/>
          <w:lang w:val="en-US" w:eastAsia="zh-CN"/>
        </w:rPr>
      </w:pPr>
    </w:p>
    <w:p w14:paraId="42B0E273">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预期</w:t>
      </w:r>
    </w:p>
    <w:p w14:paraId="31C0A681">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指的是走势的预期。</w:t>
      </w:r>
    </w:p>
    <w:p w14:paraId="54373ADE">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比如一个票前一天巨量烂板、炸板回落、冲高回落、高开低走等较差的走势，在没有消息刺激的前提下，次日按照正常逻辑来说，应该会有些资金进行止损，从而使得竞价低开，这个就叫对走势的预期。</w:t>
      </w:r>
    </w:p>
    <w:p w14:paraId="0E561A87">
      <w:pPr>
        <w:ind w:firstLine="420" w:firstLineChars="200"/>
        <w:rPr>
          <w:rFonts w:hint="default" w:ascii="微软雅黑" w:hAnsi="微软雅黑" w:eastAsia="微软雅黑" w:cs="微软雅黑"/>
          <w:spacing w:val="15"/>
          <w:sz w:val="18"/>
          <w:szCs w:val="18"/>
          <w:lang w:val="en-US" w:eastAsia="zh-CN"/>
        </w:rPr>
      </w:pPr>
    </w:p>
    <w:p w14:paraId="4E654082">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超预期</w:t>
      </w:r>
    </w:p>
    <w:p w14:paraId="509EB89A">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一个票前一天巨量烂板、炸板回落、冲高回落、高开低走等较差的走势，在没有消息刺激的前提下，次日按照正常逻辑来说，应该是要低开的，但是实际上是高开。那么就叫竞价超预期，常见的是在竞价阶段不断不断抬高价格，从而使得竞价走出一个弱转强的走势。</w:t>
      </w:r>
    </w:p>
    <w:p w14:paraId="77F33799">
      <w:pPr>
        <w:ind w:firstLine="420" w:firstLineChars="200"/>
        <w:rPr>
          <w:rFonts w:hint="default" w:ascii="微软雅黑" w:hAnsi="微软雅黑" w:eastAsia="微软雅黑" w:cs="微软雅黑"/>
          <w:spacing w:val="15"/>
          <w:sz w:val="18"/>
          <w:szCs w:val="18"/>
          <w:lang w:val="en-US" w:eastAsia="zh-CN"/>
        </w:rPr>
      </w:pPr>
    </w:p>
    <w:p w14:paraId="4D5C4CA6">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11/13巨量烂板，11/14，有研新材弱转强</w:t>
      </w:r>
    </w:p>
    <w:p w14:paraId="7203DDB8">
      <w:pPr>
        <w:ind w:firstLine="420" w:firstLineChars="200"/>
        <w:rPr>
          <w:rFonts w:hint="default" w:ascii="微软雅黑" w:hAnsi="微软雅黑" w:eastAsia="微软雅黑" w:cs="微软雅黑"/>
          <w:spacing w:val="15"/>
          <w:sz w:val="18"/>
          <w:szCs w:val="18"/>
          <w:lang w:val="en-US" w:eastAsia="zh-CN"/>
        </w:rPr>
      </w:pPr>
      <w:r>
        <w:drawing>
          <wp:inline distT="0" distB="0" distL="114300" distR="114300">
            <wp:extent cx="5270500" cy="1536065"/>
            <wp:effectExtent l="0" t="0" r="635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1536065"/>
                    </a:xfrm>
                    <a:prstGeom prst="rect">
                      <a:avLst/>
                    </a:prstGeom>
                    <a:noFill/>
                    <a:ln>
                      <a:noFill/>
                    </a:ln>
                  </pic:spPr>
                </pic:pic>
              </a:graphicData>
            </a:graphic>
          </wp:inline>
        </w:drawing>
      </w:r>
    </w:p>
    <w:p w14:paraId="5F25ADF3">
      <w:pPr>
        <w:jc w:val="center"/>
        <w:rPr>
          <w:rFonts w:hint="default" w:ascii="微软雅黑" w:hAnsi="微软雅黑" w:eastAsia="微软雅黑" w:cs="微软雅黑"/>
          <w:sz w:val="18"/>
          <w:szCs w:val="18"/>
          <w:lang w:val="en-US" w:eastAsia="zh-CN"/>
        </w:rPr>
      </w:pPr>
      <w:r>
        <w:drawing>
          <wp:inline distT="0" distB="0" distL="114300" distR="114300">
            <wp:extent cx="3432175" cy="2351405"/>
            <wp:effectExtent l="0" t="0" r="1587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432175" cy="2351405"/>
                    </a:xfrm>
                    <a:prstGeom prst="rect">
                      <a:avLst/>
                    </a:prstGeom>
                    <a:noFill/>
                    <a:ln>
                      <a:noFill/>
                    </a:ln>
                  </pic:spPr>
                </pic:pic>
              </a:graphicData>
            </a:graphic>
          </wp:inline>
        </w:drawing>
      </w:r>
    </w:p>
    <w:p w14:paraId="0D053F49">
      <w:pPr>
        <w:rPr>
          <w:rFonts w:hint="default" w:ascii="微软雅黑" w:hAnsi="微软雅黑" w:eastAsia="微软雅黑" w:cs="微软雅黑"/>
          <w:sz w:val="18"/>
          <w:szCs w:val="18"/>
          <w:lang w:val="en-US" w:eastAsia="zh-CN"/>
        </w:rPr>
      </w:pPr>
    </w:p>
    <w:p w14:paraId="46823BA2">
      <w:pPr>
        <w:rPr>
          <w:rFonts w:hint="eastAsia" w:ascii="微软雅黑" w:hAnsi="微软雅黑" w:eastAsia="微软雅黑" w:cs="微软雅黑"/>
          <w:b/>
          <w:bCs/>
          <w:sz w:val="18"/>
          <w:szCs w:val="18"/>
          <w:lang w:val="en-US" w:eastAsia="zh-CN"/>
        </w:rPr>
      </w:pPr>
    </w:p>
    <w:p w14:paraId="6DCE988A">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低于预期</w:t>
      </w:r>
    </w:p>
    <w:p w14:paraId="310C1D33">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跟超预期相反，昨天走势非常好，封板时间非常早，看起来非常硬的一个板，当天直接低开或者越走越低。</w:t>
      </w:r>
    </w:p>
    <w:p w14:paraId="7FAE501A">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在市场情绪狂热的高点、市场下跌中继反弹后最需要注意，尤其当整个板块都出现这种情况时，需要高度警惕。</w:t>
      </w:r>
    </w:p>
    <w:p w14:paraId="7284BF64">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比如11/22双成药业的竞价，因为受到海能达一字跌停的影响，前一天封得非常好的板，在这天直接从一字涨停按到水下，大幅低于预期。</w:t>
      </w:r>
    </w:p>
    <w:p w14:paraId="4DED4E6C">
      <w:pPr>
        <w:ind w:firstLine="420" w:firstLineChars="200"/>
        <w:rPr>
          <w:rFonts w:hint="default" w:ascii="微软雅黑" w:hAnsi="微软雅黑" w:eastAsia="微软雅黑" w:cs="微软雅黑"/>
          <w:spacing w:val="15"/>
          <w:sz w:val="18"/>
          <w:szCs w:val="18"/>
          <w:lang w:val="en-US" w:eastAsia="zh-CN"/>
        </w:rPr>
      </w:pPr>
      <w:r>
        <w:drawing>
          <wp:inline distT="0" distB="0" distL="114300" distR="114300">
            <wp:extent cx="4060190" cy="2870200"/>
            <wp:effectExtent l="0" t="0" r="1651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rcRect t="4030"/>
                    <a:stretch>
                      <a:fillRect/>
                    </a:stretch>
                  </pic:blipFill>
                  <pic:spPr>
                    <a:xfrm>
                      <a:off x="0" y="0"/>
                      <a:ext cx="4060190" cy="2870200"/>
                    </a:xfrm>
                    <a:prstGeom prst="rect">
                      <a:avLst/>
                    </a:prstGeom>
                    <a:noFill/>
                    <a:ln>
                      <a:noFill/>
                    </a:ln>
                  </pic:spPr>
                </pic:pic>
              </a:graphicData>
            </a:graphic>
          </wp:inline>
        </w:drawing>
      </w:r>
      <w:r>
        <w:drawing>
          <wp:inline distT="0" distB="0" distL="114300" distR="114300">
            <wp:extent cx="5375910" cy="1057275"/>
            <wp:effectExtent l="0" t="0" r="15240"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375910" cy="1057275"/>
                    </a:xfrm>
                    <a:prstGeom prst="rect">
                      <a:avLst/>
                    </a:prstGeom>
                    <a:noFill/>
                    <a:ln>
                      <a:noFill/>
                    </a:ln>
                  </pic:spPr>
                </pic:pic>
              </a:graphicData>
            </a:graphic>
          </wp:inline>
        </w:drawing>
      </w:r>
    </w:p>
    <w:p w14:paraId="3CA0CE8E">
      <w:pPr>
        <w:ind w:firstLine="420" w:firstLineChars="200"/>
        <w:rPr>
          <w:rFonts w:hint="eastAsia" w:ascii="微软雅黑" w:hAnsi="微软雅黑" w:eastAsia="微软雅黑" w:cs="微软雅黑"/>
          <w:spacing w:val="15"/>
          <w:sz w:val="18"/>
          <w:szCs w:val="18"/>
          <w:lang w:val="en-US" w:eastAsia="zh-CN"/>
        </w:rPr>
      </w:pPr>
    </w:p>
    <w:p w14:paraId="7BF9B08F">
      <w:pPr>
        <w:rPr>
          <w:rFonts w:hint="default" w:ascii="微软雅黑" w:hAnsi="微软雅黑" w:eastAsia="微软雅黑" w:cs="微软雅黑"/>
          <w:sz w:val="18"/>
          <w:szCs w:val="18"/>
          <w:lang w:val="en-US" w:eastAsia="zh-CN"/>
        </w:rPr>
      </w:pPr>
    </w:p>
    <w:p w14:paraId="1FEE8F40">
      <w:pPr>
        <w:rPr>
          <w:rFonts w:hint="eastAsia" w:ascii="微软雅黑" w:hAnsi="微软雅黑" w:eastAsia="微软雅黑" w:cs="微软雅黑"/>
          <w:b/>
          <w:bCs/>
          <w:color w:val="FF0000"/>
          <w:sz w:val="18"/>
          <w:szCs w:val="18"/>
          <w:lang w:val="en-US" w:eastAsia="zh-CN"/>
        </w:rPr>
      </w:pPr>
      <w:r>
        <w:rPr>
          <w:rFonts w:hint="eastAsia" w:ascii="微软雅黑" w:hAnsi="微软雅黑" w:eastAsia="微软雅黑" w:cs="微软雅黑"/>
          <w:b/>
          <w:bCs/>
          <w:color w:val="FF0000"/>
          <w:sz w:val="18"/>
          <w:szCs w:val="18"/>
          <w:lang w:val="en-US" w:eastAsia="zh-CN"/>
        </w:rPr>
        <w:t>高成功率需要结合其它的条件去看，不应该单独地看。</w:t>
      </w:r>
    </w:p>
    <w:p w14:paraId="6A976ED2">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集合竞价仅代表隔夜资金对于消息的态度，后续的走法还需要结合地位、市场环境去看。</w:t>
      </w:r>
    </w:p>
    <w:p w14:paraId="67264E60">
      <w:pP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所以集合竞价也会骗人。</w:t>
      </w:r>
    </w:p>
    <w:p w14:paraId="7451A58E">
      <w:pPr>
        <w:rPr>
          <w:rFonts w:hint="default" w:ascii="微软雅黑" w:hAnsi="微软雅黑" w:eastAsia="微软雅黑" w:cs="微软雅黑"/>
          <w:sz w:val="15"/>
          <w:szCs w:val="15"/>
          <w:lang w:val="en-US" w:eastAsia="zh-CN"/>
        </w:rPr>
      </w:pPr>
    </w:p>
    <w:p w14:paraId="072CA7ED">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1、结合地位</w:t>
      </w:r>
    </w:p>
    <w:p w14:paraId="36E67AF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带动性越强、市场地位越高的票，其竞价更有标志性。对于一些边边角角的东西，竞价参考程度不高。 </w:t>
      </w:r>
    </w:p>
    <w:p w14:paraId="5537B479">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一个板块的龙头无利空低开或者大幅低开，都是值得警惕的，因为极容易带崩板块。</w:t>
      </w:r>
    </w:p>
    <w:p w14:paraId="0FBCC0F3">
      <w:pPr>
        <w:rPr>
          <w:rFonts w:hint="default" w:ascii="微软雅黑" w:hAnsi="微软雅黑" w:eastAsia="微软雅黑" w:cs="微软雅黑"/>
          <w:sz w:val="18"/>
          <w:szCs w:val="18"/>
          <w:lang w:val="en-US" w:eastAsia="zh-CN"/>
        </w:rPr>
      </w:pPr>
    </w:p>
    <w:p w14:paraId="24C48261">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2、结合量能</w:t>
      </w:r>
    </w:p>
    <w:p w14:paraId="4BFAA23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爆量，这个是一个非常重要的点。由上面的原理可以知道，成交以最大量进行撮合。</w:t>
      </w:r>
    </w:p>
    <w:p w14:paraId="66104D4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成交量越大，价格随着成交量的增加而增加，即是“量价齐升”。</w:t>
      </w:r>
    </w:p>
    <w:p w14:paraId="24A3928D">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个人喜欢用同花顺的“竞价额”指标去看历史竞价。比如以下是东财的竞价，历史最大量在9月30日，那一天成交了25.86e，非常夸张。</w:t>
      </w:r>
    </w:p>
    <w:p w14:paraId="3C569E66">
      <w:pPr>
        <w:numPr>
          <w:ilvl w:val="0"/>
          <w:numId w:val="0"/>
        </w:numPr>
        <w:rPr>
          <w:rFonts w:hint="default" w:ascii="微软雅黑" w:hAnsi="微软雅黑" w:eastAsia="微软雅黑" w:cs="微软雅黑"/>
          <w:sz w:val="18"/>
          <w:szCs w:val="18"/>
          <w:lang w:val="en-US" w:eastAsia="zh-CN"/>
        </w:rPr>
      </w:pPr>
      <w:r>
        <w:drawing>
          <wp:inline distT="0" distB="0" distL="114300" distR="114300">
            <wp:extent cx="5270500" cy="3847465"/>
            <wp:effectExtent l="0" t="0" r="635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70500" cy="3847465"/>
                    </a:xfrm>
                    <a:prstGeom prst="rect">
                      <a:avLst/>
                    </a:prstGeom>
                    <a:noFill/>
                    <a:ln>
                      <a:noFill/>
                    </a:ln>
                  </pic:spPr>
                </pic:pic>
              </a:graphicData>
            </a:graphic>
          </wp:inline>
        </w:drawing>
      </w:r>
    </w:p>
    <w:p w14:paraId="1C1A297E">
      <w:pPr>
        <w:numPr>
          <w:ilvl w:val="0"/>
          <w:numId w:val="0"/>
        </w:numPr>
        <w:rPr>
          <w:rFonts w:hint="default" w:ascii="微软雅黑" w:hAnsi="微软雅黑" w:eastAsia="微软雅黑" w:cs="微软雅黑"/>
          <w:sz w:val="18"/>
          <w:szCs w:val="18"/>
          <w:lang w:val="en-US" w:eastAsia="zh-CN"/>
        </w:rPr>
      </w:pPr>
    </w:p>
    <w:p w14:paraId="51220483">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3、结合板块</w:t>
      </w:r>
    </w:p>
    <w:p w14:paraId="601ACAF8">
      <w:p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当市场不明朗的时候，封单最大的板块往往更容易引起共识，就是很多人所说的一字定方向。</w:t>
      </w:r>
    </w:p>
    <w:p w14:paraId="521A55C1">
      <w:p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市场上升期时，核心的封单越大，对于套利的标的则越有利。</w:t>
      </w:r>
    </w:p>
    <w:p w14:paraId="57C8BB39">
      <w:pPr>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市场开始退潮时，单个股开得很好，但是板块核心标的大幅下跌，也要考虑风险所在。</w:t>
      </w:r>
    </w:p>
    <w:p w14:paraId="6A2C9562">
      <w:pPr>
        <w:rPr>
          <w:rFonts w:hint="eastAsia" w:ascii="微软雅黑" w:hAnsi="微软雅黑" w:eastAsia="微软雅黑" w:cs="微软雅黑"/>
          <w:sz w:val="18"/>
          <w:szCs w:val="18"/>
          <w:lang w:val="en-US" w:eastAsia="zh-CN"/>
        </w:rPr>
      </w:pPr>
    </w:p>
    <w:p w14:paraId="2443A6E6">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4、结合环境</w:t>
      </w:r>
    </w:p>
    <w:p w14:paraId="13CC5B75">
      <w:p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市场连续加速，竞价再度走强，只能说明情绪再度高潮，此时应该多考虑风险。</w:t>
      </w:r>
    </w:p>
    <w:p w14:paraId="58A50035">
      <w:p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市场连续走弱，竞价再度走弱，说明情绪再度恐慌加剧，此时应该多考虑机会。</w:t>
      </w:r>
    </w:p>
    <w:p w14:paraId="06DAC890">
      <w:pPr>
        <w:rPr>
          <w:rFonts w:hint="eastAsia" w:ascii="微软雅黑" w:hAnsi="微软雅黑" w:eastAsia="微软雅黑" w:cs="微软雅黑"/>
          <w:sz w:val="18"/>
          <w:szCs w:val="18"/>
          <w:lang w:val="en-US" w:eastAsia="zh-CN"/>
        </w:rPr>
      </w:pPr>
    </w:p>
    <w:p w14:paraId="3E7679D8">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5、结合逻辑</w:t>
      </w:r>
    </w:p>
    <w:p w14:paraId="79172383">
      <w:pPr>
        <w:numPr>
          <w:ilvl w:val="0"/>
          <w:numId w:val="0"/>
        </w:num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通常指的是一些事件驱动的发酵以及影响走势的内在逻辑。</w:t>
      </w:r>
    </w:p>
    <w:p w14:paraId="2418B771">
      <w:pPr>
        <w:numPr>
          <w:ilvl w:val="0"/>
          <w:numId w:val="0"/>
        </w:num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比如业绩提升→估值大幅低于行业同类型公司，竞价很弱也可以进</w:t>
      </w:r>
      <w:r>
        <w:rPr>
          <w:rFonts w:hint="eastAsia" w:ascii="微软雅黑" w:hAnsi="微软雅黑" w:eastAsia="微软雅黑" w:cs="微软雅黑"/>
          <w:sz w:val="18"/>
          <w:szCs w:val="18"/>
          <w:lang w:val="en-US" w:eastAsia="zh-CN"/>
        </w:rPr>
        <w:t>；</w:t>
      </w:r>
    </w:p>
    <w:p w14:paraId="1E9DA671">
      <w:pPr>
        <w:numPr>
          <w:ilvl w:val="0"/>
          <w:numId w:val="0"/>
        </w:num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位于主线板块且板块在上升期，突发利空（业绩不及预期、减持）→竞价走弱低开，往往是买入机会，常见的就是主线板块里的核心票不及预期，虽然低开但是多数会高走。</w:t>
      </w:r>
    </w:p>
    <w:p w14:paraId="1EDDF70B">
      <w:pPr>
        <w:numPr>
          <w:ilvl w:val="0"/>
          <w:numId w:val="0"/>
        </w:num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业绩很好，估值适中，但是整个板块下跌趋势，即便竞价爆量高开→很容易高开低走。</w:t>
      </w:r>
    </w:p>
    <w:p w14:paraId="304B0CCF">
      <w:pPr>
        <w:numPr>
          <w:ilvl w:val="0"/>
          <w:numId w:val="0"/>
        </w:numPr>
        <w:ind w:firstLine="360" w:firstLineChars="200"/>
        <w:rPr>
          <w:rFonts w:hint="eastAsia" w:ascii="微软雅黑" w:hAnsi="微软雅黑" w:eastAsia="微软雅黑" w:cs="微软雅黑"/>
          <w:sz w:val="18"/>
          <w:szCs w:val="18"/>
          <w:lang w:val="en-US" w:eastAsia="zh-CN"/>
        </w:rPr>
      </w:pPr>
    </w:p>
    <w:p w14:paraId="0AFDA78F">
      <w:pPr>
        <w:numPr>
          <w:ilvl w:val="0"/>
          <w:numId w:val="0"/>
        </w:numPr>
        <w:ind w:firstLine="360" w:firstLineChars="200"/>
        <w:rPr>
          <w:rFonts w:hint="default" w:ascii="微软雅黑" w:hAnsi="微软雅黑" w:eastAsia="微软雅黑" w:cs="微软雅黑"/>
          <w:sz w:val="15"/>
          <w:szCs w:val="15"/>
          <w:lang w:val="en-US" w:eastAsia="zh-CN"/>
        </w:rPr>
      </w:pPr>
      <w:r>
        <w:rPr>
          <w:rFonts w:hint="eastAsia" w:ascii="微软雅黑" w:hAnsi="微软雅黑" w:eastAsia="微软雅黑" w:cs="微软雅黑"/>
          <w:sz w:val="18"/>
          <w:szCs w:val="18"/>
          <w:lang w:val="en-US" w:eastAsia="zh-CN"/>
        </w:rPr>
        <w:t>以及一些有很强的内在逻辑、赔率又比较高的票，集合竞价只会影响前几分钟，后续的走法还是会按照内核的逻辑去走。</w:t>
      </w:r>
    </w:p>
    <w:p w14:paraId="0E895ECB">
      <w:pPr>
        <w:rPr>
          <w:rFonts w:hint="eastAsia" w:ascii="微软雅黑" w:hAnsi="微软雅黑" w:eastAsia="微软雅黑" w:cs="微软雅黑"/>
          <w:sz w:val="15"/>
          <w:szCs w:val="15"/>
          <w:lang w:val="en-US" w:eastAsia="zh-CN"/>
        </w:rPr>
      </w:pPr>
    </w:p>
    <w:p w14:paraId="2C221F80">
      <w:pPr>
        <w:rPr>
          <w:rFonts w:hint="eastAsia" w:ascii="微软雅黑" w:hAnsi="微软雅黑" w:eastAsia="微软雅黑" w:cs="微软雅黑"/>
          <w:sz w:val="15"/>
          <w:szCs w:val="15"/>
          <w:lang w:val="en-US" w:eastAsia="zh-CN"/>
        </w:rPr>
      </w:pPr>
    </w:p>
    <w:p w14:paraId="580CC443">
      <w:pPr>
        <w:numPr>
          <w:ilvl w:val="0"/>
          <w:numId w:val="0"/>
        </w:numPr>
        <w:rPr>
          <w:rFonts w:hint="eastAsia" w:ascii="微软雅黑" w:hAnsi="微软雅黑" w:eastAsia="微软雅黑" w:cs="微软雅黑"/>
          <w:b/>
          <w:bCs/>
          <w:color w:val="FF0000"/>
          <w:sz w:val="18"/>
          <w:szCs w:val="18"/>
          <w:lang w:val="en-US" w:eastAsia="zh-CN"/>
        </w:rPr>
      </w:pPr>
      <w:r>
        <w:rPr>
          <w:rFonts w:hint="eastAsia" w:ascii="微软雅黑" w:hAnsi="微软雅黑" w:eastAsia="微软雅黑" w:cs="微软雅黑"/>
          <w:b/>
          <w:bCs/>
          <w:color w:val="FF0000"/>
          <w:sz w:val="18"/>
          <w:szCs w:val="18"/>
          <w:lang w:val="en-US" w:eastAsia="zh-CN"/>
        </w:rPr>
        <w:t>竞价通常看什么</w:t>
      </w:r>
    </w:p>
    <w:p w14:paraId="7E2F4E63">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竞价通常需要看的有：</w:t>
      </w:r>
      <w:r>
        <w:rPr>
          <w:rFonts w:hint="eastAsia" w:ascii="微软雅黑" w:hAnsi="微软雅黑" w:eastAsia="微软雅黑" w:cs="微软雅黑"/>
          <w:b/>
          <w:bCs/>
          <w:spacing w:val="15"/>
          <w:sz w:val="18"/>
          <w:szCs w:val="18"/>
          <w:lang w:val="en-US" w:eastAsia="zh-CN"/>
        </w:rPr>
        <w:t>一字涨停的家数、板块核心及中军的表现、连板龙头的表现、连续下跌的龙头表现、这些核心的跟风票</w:t>
      </w:r>
      <w:r>
        <w:rPr>
          <w:rFonts w:hint="eastAsia" w:ascii="微软雅黑" w:hAnsi="微软雅黑" w:eastAsia="微软雅黑" w:cs="微软雅黑"/>
          <w:spacing w:val="15"/>
          <w:sz w:val="18"/>
          <w:szCs w:val="18"/>
          <w:lang w:val="en-US" w:eastAsia="zh-CN"/>
        </w:rPr>
        <w:t>的竞价，以及以上所有标的的竞价量能。</w:t>
      </w:r>
    </w:p>
    <w:p w14:paraId="7744BE26">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这些最主要看的内核就是</w:t>
      </w:r>
      <w:r>
        <w:rPr>
          <w:rFonts w:hint="eastAsia" w:ascii="微软雅黑" w:hAnsi="微软雅黑" w:eastAsia="微软雅黑" w:cs="微软雅黑"/>
          <w:b/>
          <w:bCs/>
          <w:spacing w:val="15"/>
          <w:sz w:val="18"/>
          <w:szCs w:val="18"/>
          <w:lang w:val="en-US" w:eastAsia="zh-CN"/>
        </w:rPr>
        <w:t>赚钱效应是否还具有赚钱效应</w:t>
      </w:r>
      <w:r>
        <w:rPr>
          <w:rFonts w:hint="eastAsia" w:ascii="微软雅黑" w:hAnsi="微软雅黑" w:eastAsia="微软雅黑" w:cs="微软雅黑"/>
          <w:spacing w:val="15"/>
          <w:sz w:val="18"/>
          <w:szCs w:val="18"/>
          <w:lang w:val="en-US" w:eastAsia="zh-CN"/>
        </w:rPr>
        <w:t>，</w:t>
      </w:r>
      <w:r>
        <w:rPr>
          <w:rFonts w:hint="eastAsia" w:ascii="微软雅黑" w:hAnsi="微软雅黑" w:eastAsia="微软雅黑" w:cs="微软雅黑"/>
          <w:b/>
          <w:bCs/>
          <w:spacing w:val="15"/>
          <w:sz w:val="18"/>
          <w:szCs w:val="18"/>
          <w:lang w:val="en-US" w:eastAsia="zh-CN"/>
        </w:rPr>
        <w:t>亏钱效应是否还具有亏钱效应</w:t>
      </w:r>
      <w:r>
        <w:rPr>
          <w:rFonts w:hint="eastAsia" w:ascii="微软雅黑" w:hAnsi="微软雅黑" w:eastAsia="微软雅黑" w:cs="微软雅黑"/>
          <w:spacing w:val="15"/>
          <w:sz w:val="18"/>
          <w:szCs w:val="18"/>
          <w:lang w:val="en-US" w:eastAsia="zh-CN"/>
        </w:rPr>
        <w:t>。</w:t>
      </w:r>
    </w:p>
    <w:p w14:paraId="47BEA7C9">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主要通过</w:t>
      </w:r>
      <w:r>
        <w:rPr>
          <w:rFonts w:hint="eastAsia" w:ascii="微软雅黑" w:hAnsi="微软雅黑" w:eastAsia="微软雅黑" w:cs="微软雅黑"/>
          <w:b w:val="0"/>
          <w:bCs w:val="0"/>
          <w:spacing w:val="15"/>
          <w:sz w:val="18"/>
          <w:szCs w:val="18"/>
          <w:lang w:val="en-US" w:eastAsia="zh-CN"/>
        </w:rPr>
        <w:t>一字涨停的家数、核心票、权重票的竞价</w:t>
      </w:r>
      <w:r>
        <w:rPr>
          <w:rFonts w:hint="eastAsia" w:ascii="微软雅黑" w:hAnsi="微软雅黑" w:eastAsia="微软雅黑" w:cs="微软雅黑"/>
          <w:spacing w:val="15"/>
          <w:sz w:val="18"/>
          <w:szCs w:val="18"/>
          <w:lang w:val="en-US" w:eastAsia="zh-CN"/>
        </w:rPr>
        <w:t>走势来看，反馈的是对于利好或者前一晚情绪的发酵情况。通常来说一个板块的核心股走势就能决定这个板块当天的走法，所以板块里中军、核心票的竞价往往很重要。</w:t>
      </w:r>
    </w:p>
    <w:p w14:paraId="424F14FA">
      <w:pPr>
        <w:ind w:firstLine="420" w:firstLineChars="200"/>
        <w:rPr>
          <w:rFonts w:hint="eastAsia" w:ascii="微软雅黑" w:hAnsi="微软雅黑" w:eastAsia="微软雅黑" w:cs="微软雅黑"/>
          <w:spacing w:val="15"/>
          <w:sz w:val="18"/>
          <w:szCs w:val="18"/>
          <w:lang w:val="en-US" w:eastAsia="zh-CN"/>
        </w:rPr>
      </w:pPr>
    </w:p>
    <w:p w14:paraId="2B15F6AE">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但是，这个还是根据个人的模式以及具体的标的来选择。</w:t>
      </w:r>
    </w:p>
    <w:p w14:paraId="557ECF3E">
      <w:pPr>
        <w:ind w:firstLine="420" w:firstLineChars="200"/>
        <w:rPr>
          <w:rFonts w:hint="eastAsia" w:ascii="微软雅黑" w:hAnsi="微软雅黑" w:eastAsia="微软雅黑" w:cs="微软雅黑"/>
          <w:spacing w:val="15"/>
          <w:sz w:val="18"/>
          <w:szCs w:val="18"/>
          <w:lang w:val="en-US" w:eastAsia="zh-CN"/>
        </w:rPr>
      </w:pPr>
    </w:p>
    <w:p w14:paraId="7683689D">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举个例子，做华为板块，那么常山的走势一定要跟踪来看，无论做哪个分支。再比如看好mate 70，选的是光弘的话，那么一定要跟踪观察的就是欧FG，以及常山和润和。</w:t>
      </w:r>
    </w:p>
    <w:p w14:paraId="160CF15F">
      <w:pPr>
        <w:ind w:firstLine="420" w:firstLineChars="200"/>
        <w:rPr>
          <w:rFonts w:hint="eastAsia" w:ascii="微软雅黑" w:hAnsi="微软雅黑" w:eastAsia="微软雅黑" w:cs="微软雅黑"/>
          <w:spacing w:val="15"/>
          <w:sz w:val="18"/>
          <w:szCs w:val="18"/>
          <w:lang w:val="en-US" w:eastAsia="zh-CN"/>
        </w:rPr>
      </w:pPr>
    </w:p>
    <w:p w14:paraId="0D1DE40F">
      <w:pPr>
        <w:ind w:firstLine="420" w:firstLineChars="200"/>
        <w:rPr>
          <w:rFonts w:hint="eastAsia" w:ascii="微软雅黑" w:hAnsi="微软雅黑" w:eastAsia="微软雅黑" w:cs="微软雅黑"/>
          <w:b/>
          <w:bCs/>
          <w:color w:val="FF0000"/>
          <w:spacing w:val="15"/>
          <w:sz w:val="18"/>
          <w:szCs w:val="18"/>
          <w:lang w:val="en-US" w:eastAsia="zh-CN"/>
        </w:rPr>
      </w:pPr>
      <w:r>
        <w:rPr>
          <w:rFonts w:hint="eastAsia" w:ascii="微软雅黑" w:hAnsi="微软雅黑" w:eastAsia="微软雅黑" w:cs="微软雅黑"/>
          <w:b/>
          <w:bCs/>
          <w:color w:val="FF0000"/>
          <w:spacing w:val="15"/>
          <w:sz w:val="18"/>
          <w:szCs w:val="18"/>
          <w:lang w:val="en-US" w:eastAsia="zh-CN"/>
        </w:rPr>
        <w:t>这就是板块核心对于个股的影响。</w:t>
      </w:r>
    </w:p>
    <w:p w14:paraId="364B5496">
      <w:pPr>
        <w:ind w:firstLine="420" w:firstLineChars="200"/>
        <w:rPr>
          <w:rFonts w:hint="eastAsia" w:ascii="微软雅黑" w:hAnsi="微软雅黑" w:eastAsia="微软雅黑" w:cs="微软雅黑"/>
          <w:spacing w:val="15"/>
          <w:sz w:val="18"/>
          <w:szCs w:val="18"/>
          <w:lang w:val="en-US" w:eastAsia="zh-CN"/>
        </w:rPr>
      </w:pPr>
    </w:p>
    <w:p w14:paraId="15498B50">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这个涉及到的就是一个板块的周期，即核心周期。</w:t>
      </w:r>
    </w:p>
    <w:p w14:paraId="48BE55F2">
      <w:pPr>
        <w:ind w:firstLine="420" w:firstLineChars="200"/>
        <w:rPr>
          <w:rFonts w:hint="default" w:ascii="微软雅黑" w:hAnsi="微软雅黑" w:eastAsia="微软雅黑" w:cs="微软雅黑"/>
          <w:spacing w:val="15"/>
          <w:sz w:val="18"/>
          <w:szCs w:val="18"/>
          <w:lang w:val="en-US" w:eastAsia="zh-CN"/>
        </w:rPr>
      </w:pPr>
      <w:r>
        <w:rPr>
          <w:rFonts w:hint="default" w:ascii="微软雅黑" w:hAnsi="微软雅黑" w:eastAsia="微软雅黑" w:cs="微软雅黑"/>
          <w:spacing w:val="15"/>
          <w:sz w:val="18"/>
          <w:szCs w:val="18"/>
          <w:lang w:val="en-US" w:eastAsia="zh-CN"/>
        </w:rPr>
        <w:t>有些题材是在某个大龙头周期里运行的，有时候很多看起来逻辑很好的票都跟着跌，其实就是这个股的跟风或者后排，始终还是在这个股的周期里，只是套上了逻辑的外衣，</w:t>
      </w:r>
      <w:r>
        <w:rPr>
          <w:rFonts w:hint="eastAsia" w:ascii="微软雅黑" w:hAnsi="微软雅黑" w:eastAsia="微软雅黑" w:cs="微软雅黑"/>
          <w:spacing w:val="15"/>
          <w:sz w:val="18"/>
          <w:szCs w:val="18"/>
          <w:lang w:val="en-US" w:eastAsia="zh-CN"/>
        </w:rPr>
        <w:t>仅此而已</w:t>
      </w:r>
      <w:r>
        <w:rPr>
          <w:rFonts w:hint="default" w:ascii="微软雅黑" w:hAnsi="微软雅黑" w:eastAsia="微软雅黑" w:cs="微软雅黑"/>
          <w:spacing w:val="15"/>
          <w:sz w:val="18"/>
          <w:szCs w:val="18"/>
          <w:lang w:val="en-US" w:eastAsia="zh-CN"/>
        </w:rPr>
        <w:t>。</w:t>
      </w:r>
    </w:p>
    <w:p w14:paraId="70BD1A8A">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就像华为板块里，当常山北明跌停那天，其实已经宣告了华为板块走完了。</w:t>
      </w:r>
    </w:p>
    <w:p w14:paraId="75ABC3D0">
      <w:pPr>
        <w:ind w:firstLine="420" w:firstLineChars="200"/>
        <w:rPr>
          <w:rFonts w:hint="eastAsia" w:ascii="微软雅黑" w:hAnsi="微软雅黑" w:eastAsia="微软雅黑" w:cs="微软雅黑"/>
          <w:spacing w:val="15"/>
          <w:sz w:val="18"/>
          <w:szCs w:val="18"/>
          <w:lang w:val="en-US" w:eastAsia="zh-CN"/>
        </w:rPr>
      </w:pPr>
    </w:p>
    <w:p w14:paraId="796852A9">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亏钱效应下，对于市场情绪的影响。</w:t>
      </w:r>
    </w:p>
    <w:p w14:paraId="11D82BAF">
      <w:r>
        <w:drawing>
          <wp:inline distT="0" distB="0" distL="114300" distR="114300">
            <wp:extent cx="2242820" cy="857250"/>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242820" cy="857250"/>
                    </a:xfrm>
                    <a:prstGeom prst="rect">
                      <a:avLst/>
                    </a:prstGeom>
                    <a:noFill/>
                    <a:ln>
                      <a:noFill/>
                    </a:ln>
                  </pic:spPr>
                </pic:pic>
              </a:graphicData>
            </a:graphic>
          </wp:inline>
        </w:drawing>
      </w:r>
    </w:p>
    <w:p w14:paraId="5E086A45">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11月14日说最差的竞价，主要原因：前一天反核的票华映、上气，11月14日【全部】再度走弱，并且比较有赚钱效应的自主可控核心长城以及卫通也直接被按。属于典型的亏钱效应加大，赚钱效应也转折。</w:t>
      </w:r>
    </w:p>
    <w:p w14:paraId="1DD567DB">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所以当主线板块出现这种情况，尤其是多个板块出现这种情况时，往往大盘会杀得非常恐怖。</w:t>
      </w:r>
    </w:p>
    <w:p w14:paraId="14CF22F4">
      <w:pPr>
        <w:ind w:firstLine="420" w:firstLineChars="200"/>
        <w:rPr>
          <w:rFonts w:hint="eastAsia" w:ascii="微软雅黑" w:hAnsi="微软雅黑" w:eastAsia="微软雅黑" w:cs="微软雅黑"/>
          <w:spacing w:val="15"/>
          <w:sz w:val="18"/>
          <w:szCs w:val="18"/>
          <w:lang w:val="en-US" w:eastAsia="zh-CN"/>
        </w:rPr>
      </w:pPr>
      <w:r>
        <w:drawing>
          <wp:inline distT="0" distB="0" distL="114300" distR="114300">
            <wp:extent cx="1623060" cy="2741930"/>
            <wp:effectExtent l="0" t="0" r="15240" b="127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1623060" cy="2741930"/>
                    </a:xfrm>
                    <a:prstGeom prst="rect">
                      <a:avLst/>
                    </a:prstGeom>
                    <a:noFill/>
                    <a:ln>
                      <a:noFill/>
                    </a:ln>
                  </pic:spPr>
                </pic:pic>
              </a:graphicData>
            </a:graphic>
          </wp:inline>
        </w:drawing>
      </w:r>
      <w:r>
        <w:drawing>
          <wp:inline distT="0" distB="0" distL="114300" distR="114300">
            <wp:extent cx="2501265" cy="1361440"/>
            <wp:effectExtent l="0" t="0" r="13335" b="1016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2"/>
                    <a:stretch>
                      <a:fillRect/>
                    </a:stretch>
                  </pic:blipFill>
                  <pic:spPr>
                    <a:xfrm>
                      <a:off x="0" y="0"/>
                      <a:ext cx="2501265" cy="1361440"/>
                    </a:xfrm>
                    <a:prstGeom prst="rect">
                      <a:avLst/>
                    </a:prstGeom>
                    <a:noFill/>
                    <a:ln>
                      <a:noFill/>
                    </a:ln>
                  </pic:spPr>
                </pic:pic>
              </a:graphicData>
            </a:graphic>
          </wp:inline>
        </w:drawing>
      </w:r>
    </w:p>
    <w:p w14:paraId="370FB2F5">
      <w:pPr>
        <w:ind w:firstLine="420" w:firstLineChars="200"/>
      </w:pPr>
      <w:r>
        <w:drawing>
          <wp:inline distT="0" distB="0" distL="114300" distR="114300">
            <wp:extent cx="2202815" cy="1814830"/>
            <wp:effectExtent l="0" t="0" r="6985" b="1397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2202815" cy="1814830"/>
                    </a:xfrm>
                    <a:prstGeom prst="rect">
                      <a:avLst/>
                    </a:prstGeom>
                    <a:noFill/>
                    <a:ln>
                      <a:noFill/>
                    </a:ln>
                  </pic:spPr>
                </pic:pic>
              </a:graphicData>
            </a:graphic>
          </wp:inline>
        </w:drawing>
      </w:r>
      <w:r>
        <w:drawing>
          <wp:inline distT="0" distB="0" distL="114300" distR="114300">
            <wp:extent cx="1962150" cy="1836420"/>
            <wp:effectExtent l="0" t="0" r="0" b="1143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4"/>
                    <a:stretch>
                      <a:fillRect/>
                    </a:stretch>
                  </pic:blipFill>
                  <pic:spPr>
                    <a:xfrm>
                      <a:off x="0" y="0"/>
                      <a:ext cx="1962150" cy="1836420"/>
                    </a:xfrm>
                    <a:prstGeom prst="rect">
                      <a:avLst/>
                    </a:prstGeom>
                    <a:noFill/>
                    <a:ln>
                      <a:noFill/>
                    </a:ln>
                  </pic:spPr>
                </pic:pic>
              </a:graphicData>
            </a:graphic>
          </wp:inline>
        </w:drawing>
      </w:r>
    </w:p>
    <w:p w14:paraId="4F4A98C9">
      <w:pPr>
        <w:rPr>
          <w:rFonts w:hint="eastAsia" w:ascii="微软雅黑" w:hAnsi="微软雅黑" w:eastAsia="微软雅黑" w:cs="微软雅黑"/>
          <w:spacing w:val="15"/>
          <w:sz w:val="18"/>
          <w:szCs w:val="18"/>
          <w:lang w:val="en-US" w:eastAsia="zh-CN"/>
        </w:rPr>
      </w:pPr>
    </w:p>
    <w:p w14:paraId="18120618">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看竞价最好的就是结合板块、整体市场氛围一起看，具体问题具体分析，如果单单看一些走势独立的个股的话，比较难判断，所以也常有竞价骗人的情况。</w:t>
      </w:r>
    </w:p>
    <w:p w14:paraId="0B10617C">
      <w:pPr>
        <w:ind w:firstLine="420" w:firstLineChars="200"/>
        <w:rPr>
          <w:rFonts w:hint="eastAsia" w:ascii="微软雅黑" w:hAnsi="微软雅黑" w:eastAsia="微软雅黑" w:cs="微软雅黑"/>
          <w:spacing w:val="15"/>
          <w:sz w:val="18"/>
          <w:szCs w:val="18"/>
          <w:lang w:val="en-US" w:eastAsia="zh-CN"/>
        </w:rPr>
      </w:pPr>
    </w:p>
    <w:p w14:paraId="7E000B9B">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个人仍然是偏向于结合板块和个股地位一起看，冷门票骗人的概率比较大。</w:t>
      </w:r>
    </w:p>
    <w:p w14:paraId="07992B88">
      <w:pPr>
        <w:ind w:firstLine="420" w:firstLineChars="200"/>
        <w:rPr>
          <w:rFonts w:hint="eastAsia" w:ascii="微软雅黑" w:hAnsi="微软雅黑" w:eastAsia="微软雅黑" w:cs="微软雅黑"/>
          <w:spacing w:val="15"/>
          <w:sz w:val="18"/>
          <w:szCs w:val="18"/>
          <w:lang w:val="en-US" w:eastAsia="zh-CN"/>
        </w:rPr>
      </w:pPr>
    </w:p>
    <w:p w14:paraId="36BFCC5A">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我自己用在业绩票上时，如果不在主线上、公司辨识度较差，即便业绩超预期，但是竞价开出来如果是低开的，基本就不会去看了。</w:t>
      </w:r>
    </w:p>
    <w:p w14:paraId="4F07FB94">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又或者说没有特别好的性价比的话，竞价开得很好，也不会去看。</w:t>
      </w:r>
    </w:p>
    <w:p w14:paraId="182BE399">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更注重逻辑、性价比、板块。</w:t>
      </w:r>
    </w:p>
    <w:p w14:paraId="02C2F0F0">
      <w:pPr>
        <w:ind w:firstLine="420" w:firstLineChars="200"/>
        <w:rPr>
          <w:rFonts w:hint="eastAsia" w:ascii="微软雅黑" w:hAnsi="微软雅黑" w:eastAsia="微软雅黑" w:cs="微软雅黑"/>
          <w:spacing w:val="15"/>
          <w:sz w:val="18"/>
          <w:szCs w:val="18"/>
          <w:lang w:val="en-US" w:eastAsia="zh-CN"/>
        </w:rPr>
      </w:pPr>
      <w:bookmarkStart w:id="0" w:name="_GoBack"/>
      <w:bookmarkEnd w:id="0"/>
    </w:p>
    <w:p w14:paraId="07E1E644">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篇幅有限，大致只能说到这里。</w:t>
      </w:r>
    </w:p>
    <w:p w14:paraId="40A6F030">
      <w:pPr>
        <w:ind w:firstLine="420" w:firstLineChars="200"/>
        <w:rPr>
          <w:rFonts w:hint="eastAsia" w:ascii="微软雅黑" w:hAnsi="微软雅黑" w:eastAsia="微软雅黑" w:cs="微软雅黑"/>
          <w:spacing w:val="15"/>
          <w:sz w:val="18"/>
          <w:szCs w:val="18"/>
          <w:lang w:val="en-US" w:eastAsia="zh-CN"/>
        </w:rPr>
      </w:pPr>
    </w:p>
    <w:p w14:paraId="57F6FE04">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color w:val="FF0000"/>
          <w:spacing w:val="15"/>
          <w:sz w:val="18"/>
          <w:szCs w:val="18"/>
          <w:lang w:val="en-US" w:eastAsia="zh-CN"/>
        </w:rPr>
        <w:t>竞价只是交易技巧之一</w:t>
      </w:r>
      <w:r>
        <w:rPr>
          <w:rFonts w:hint="eastAsia" w:ascii="微软雅黑" w:hAnsi="微软雅黑" w:eastAsia="微软雅黑" w:cs="微软雅黑"/>
          <w:spacing w:val="15"/>
          <w:sz w:val="18"/>
          <w:szCs w:val="18"/>
          <w:lang w:val="en-US" w:eastAsia="zh-CN"/>
        </w:rPr>
        <w:t>，有时候竞价很差，随后也有反核和弱转强的走法，有时候竞价很好，随后也有可能被很差的环境给带下来。</w:t>
      </w:r>
    </w:p>
    <w:p w14:paraId="395B6967">
      <w:pPr>
        <w:ind w:firstLine="420" w:firstLineChars="200"/>
        <w:rPr>
          <w:rFonts w:hint="eastAsia" w:ascii="微软雅黑" w:hAnsi="微软雅黑" w:eastAsia="微软雅黑" w:cs="微软雅黑"/>
          <w:spacing w:val="15"/>
          <w:sz w:val="18"/>
          <w:szCs w:val="18"/>
          <w:lang w:val="en-US" w:eastAsia="zh-CN"/>
        </w:rPr>
      </w:pPr>
    </w:p>
    <w:p w14:paraId="72944E91">
      <w:pPr>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竞价只能算是辅助交易，并是让人能长期必定赚钱的法宝</w:t>
      </w:r>
      <w:r>
        <w:rPr>
          <w:rFonts w:hint="eastAsia" w:ascii="微软雅黑" w:hAnsi="微软雅黑" w:eastAsia="微软雅黑" w:cs="微软雅黑"/>
          <w:spacing w:val="15"/>
          <w:sz w:val="18"/>
          <w:szCs w:val="18"/>
          <w:lang w:val="en-US" w:eastAsia="zh-CN"/>
        </w:rPr>
        <w:t>。</w:t>
      </w:r>
    </w:p>
    <w:p w14:paraId="4D0D51D8">
      <w:pPr>
        <w:ind w:firstLine="420" w:firstLineChars="200"/>
        <w:rPr>
          <w:rFonts w:hint="eastAsia" w:ascii="微软雅黑" w:hAnsi="微软雅黑" w:eastAsia="微软雅黑" w:cs="微软雅黑"/>
          <w:spacing w:val="15"/>
          <w:sz w:val="18"/>
          <w:szCs w:val="18"/>
          <w:lang w:val="en-US" w:eastAsia="zh-CN"/>
        </w:rPr>
      </w:pPr>
    </w:p>
    <w:p w14:paraId="7E5EC78F">
      <w:pPr>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专注，谦虚，跟随市场进步才是</w:t>
      </w:r>
      <w:r>
        <w:rPr>
          <w:rFonts w:hint="eastAsia" w:ascii="微软雅黑" w:hAnsi="微软雅黑" w:eastAsia="微软雅黑" w:cs="微软雅黑"/>
          <w:spacing w:val="15"/>
          <w:sz w:val="18"/>
          <w:szCs w:val="18"/>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wZDk0ODEyMmVlYmViZjQ3ZTllMzNlNWE4OTY3MjAifQ=="/>
  </w:docVars>
  <w:rsids>
    <w:rsidRoot w:val="00000000"/>
    <w:rsid w:val="179D5A6C"/>
    <w:rsid w:val="1A090D11"/>
    <w:rsid w:val="1BBF7FDB"/>
    <w:rsid w:val="255355C0"/>
    <w:rsid w:val="2C5D0049"/>
    <w:rsid w:val="439A1D36"/>
    <w:rsid w:val="481C0FDF"/>
    <w:rsid w:val="4D08202D"/>
    <w:rsid w:val="4E0C1C5E"/>
    <w:rsid w:val="4E4C6963"/>
    <w:rsid w:val="51C804DD"/>
    <w:rsid w:val="62E01882"/>
    <w:rsid w:val="6CB5629B"/>
    <w:rsid w:val="76EF6377"/>
    <w:rsid w:val="79C2103F"/>
    <w:rsid w:val="7C317D53"/>
    <w:rsid w:val="7FC26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3015</Words>
  <Characters>3295</Characters>
  <Lines>0</Lines>
  <Paragraphs>0</Paragraphs>
  <TotalTime>1</TotalTime>
  <ScaleCrop>false</ScaleCrop>
  <LinksUpToDate>false</LinksUpToDate>
  <CharactersWithSpaces>3315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2024-11-21T05:34:00Z</dcterms:created>
  <dc:creator>Asus</dc:creator>
  <cp:lastModifiedBy>大飞</cp:lastModifiedBy>
  <dcterms:modified xsi:type="dcterms:W3CDTF">2024-11-23T17:18:20Z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0CF7C442D89348EEBB17EB2AA112AA63_12</vt:lpwstr>
  </property>
</Properties>
</file>