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91387" w14:textId="77777777" w:rsidR="0005512B" w:rsidRPr="00747080" w:rsidRDefault="00877DC8">
      <w:pPr>
        <w:pStyle w:val="Ttulo"/>
        <w:rPr>
          <w:color w:val="auto"/>
        </w:rPr>
      </w:pPr>
      <w:r w:rsidRPr="00747080">
        <w:rPr>
          <w:color w:val="auto"/>
        </w:rPr>
        <w:t>Nem todo sistema precisa de um banco de dados: uma decisão arquitetural contextual</w:t>
      </w:r>
    </w:p>
    <w:p w14:paraId="31EEEC73" w14:textId="77777777" w:rsidR="0005512B" w:rsidRPr="00747080" w:rsidRDefault="00877DC8">
      <w:pPr>
        <w:pStyle w:val="Subttulo"/>
        <w:rPr>
          <w:color w:val="auto"/>
        </w:rPr>
      </w:pPr>
      <w:r w:rsidRPr="00747080">
        <w:rPr>
          <w:color w:val="auto"/>
        </w:rPr>
        <w:t>Persistência simples, trade-offs reais e quando “planilha como storage” faz sentido</w:t>
      </w:r>
    </w:p>
    <w:p w14:paraId="35F1B96A" w14:textId="77777777" w:rsidR="0005512B" w:rsidRDefault="00877DC8">
      <w:pPr>
        <w:pStyle w:val="Ttulo1"/>
      </w:pPr>
      <w:r>
        <w:t>1. Introdução — O problema antes da solução</w:t>
      </w:r>
    </w:p>
    <w:p w14:paraId="1562F5D8" w14:textId="77777777" w:rsidR="0005512B" w:rsidRDefault="00877DC8">
      <w:pPr>
        <w:rPr>
          <w:rFonts w:hint="eastAsia"/>
        </w:rPr>
      </w:pPr>
      <w:r>
        <w:t xml:space="preserve">Na prática profissional, sobretudo em </w:t>
      </w:r>
      <w:r>
        <w:t>projetos pequenos, MVPs e sistemas internos, é comum observar um padrão recorrente: a adoção de arquiteturas completas — frequentemente descritas informalmente, no meio técnico, como “canhão para matar formiga” — com backend estruturado, banco de dados tra</w:t>
      </w:r>
      <w:r>
        <w:t>nsacional, ORM, migrações e camadas adicionais, mesmo quando o problema a ser resolvido é essencialmente simples. Esse comportamento não decorre de má prática deliberada, mas frequentemente do uso acrítico de “arquiteturas de referência” replicadas sem ref</w:t>
      </w:r>
      <w:r>
        <w:t>lexão contextual.</w:t>
      </w:r>
    </w:p>
    <w:p w14:paraId="107E2D3F" w14:textId="77777777" w:rsidR="0005512B" w:rsidRDefault="00877DC8">
      <w:pPr>
        <w:rPr>
          <w:rFonts w:hint="eastAsia"/>
        </w:rPr>
      </w:pPr>
      <w:r>
        <w:t>Esse fenômeno cria uma tensão clara entre complexidade arquitetural e necessidade real. Em muitos cenários, o custo de manter infraestrutura, lidar com deploys, backups, observabilidade e governança técnica supera o valor entregue pelo si</w:t>
      </w:r>
      <w:r>
        <w:t>stema — especialmente quando os requisitos envolvem apenas persistência básica, acesso via API e baixa concorrência.</w:t>
      </w:r>
    </w:p>
    <w:p w14:paraId="539A9231" w14:textId="77777777" w:rsidR="0005512B" w:rsidRDefault="00877DC8">
      <w:pPr>
        <w:rPr>
          <w:rFonts w:hint="eastAsia"/>
        </w:rPr>
      </w:pPr>
      <w:r>
        <w:t>O ponto central deste artigo não é questionar a relevância de bancos de dados tradicionais — eles existem por razões técnicas sólidas. O qu</w:t>
      </w:r>
      <w:r>
        <w:t>e se propõe aqui é uma reflexão diferente: há contextos em que um banco de dados transacional é excesso, e em que outras formas de persistência podem atender melhor ao problema imediato.</w:t>
      </w:r>
    </w:p>
    <w:p w14:paraId="6BE74681" w14:textId="77777777" w:rsidR="0005512B" w:rsidRDefault="00877DC8">
      <w:pPr>
        <w:rPr>
          <w:rFonts w:hint="eastAsia"/>
        </w:rPr>
      </w:pPr>
      <w:r>
        <w:t>A tese defendida é a seguinte: nem todo sistema precisa nascer com um</w:t>
      </w:r>
      <w:r>
        <w:t xml:space="preserve"> banco de dados transacional tradicional. Em determinados cenários, soluções de persistência simples, orientadas a workflow humano e acessadas por API — como Google Sheets combinado com Google Apps Script — podem representar uma decisão arquitetural consci</w:t>
      </w:r>
      <w:r>
        <w:t>ente, desde que suas limitações sejam explícitas, bem delimitadas e assumidas.</w:t>
      </w:r>
    </w:p>
    <w:p w14:paraId="2288A180" w14:textId="77777777" w:rsidR="0005512B" w:rsidRDefault="00877DC8">
      <w:pPr>
        <w:pStyle w:val="Ttulo1"/>
      </w:pPr>
      <w:r>
        <w:lastRenderedPageBreak/>
        <w:t>2. Desenvolvimento — Fundamentação técnica</w:t>
      </w:r>
    </w:p>
    <w:p w14:paraId="6EA86EDC" w14:textId="77777777" w:rsidR="0005512B" w:rsidRDefault="00877DC8">
      <w:pPr>
        <w:rPr>
          <w:rFonts w:hint="eastAsia"/>
        </w:rPr>
      </w:pPr>
      <w:r>
        <w:t>Do ponto de vista da arquitetura de software, essa tese não rompe com princípios clássicos; ao contrário, está alinhada a eles. Em Arq</w:t>
      </w:r>
      <w:r>
        <w:t>uitetura Limpa, Robert C. Martin defende que mecanismos de persistência devem ser tratados como detalhes de implementação, e não como o núcleo da aplicação. A lógica de negócio deve existir independentemente da tecnologia usada para armazenar dados, permit</w:t>
      </w:r>
      <w:r>
        <w:t>indo que essa tecnologia seja substituída conforme o contexto e a maturidade do sistema.</w:t>
      </w:r>
    </w:p>
    <w:p w14:paraId="4EB1D313" w14:textId="77777777" w:rsidR="0005512B" w:rsidRDefault="00877DC8">
      <w:pPr>
        <w:rPr>
          <w:rFonts w:hint="eastAsia"/>
        </w:rPr>
      </w:pPr>
      <w:r>
        <w:t>Essa abordagem dialoga diretamente com dois princípios amplamente aceitos na engenharia de software:</w:t>
      </w:r>
    </w:p>
    <w:p w14:paraId="16FB6223" w14:textId="77777777" w:rsidR="0005512B" w:rsidRDefault="00877DC8">
      <w:pPr>
        <w:pStyle w:val="Commarcadores"/>
        <w:rPr>
          <w:rFonts w:hint="eastAsia"/>
        </w:rPr>
      </w:pPr>
      <w:r>
        <w:t>YAGNI (You Ain't Gonna Need It): não introduzir infraestrutura ant</w:t>
      </w:r>
      <w:r>
        <w:t>es que ela seja estritamente necessária.</w:t>
      </w:r>
    </w:p>
    <w:p w14:paraId="44F09136" w14:textId="77777777" w:rsidR="0005512B" w:rsidRDefault="00877DC8">
      <w:pPr>
        <w:pStyle w:val="Commarcadores"/>
        <w:rPr>
          <w:rFonts w:hint="eastAsia"/>
        </w:rPr>
      </w:pPr>
      <w:r>
        <w:t>KISS (Keep It Simple, Stupid): simplicidade como valor técnico, não como improviso.</w:t>
      </w:r>
    </w:p>
    <w:p w14:paraId="5BFF9CCE" w14:textId="77777777" w:rsidR="0005512B" w:rsidRDefault="00877DC8">
      <w:pPr>
        <w:rPr>
          <w:rFonts w:hint="eastAsia"/>
        </w:rPr>
      </w:pPr>
      <w:r>
        <w:t>Aplicados à arquitetura, esses princípios indicam que iniciar um sistema com uma infraestrutura pesada, sem necessidade concreta, p</w:t>
      </w:r>
      <w:r>
        <w:t>ode ser tão prejudicial quanto negligenciar requisitos críticos em sistemas de alta complexidade.</w:t>
      </w:r>
    </w:p>
    <w:p w14:paraId="782F8305" w14:textId="77777777" w:rsidR="0005512B" w:rsidRDefault="00877DC8">
      <w:pPr>
        <w:pStyle w:val="Ttulo2"/>
      </w:pPr>
      <w:r>
        <w:t>Persistência não é sinônimo de banco de dados</w:t>
      </w:r>
    </w:p>
    <w:p w14:paraId="51C23E24" w14:textId="77777777" w:rsidR="0005512B" w:rsidRDefault="00877DC8">
      <w:pPr>
        <w:rPr>
          <w:rFonts w:hint="eastAsia"/>
        </w:rPr>
      </w:pPr>
      <w:r>
        <w:t>Um ajuste conceitual importante precisa ser explicitado: persistência e banco de dados transacional não são term</w:t>
      </w:r>
      <w:r>
        <w:t>os equivalentes. Um banco transacional oferece garantias fortes — como controle de concorrência, integridade referencial e propriedades ACID — que são indispensáveis em muitos domínios. Já soluções como Google Sheets, quando acessadas via API, oferecem per</w:t>
      </w:r>
      <w:r>
        <w:t>sistência tabular com acesso programático, adequada apenas a determinados tipos de problema claramente restritos e bem delimitados.</w:t>
      </w:r>
    </w:p>
    <w:p w14:paraId="23D6D780" w14:textId="77777777" w:rsidR="0005512B" w:rsidRDefault="00877DC8">
      <w:pPr>
        <w:rPr>
          <w:rFonts w:hint="eastAsia"/>
        </w:rPr>
      </w:pPr>
      <w:r>
        <w:t>O argumento aqui não é de equivalência funcional, mas de adequação contextual.</w:t>
      </w:r>
    </w:p>
    <w:p w14:paraId="04161CF9" w14:textId="77777777" w:rsidR="0005512B" w:rsidRDefault="00877DC8">
      <w:pPr>
        <w:pStyle w:val="Ttulo1"/>
      </w:pPr>
      <w:r>
        <w:t>3. Prova de conceito — A arquitetura em práti</w:t>
      </w:r>
      <w:r>
        <w:t>ca</w:t>
      </w:r>
    </w:p>
    <w:p w14:paraId="5F623D45" w14:textId="77777777" w:rsidR="0005512B" w:rsidRDefault="00877DC8">
      <w:pPr>
        <w:rPr>
          <w:rFonts w:hint="eastAsia"/>
        </w:rPr>
      </w:pPr>
      <w:r>
        <w:t>Em alto nível, a arquitetura proposta é simples:</w:t>
      </w:r>
    </w:p>
    <w:p w14:paraId="56D55E7A" w14:textId="77777777" w:rsidR="0005512B" w:rsidRDefault="00877DC8">
      <w:pPr>
        <w:pStyle w:val="Commarcadores"/>
        <w:rPr>
          <w:rFonts w:hint="eastAsia"/>
        </w:rPr>
      </w:pPr>
      <w:r>
        <w:lastRenderedPageBreak/>
        <w:t>um cliente (web ou mobile) envia uma requisição HTTP</w:t>
      </w:r>
    </w:p>
    <w:p w14:paraId="52964310" w14:textId="77777777" w:rsidR="0005512B" w:rsidRDefault="00877DC8">
      <w:pPr>
        <w:pStyle w:val="Commarcadores"/>
        <w:rPr>
          <w:rFonts w:hint="eastAsia"/>
        </w:rPr>
      </w:pPr>
      <w:r>
        <w:t>uma camada de API processa regras básicas</w:t>
      </w:r>
    </w:p>
    <w:p w14:paraId="6997A75C" w14:textId="77777777" w:rsidR="0005512B" w:rsidRDefault="00877DC8">
      <w:pPr>
        <w:pStyle w:val="Commarcadores"/>
        <w:rPr>
          <w:rFonts w:hint="eastAsia"/>
        </w:rPr>
      </w:pPr>
      <w:r>
        <w:t>uma camada de persistência tabular armazena ou retorna dados</w:t>
      </w:r>
    </w:p>
    <w:p w14:paraId="79FC597F" w14:textId="77777777" w:rsidR="0005512B" w:rsidRDefault="00877DC8">
      <w:pPr>
        <w:rPr>
          <w:rFonts w:hint="eastAsia"/>
        </w:rPr>
      </w:pPr>
      <w:r>
        <w:t>Diagrama conceitual do fluxo:</w:t>
      </w:r>
    </w:p>
    <w:p w14:paraId="61025E9C" w14:textId="77777777" w:rsidR="0005512B" w:rsidRDefault="00877DC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2C67D3" wp14:editId="7997D853">
            <wp:extent cx="5040000" cy="2369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as Apps Script Flow-2026-02-02-0016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6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8214" w14:textId="77777777" w:rsidR="0005512B" w:rsidRPr="007925FD" w:rsidRDefault="00877DC8">
      <w:pPr>
        <w:pStyle w:val="Legenda"/>
        <w:jc w:val="center"/>
        <w:rPr>
          <w:rFonts w:hint="eastAsia"/>
          <w:color w:val="auto"/>
        </w:rPr>
      </w:pPr>
      <w:r w:rsidRPr="007925FD">
        <w:rPr>
          <w:color w:val="auto"/>
        </w:rPr>
        <w:t>Figura 1 — Fluxo</w:t>
      </w:r>
      <w:r w:rsidRPr="007925FD">
        <w:rPr>
          <w:color w:val="auto"/>
        </w:rPr>
        <w:t xml:space="preserve"> de requisição simples</w:t>
      </w:r>
    </w:p>
    <w:p w14:paraId="692F1952" w14:textId="77777777" w:rsidR="0005512B" w:rsidRDefault="00877DC8">
      <w:pPr>
        <w:rPr>
          <w:rFonts w:hint="eastAsia"/>
        </w:rPr>
      </w:pPr>
      <w:r>
        <w:t>O valor dessa arquitetura não está em substituir backends tradicionais, mas em reduzir fricção em contextos onde:</w:t>
      </w:r>
    </w:p>
    <w:p w14:paraId="4EEB59BF" w14:textId="77777777" w:rsidR="0005512B" w:rsidRDefault="00877DC8">
      <w:pPr>
        <w:pStyle w:val="Commarcadores"/>
        <w:rPr>
          <w:rFonts w:hint="eastAsia"/>
        </w:rPr>
      </w:pPr>
      <w:r>
        <w:t>a lógica de negócio é simples</w:t>
      </w:r>
    </w:p>
    <w:p w14:paraId="35DED100" w14:textId="77777777" w:rsidR="0005512B" w:rsidRDefault="00877DC8">
      <w:pPr>
        <w:pStyle w:val="Commarcadores"/>
        <w:rPr>
          <w:rFonts w:hint="eastAsia"/>
        </w:rPr>
      </w:pPr>
      <w:r>
        <w:t>a inspeção humana dos dados é útil</w:t>
      </w:r>
    </w:p>
    <w:p w14:paraId="4004B3F5" w14:textId="77777777" w:rsidR="0005512B" w:rsidRDefault="00877DC8">
      <w:pPr>
        <w:pStyle w:val="Commarcadores"/>
        <w:rPr>
          <w:rFonts w:hint="eastAsia"/>
        </w:rPr>
      </w:pPr>
      <w:r>
        <w:t>a escala é baixa</w:t>
      </w:r>
    </w:p>
    <w:p w14:paraId="0F78985F" w14:textId="77777777" w:rsidR="0005512B" w:rsidRDefault="00877DC8">
      <w:pPr>
        <w:pStyle w:val="Commarcadores"/>
        <w:rPr>
          <w:rFonts w:hint="eastAsia"/>
        </w:rPr>
      </w:pPr>
      <w:r>
        <w:t xml:space="preserve">o custo de manter </w:t>
      </w:r>
      <w:r>
        <w:t>infraestrutura é desproporcional</w:t>
      </w:r>
    </w:p>
    <w:p w14:paraId="207A2A3D" w14:textId="77777777" w:rsidR="0005512B" w:rsidRDefault="00877DC8">
      <w:pPr>
        <w:pStyle w:val="Ttulo1"/>
      </w:pPr>
      <w:r>
        <w:t>4. Exemplo mínimo — API simplificada (exemplo deliberadamente didático)</w:t>
      </w:r>
    </w:p>
    <w:p w14:paraId="09B322B5" w14:textId="77777777" w:rsidR="0005512B" w:rsidRDefault="00877DC8">
      <w:pPr>
        <w:rPr>
          <w:rFonts w:hint="eastAsia"/>
        </w:rPr>
      </w:pPr>
      <w:r>
        <w:t>O trecho abaixo ilustra o mecanismo, não uma implementação de produção:</w:t>
      </w:r>
    </w:p>
    <w:p w14:paraId="3847243D" w14:textId="77777777" w:rsidR="0005512B" w:rsidRDefault="00877DC8" w:rsidP="007925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1E1E1E"/>
        <w:spacing w:after="240" w:line="240" w:lineRule="auto"/>
        <w:ind w:left="120" w:right="120"/>
        <w:jc w:val="left"/>
        <w:rPr>
          <w:rFonts w:hint="eastAsia"/>
        </w:rPr>
      </w:pPr>
      <w:r>
        <w:rPr>
          <w:rFonts w:ascii="Consolas" w:hAnsi="Consolas"/>
          <w:color w:val="569CD6"/>
          <w:sz w:val="20"/>
        </w:rPr>
        <w:t>function</w:t>
      </w:r>
      <w:r>
        <w:rPr>
          <w:rFonts w:ascii="Consolas" w:hAnsi="Consolas"/>
          <w:color w:val="D4D4D4"/>
          <w:sz w:val="20"/>
        </w:rPr>
        <w:t xml:space="preserve"> </w:t>
      </w:r>
      <w:r>
        <w:rPr>
          <w:rFonts w:ascii="Consolas" w:hAnsi="Consolas"/>
          <w:color w:val="DCDCAA"/>
          <w:sz w:val="20"/>
        </w:rPr>
        <w:t>doPost</w:t>
      </w:r>
      <w:r>
        <w:rPr>
          <w:rFonts w:ascii="Consolas" w:hAnsi="Consolas"/>
          <w:color w:val="D4D4D4"/>
          <w:sz w:val="20"/>
        </w:rPr>
        <w:t>(</w:t>
      </w:r>
      <w:r>
        <w:rPr>
          <w:rFonts w:ascii="Consolas" w:hAnsi="Consolas"/>
          <w:color w:val="9CDCFE"/>
          <w:sz w:val="20"/>
        </w:rPr>
        <w:t>e</w:t>
      </w:r>
      <w:r>
        <w:rPr>
          <w:rFonts w:ascii="Consolas" w:hAnsi="Consolas"/>
          <w:color w:val="D4D4D4"/>
          <w:sz w:val="20"/>
        </w:rPr>
        <w:t>) {</w:t>
      </w:r>
      <w:r>
        <w:rPr>
          <w:rFonts w:ascii="Consolas" w:hAnsi="Consolas"/>
          <w:color w:val="D4D4D4"/>
          <w:sz w:val="20"/>
        </w:rPr>
        <w:br/>
        <w:t xml:space="preserve">  </w:t>
      </w:r>
      <w:r>
        <w:rPr>
          <w:rFonts w:ascii="Consolas" w:hAnsi="Consolas"/>
          <w:color w:val="569CD6"/>
          <w:sz w:val="20"/>
        </w:rPr>
        <w:t>const</w:t>
      </w:r>
      <w:r>
        <w:rPr>
          <w:rFonts w:ascii="Consolas" w:hAnsi="Consolas"/>
          <w:color w:val="D4D4D4"/>
          <w:sz w:val="20"/>
        </w:rPr>
        <w:t xml:space="preserve"> </w:t>
      </w:r>
      <w:r>
        <w:rPr>
          <w:rFonts w:ascii="Consolas" w:hAnsi="Consolas"/>
          <w:color w:val="9CDCFE"/>
          <w:sz w:val="20"/>
        </w:rPr>
        <w:t>API_TOKEN</w:t>
      </w:r>
      <w:r>
        <w:rPr>
          <w:rFonts w:ascii="Consolas" w:hAnsi="Consolas"/>
          <w:color w:val="D4D4D4"/>
          <w:sz w:val="20"/>
        </w:rPr>
        <w:t xml:space="preserve"> = </w:t>
      </w:r>
      <w:r>
        <w:rPr>
          <w:rFonts w:ascii="Consolas" w:hAnsi="Consolas"/>
          <w:color w:val="CE9178"/>
          <w:sz w:val="20"/>
        </w:rPr>
        <w:t>'MEU_TOKEN_SECRETO'</w:t>
      </w:r>
      <w:r>
        <w:rPr>
          <w:rFonts w:ascii="Consolas" w:hAnsi="Consolas"/>
          <w:color w:val="D4D4D4"/>
          <w:sz w:val="20"/>
        </w:rPr>
        <w:t>;</w:t>
      </w:r>
      <w:r>
        <w:rPr>
          <w:rFonts w:ascii="Consolas" w:hAnsi="Consolas"/>
          <w:color w:val="D4D4D4"/>
          <w:sz w:val="20"/>
        </w:rPr>
        <w:br/>
      </w:r>
      <w:r>
        <w:rPr>
          <w:rFonts w:ascii="Consolas" w:hAnsi="Consolas"/>
          <w:color w:val="D4D4D4"/>
          <w:sz w:val="20"/>
        </w:rPr>
        <w:br/>
        <w:t xml:space="preserve">  </w:t>
      </w:r>
      <w:r>
        <w:rPr>
          <w:rFonts w:ascii="Consolas" w:hAnsi="Consolas"/>
          <w:color w:val="569CD6"/>
          <w:sz w:val="20"/>
        </w:rPr>
        <w:t>if</w:t>
      </w:r>
      <w:r>
        <w:rPr>
          <w:rFonts w:ascii="Consolas" w:hAnsi="Consolas"/>
          <w:color w:val="D4D4D4"/>
          <w:sz w:val="20"/>
        </w:rPr>
        <w:t xml:space="preserve"> (</w:t>
      </w:r>
      <w:r>
        <w:rPr>
          <w:rFonts w:ascii="Consolas" w:hAnsi="Consolas"/>
          <w:color w:val="9CDCFE"/>
          <w:sz w:val="20"/>
        </w:rPr>
        <w:t>e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9CDCFE"/>
          <w:sz w:val="20"/>
        </w:rPr>
        <w:t>parameter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9CDCFE"/>
          <w:sz w:val="20"/>
        </w:rPr>
        <w:t>token</w:t>
      </w:r>
      <w:r>
        <w:rPr>
          <w:rFonts w:ascii="Consolas" w:hAnsi="Consolas"/>
          <w:color w:val="D4D4D4"/>
          <w:sz w:val="20"/>
        </w:rPr>
        <w:t xml:space="preserve"> !== </w:t>
      </w:r>
      <w:r>
        <w:rPr>
          <w:rFonts w:ascii="Consolas" w:hAnsi="Consolas"/>
          <w:color w:val="9CDCFE"/>
          <w:sz w:val="20"/>
        </w:rPr>
        <w:t>API_TOKEN</w:t>
      </w:r>
      <w:r>
        <w:rPr>
          <w:rFonts w:ascii="Consolas" w:hAnsi="Consolas"/>
          <w:color w:val="D4D4D4"/>
          <w:sz w:val="20"/>
        </w:rPr>
        <w:t>) {</w:t>
      </w:r>
      <w:r>
        <w:rPr>
          <w:rFonts w:ascii="Consolas" w:hAnsi="Consolas"/>
          <w:color w:val="D4D4D4"/>
          <w:sz w:val="20"/>
        </w:rPr>
        <w:br/>
        <w:t xml:space="preserve">    </w:t>
      </w:r>
      <w:r>
        <w:rPr>
          <w:rFonts w:ascii="Consolas" w:hAnsi="Consolas"/>
          <w:color w:val="569CD6"/>
          <w:sz w:val="20"/>
        </w:rPr>
        <w:t>return</w:t>
      </w:r>
      <w:r>
        <w:rPr>
          <w:rFonts w:ascii="Consolas" w:hAnsi="Consolas"/>
          <w:color w:val="D4D4D4"/>
          <w:sz w:val="20"/>
        </w:rPr>
        <w:t xml:space="preserve"> </w:t>
      </w:r>
      <w:r>
        <w:rPr>
          <w:rFonts w:ascii="Consolas" w:hAnsi="Consolas"/>
          <w:color w:val="4EC9B0"/>
          <w:sz w:val="20"/>
        </w:rPr>
        <w:t>ContentService</w:t>
      </w:r>
      <w:r>
        <w:rPr>
          <w:rFonts w:ascii="Consolas" w:hAnsi="Consolas"/>
          <w:color w:val="D4D4D4"/>
          <w:sz w:val="20"/>
        </w:rPr>
        <w:br/>
        <w:t xml:space="preserve">      .</w:t>
      </w:r>
      <w:r>
        <w:rPr>
          <w:rFonts w:ascii="Consolas" w:hAnsi="Consolas"/>
          <w:color w:val="DCDCAA"/>
          <w:sz w:val="20"/>
        </w:rPr>
        <w:t>createTextOutput</w:t>
      </w:r>
      <w:r>
        <w:rPr>
          <w:rFonts w:ascii="Consolas" w:hAnsi="Consolas"/>
          <w:color w:val="D4D4D4"/>
          <w:sz w:val="20"/>
        </w:rPr>
        <w:t>(</w:t>
      </w:r>
      <w:r>
        <w:rPr>
          <w:rFonts w:ascii="Consolas" w:hAnsi="Consolas"/>
          <w:color w:val="4EC9B0"/>
          <w:sz w:val="20"/>
        </w:rPr>
        <w:t>JSON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DCDCAA"/>
          <w:sz w:val="20"/>
        </w:rPr>
        <w:t>stringify</w:t>
      </w:r>
      <w:r>
        <w:rPr>
          <w:rFonts w:ascii="Consolas" w:hAnsi="Consolas"/>
          <w:color w:val="D4D4D4"/>
          <w:sz w:val="20"/>
        </w:rPr>
        <w:t xml:space="preserve">({ </w:t>
      </w:r>
      <w:r>
        <w:rPr>
          <w:rFonts w:ascii="Consolas" w:hAnsi="Consolas"/>
          <w:color w:val="9CDCFE"/>
          <w:sz w:val="20"/>
        </w:rPr>
        <w:t>error</w:t>
      </w:r>
      <w:r>
        <w:rPr>
          <w:rFonts w:ascii="Consolas" w:hAnsi="Consolas"/>
          <w:color w:val="D4D4D4"/>
          <w:sz w:val="20"/>
        </w:rPr>
        <w:t xml:space="preserve">: </w:t>
      </w:r>
      <w:r>
        <w:rPr>
          <w:rFonts w:ascii="Consolas" w:hAnsi="Consolas"/>
          <w:color w:val="CE9178"/>
          <w:sz w:val="20"/>
        </w:rPr>
        <w:t>'Unauthorized'</w:t>
      </w:r>
      <w:r>
        <w:rPr>
          <w:rFonts w:ascii="Consolas" w:hAnsi="Consolas"/>
          <w:color w:val="D4D4D4"/>
          <w:sz w:val="20"/>
        </w:rPr>
        <w:t xml:space="preserve"> }))</w:t>
      </w:r>
      <w:r>
        <w:rPr>
          <w:rFonts w:ascii="Consolas" w:hAnsi="Consolas"/>
          <w:color w:val="D4D4D4"/>
          <w:sz w:val="20"/>
        </w:rPr>
        <w:br/>
      </w:r>
      <w:r>
        <w:rPr>
          <w:rFonts w:ascii="Consolas" w:hAnsi="Consolas"/>
          <w:color w:val="D4D4D4"/>
          <w:sz w:val="20"/>
        </w:rPr>
        <w:lastRenderedPageBreak/>
        <w:t xml:space="preserve">      .</w:t>
      </w:r>
      <w:r>
        <w:rPr>
          <w:rFonts w:ascii="Consolas" w:hAnsi="Consolas"/>
          <w:color w:val="DCDCAA"/>
          <w:sz w:val="20"/>
        </w:rPr>
        <w:t>setMimeType</w:t>
      </w:r>
      <w:r>
        <w:rPr>
          <w:rFonts w:ascii="Consolas" w:hAnsi="Consolas"/>
          <w:color w:val="D4D4D4"/>
          <w:sz w:val="20"/>
        </w:rPr>
        <w:t>(</w:t>
      </w:r>
      <w:r>
        <w:rPr>
          <w:rFonts w:ascii="Consolas" w:hAnsi="Consolas"/>
          <w:color w:val="4EC9B0"/>
          <w:sz w:val="20"/>
        </w:rPr>
        <w:t>ContentService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9CDCFE"/>
          <w:sz w:val="20"/>
        </w:rPr>
        <w:t>MimeType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9CDCFE"/>
          <w:sz w:val="20"/>
        </w:rPr>
        <w:t>JSON</w:t>
      </w:r>
      <w:r>
        <w:rPr>
          <w:rFonts w:ascii="Consolas" w:hAnsi="Consolas"/>
          <w:color w:val="D4D4D4"/>
          <w:sz w:val="20"/>
        </w:rPr>
        <w:t>);</w:t>
      </w:r>
      <w:r>
        <w:rPr>
          <w:rFonts w:ascii="Consolas" w:hAnsi="Consolas"/>
          <w:color w:val="D4D4D4"/>
          <w:sz w:val="20"/>
        </w:rPr>
        <w:br/>
        <w:t xml:space="preserve">  }</w:t>
      </w:r>
      <w:r>
        <w:rPr>
          <w:rFonts w:ascii="Consolas" w:hAnsi="Consolas"/>
          <w:color w:val="D4D4D4"/>
          <w:sz w:val="20"/>
        </w:rPr>
        <w:br/>
      </w:r>
      <w:r>
        <w:rPr>
          <w:rFonts w:ascii="Consolas" w:hAnsi="Consolas"/>
          <w:color w:val="D4D4D4"/>
          <w:sz w:val="20"/>
        </w:rPr>
        <w:br/>
        <w:t xml:space="preserve">  </w:t>
      </w:r>
      <w:r>
        <w:rPr>
          <w:rFonts w:ascii="Consolas" w:hAnsi="Consolas"/>
          <w:color w:val="569CD6"/>
          <w:sz w:val="20"/>
        </w:rPr>
        <w:t>const</w:t>
      </w:r>
      <w:r>
        <w:rPr>
          <w:rFonts w:ascii="Consolas" w:hAnsi="Consolas"/>
          <w:color w:val="D4D4D4"/>
          <w:sz w:val="20"/>
        </w:rPr>
        <w:t xml:space="preserve"> </w:t>
      </w:r>
      <w:r>
        <w:rPr>
          <w:rFonts w:ascii="Consolas" w:hAnsi="Consolas"/>
          <w:color w:val="9CDCFE"/>
          <w:sz w:val="20"/>
        </w:rPr>
        <w:t>sheet</w:t>
      </w:r>
      <w:r>
        <w:rPr>
          <w:rFonts w:ascii="Consolas" w:hAnsi="Consolas"/>
          <w:color w:val="D4D4D4"/>
          <w:sz w:val="20"/>
        </w:rPr>
        <w:t xml:space="preserve"> = </w:t>
      </w:r>
      <w:r>
        <w:rPr>
          <w:rFonts w:ascii="Consolas" w:hAnsi="Consolas"/>
          <w:color w:val="4EC9B0"/>
          <w:sz w:val="20"/>
        </w:rPr>
        <w:t>SpreadsheetApp</w:t>
      </w:r>
      <w:r>
        <w:rPr>
          <w:rFonts w:ascii="Consolas" w:hAnsi="Consolas"/>
          <w:color w:val="D4D4D4"/>
          <w:sz w:val="20"/>
        </w:rPr>
        <w:br/>
        <w:t xml:space="preserve">    .</w:t>
      </w:r>
      <w:r>
        <w:rPr>
          <w:rFonts w:ascii="Consolas" w:hAnsi="Consolas"/>
          <w:color w:val="DCDCAA"/>
          <w:sz w:val="20"/>
        </w:rPr>
        <w:t>openById</w:t>
      </w:r>
      <w:r>
        <w:rPr>
          <w:rFonts w:ascii="Consolas" w:hAnsi="Consolas"/>
          <w:color w:val="D4D4D4"/>
          <w:sz w:val="20"/>
        </w:rPr>
        <w:t>(</w:t>
      </w:r>
      <w:r>
        <w:rPr>
          <w:rFonts w:ascii="Consolas" w:hAnsi="Consolas"/>
          <w:color w:val="CE9178"/>
          <w:sz w:val="20"/>
        </w:rPr>
        <w:t>'SPREADSHEET_ID'</w:t>
      </w:r>
      <w:r>
        <w:rPr>
          <w:rFonts w:ascii="Consolas" w:hAnsi="Consolas"/>
          <w:color w:val="D4D4D4"/>
          <w:sz w:val="20"/>
        </w:rPr>
        <w:t>)</w:t>
      </w:r>
      <w:r>
        <w:rPr>
          <w:rFonts w:ascii="Consolas" w:hAnsi="Consolas"/>
          <w:color w:val="D4D4D4"/>
          <w:sz w:val="20"/>
        </w:rPr>
        <w:br/>
        <w:t xml:space="preserve">    .</w:t>
      </w:r>
      <w:r>
        <w:rPr>
          <w:rFonts w:ascii="Consolas" w:hAnsi="Consolas"/>
          <w:color w:val="DCDCAA"/>
          <w:sz w:val="20"/>
        </w:rPr>
        <w:t>getShee</w:t>
      </w:r>
      <w:r>
        <w:rPr>
          <w:rFonts w:ascii="Consolas" w:hAnsi="Consolas"/>
          <w:color w:val="DCDCAA"/>
          <w:sz w:val="20"/>
        </w:rPr>
        <w:t>tByName</w:t>
      </w:r>
      <w:r>
        <w:rPr>
          <w:rFonts w:ascii="Consolas" w:hAnsi="Consolas"/>
          <w:color w:val="D4D4D4"/>
          <w:sz w:val="20"/>
        </w:rPr>
        <w:t>(</w:t>
      </w:r>
      <w:r>
        <w:rPr>
          <w:rFonts w:ascii="Consolas" w:hAnsi="Consolas"/>
          <w:color w:val="CE9178"/>
          <w:sz w:val="20"/>
        </w:rPr>
        <w:t>'dados'</w:t>
      </w:r>
      <w:r>
        <w:rPr>
          <w:rFonts w:ascii="Consolas" w:hAnsi="Consolas"/>
          <w:color w:val="D4D4D4"/>
          <w:sz w:val="20"/>
        </w:rPr>
        <w:t>);</w:t>
      </w:r>
      <w:r>
        <w:rPr>
          <w:rFonts w:ascii="Consolas" w:hAnsi="Consolas"/>
          <w:color w:val="D4D4D4"/>
          <w:sz w:val="20"/>
        </w:rPr>
        <w:br/>
      </w:r>
      <w:r>
        <w:rPr>
          <w:rFonts w:ascii="Consolas" w:hAnsi="Consolas"/>
          <w:color w:val="D4D4D4"/>
          <w:sz w:val="20"/>
        </w:rPr>
        <w:br/>
        <w:t xml:space="preserve">  </w:t>
      </w:r>
      <w:r>
        <w:rPr>
          <w:rFonts w:ascii="Consolas" w:hAnsi="Consolas"/>
          <w:color w:val="569CD6"/>
          <w:sz w:val="20"/>
        </w:rPr>
        <w:t>const</w:t>
      </w:r>
      <w:r>
        <w:rPr>
          <w:rFonts w:ascii="Consolas" w:hAnsi="Consolas"/>
          <w:color w:val="D4D4D4"/>
          <w:sz w:val="20"/>
        </w:rPr>
        <w:t xml:space="preserve"> </w:t>
      </w:r>
      <w:r>
        <w:rPr>
          <w:rFonts w:ascii="Consolas" w:hAnsi="Consolas"/>
          <w:color w:val="9CDCFE"/>
          <w:sz w:val="20"/>
        </w:rPr>
        <w:t>body</w:t>
      </w:r>
      <w:r>
        <w:rPr>
          <w:rFonts w:ascii="Consolas" w:hAnsi="Consolas"/>
          <w:color w:val="D4D4D4"/>
          <w:sz w:val="20"/>
        </w:rPr>
        <w:t xml:space="preserve"> = </w:t>
      </w:r>
      <w:r>
        <w:rPr>
          <w:rFonts w:ascii="Consolas" w:hAnsi="Consolas"/>
          <w:color w:val="4EC9B0"/>
          <w:sz w:val="20"/>
        </w:rPr>
        <w:t>JSON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DCDCAA"/>
          <w:sz w:val="20"/>
        </w:rPr>
        <w:t>parse</w:t>
      </w:r>
      <w:r>
        <w:rPr>
          <w:rFonts w:ascii="Consolas" w:hAnsi="Consolas"/>
          <w:color w:val="D4D4D4"/>
          <w:sz w:val="20"/>
        </w:rPr>
        <w:t>(</w:t>
      </w:r>
      <w:r>
        <w:rPr>
          <w:rFonts w:ascii="Consolas" w:hAnsi="Consolas"/>
          <w:color w:val="9CDCFE"/>
          <w:sz w:val="20"/>
        </w:rPr>
        <w:t>e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9CDCFE"/>
          <w:sz w:val="20"/>
        </w:rPr>
        <w:t>postData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9CDCFE"/>
          <w:sz w:val="20"/>
        </w:rPr>
        <w:t>contents</w:t>
      </w:r>
      <w:r>
        <w:rPr>
          <w:rFonts w:ascii="Consolas" w:hAnsi="Consolas"/>
          <w:color w:val="D4D4D4"/>
          <w:sz w:val="20"/>
        </w:rPr>
        <w:t>);</w:t>
      </w:r>
      <w:r>
        <w:rPr>
          <w:rFonts w:ascii="Consolas" w:hAnsi="Consolas"/>
          <w:color w:val="D4D4D4"/>
          <w:sz w:val="20"/>
        </w:rPr>
        <w:br/>
        <w:t xml:space="preserve">  </w:t>
      </w:r>
      <w:r>
        <w:rPr>
          <w:rFonts w:ascii="Consolas" w:hAnsi="Consolas"/>
          <w:color w:val="9CDCFE"/>
          <w:sz w:val="20"/>
        </w:rPr>
        <w:t>sheet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DCDCAA"/>
          <w:sz w:val="20"/>
        </w:rPr>
        <w:t>appendRow</w:t>
      </w:r>
      <w:r>
        <w:rPr>
          <w:rFonts w:ascii="Consolas" w:hAnsi="Consolas"/>
          <w:color w:val="D4D4D4"/>
          <w:sz w:val="20"/>
        </w:rPr>
        <w:t>([</w:t>
      </w:r>
      <w:r>
        <w:rPr>
          <w:rFonts w:ascii="Consolas" w:hAnsi="Consolas"/>
          <w:color w:val="569CD6"/>
          <w:sz w:val="20"/>
        </w:rPr>
        <w:t>new</w:t>
      </w:r>
      <w:r>
        <w:rPr>
          <w:rFonts w:ascii="Consolas" w:hAnsi="Consolas"/>
          <w:color w:val="D4D4D4"/>
          <w:sz w:val="20"/>
        </w:rPr>
        <w:t xml:space="preserve"> </w:t>
      </w:r>
      <w:r>
        <w:rPr>
          <w:rFonts w:ascii="Consolas" w:hAnsi="Consolas"/>
          <w:color w:val="4EC9B0"/>
          <w:sz w:val="20"/>
        </w:rPr>
        <w:t>Date</w:t>
      </w:r>
      <w:r>
        <w:rPr>
          <w:rFonts w:ascii="Consolas" w:hAnsi="Consolas"/>
          <w:color w:val="D4D4D4"/>
          <w:sz w:val="20"/>
        </w:rPr>
        <w:t xml:space="preserve">(), </w:t>
      </w:r>
      <w:r>
        <w:rPr>
          <w:rFonts w:ascii="Consolas" w:hAnsi="Consolas"/>
          <w:color w:val="9CDCFE"/>
          <w:sz w:val="20"/>
        </w:rPr>
        <w:t>body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9CDCFE"/>
          <w:sz w:val="20"/>
        </w:rPr>
        <w:t>nome</w:t>
      </w:r>
      <w:r>
        <w:rPr>
          <w:rFonts w:ascii="Consolas" w:hAnsi="Consolas"/>
          <w:color w:val="D4D4D4"/>
          <w:sz w:val="20"/>
        </w:rPr>
        <w:t xml:space="preserve">, </w:t>
      </w:r>
      <w:r>
        <w:rPr>
          <w:rFonts w:ascii="Consolas" w:hAnsi="Consolas"/>
          <w:color w:val="9CDCFE"/>
          <w:sz w:val="20"/>
        </w:rPr>
        <w:t>body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9CDCFE"/>
          <w:sz w:val="20"/>
        </w:rPr>
        <w:t>email</w:t>
      </w:r>
      <w:r>
        <w:rPr>
          <w:rFonts w:ascii="Consolas" w:hAnsi="Consolas"/>
          <w:color w:val="D4D4D4"/>
          <w:sz w:val="20"/>
        </w:rPr>
        <w:t>]);</w:t>
      </w:r>
      <w:r>
        <w:rPr>
          <w:rFonts w:ascii="Consolas" w:hAnsi="Consolas"/>
          <w:color w:val="D4D4D4"/>
          <w:sz w:val="20"/>
        </w:rPr>
        <w:br/>
      </w:r>
      <w:r>
        <w:rPr>
          <w:rFonts w:ascii="Consolas" w:hAnsi="Consolas"/>
          <w:color w:val="D4D4D4"/>
          <w:sz w:val="20"/>
        </w:rPr>
        <w:br/>
        <w:t xml:space="preserve">  </w:t>
      </w:r>
      <w:r>
        <w:rPr>
          <w:rFonts w:ascii="Consolas" w:hAnsi="Consolas"/>
          <w:color w:val="569CD6"/>
          <w:sz w:val="20"/>
        </w:rPr>
        <w:t>return</w:t>
      </w:r>
      <w:r>
        <w:rPr>
          <w:rFonts w:ascii="Consolas" w:hAnsi="Consolas"/>
          <w:color w:val="D4D4D4"/>
          <w:sz w:val="20"/>
        </w:rPr>
        <w:t xml:space="preserve"> </w:t>
      </w:r>
      <w:r>
        <w:rPr>
          <w:rFonts w:ascii="Consolas" w:hAnsi="Consolas"/>
          <w:color w:val="4EC9B0"/>
          <w:sz w:val="20"/>
        </w:rPr>
        <w:t>ContentService</w:t>
      </w:r>
      <w:r>
        <w:rPr>
          <w:rFonts w:ascii="Consolas" w:hAnsi="Consolas"/>
          <w:color w:val="D4D4D4"/>
          <w:sz w:val="20"/>
        </w:rPr>
        <w:br/>
        <w:t xml:space="preserve">    .</w:t>
      </w:r>
      <w:r>
        <w:rPr>
          <w:rFonts w:ascii="Consolas" w:hAnsi="Consolas"/>
          <w:color w:val="DCDCAA"/>
          <w:sz w:val="20"/>
        </w:rPr>
        <w:t>createTextOutput</w:t>
      </w:r>
      <w:r>
        <w:rPr>
          <w:rFonts w:ascii="Consolas" w:hAnsi="Consolas"/>
          <w:color w:val="D4D4D4"/>
          <w:sz w:val="20"/>
        </w:rPr>
        <w:t>(</w:t>
      </w:r>
      <w:r>
        <w:rPr>
          <w:rFonts w:ascii="Consolas" w:hAnsi="Consolas"/>
          <w:color w:val="4EC9B0"/>
          <w:sz w:val="20"/>
        </w:rPr>
        <w:t>JSON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DCDCAA"/>
          <w:sz w:val="20"/>
        </w:rPr>
        <w:t>stringify</w:t>
      </w:r>
      <w:r>
        <w:rPr>
          <w:rFonts w:ascii="Consolas" w:hAnsi="Consolas"/>
          <w:color w:val="D4D4D4"/>
          <w:sz w:val="20"/>
        </w:rPr>
        <w:t xml:space="preserve">({ </w:t>
      </w:r>
      <w:r>
        <w:rPr>
          <w:rFonts w:ascii="Consolas" w:hAnsi="Consolas"/>
          <w:color w:val="9CDCFE"/>
          <w:sz w:val="20"/>
        </w:rPr>
        <w:t>status</w:t>
      </w:r>
      <w:r>
        <w:rPr>
          <w:rFonts w:ascii="Consolas" w:hAnsi="Consolas"/>
          <w:color w:val="D4D4D4"/>
          <w:sz w:val="20"/>
        </w:rPr>
        <w:t xml:space="preserve">: </w:t>
      </w:r>
      <w:r>
        <w:rPr>
          <w:rFonts w:ascii="Consolas" w:hAnsi="Consolas"/>
          <w:color w:val="CE9178"/>
          <w:sz w:val="20"/>
        </w:rPr>
        <w:t>'ok'</w:t>
      </w:r>
      <w:r>
        <w:rPr>
          <w:rFonts w:ascii="Consolas" w:hAnsi="Consolas"/>
          <w:color w:val="D4D4D4"/>
          <w:sz w:val="20"/>
        </w:rPr>
        <w:t xml:space="preserve"> }))</w:t>
      </w:r>
      <w:r>
        <w:rPr>
          <w:rFonts w:ascii="Consolas" w:hAnsi="Consolas"/>
          <w:color w:val="D4D4D4"/>
          <w:sz w:val="20"/>
        </w:rPr>
        <w:br/>
        <w:t xml:space="preserve">    .</w:t>
      </w:r>
      <w:r>
        <w:rPr>
          <w:rFonts w:ascii="Consolas" w:hAnsi="Consolas"/>
          <w:color w:val="DCDCAA"/>
          <w:sz w:val="20"/>
        </w:rPr>
        <w:t>setMimeType</w:t>
      </w:r>
      <w:r>
        <w:rPr>
          <w:rFonts w:ascii="Consolas" w:hAnsi="Consolas"/>
          <w:color w:val="D4D4D4"/>
          <w:sz w:val="20"/>
        </w:rPr>
        <w:t>(</w:t>
      </w:r>
      <w:r>
        <w:rPr>
          <w:rFonts w:ascii="Consolas" w:hAnsi="Consolas"/>
          <w:color w:val="4EC9B0"/>
          <w:sz w:val="20"/>
        </w:rPr>
        <w:t>ContentService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9CDCFE"/>
          <w:sz w:val="20"/>
        </w:rPr>
        <w:t>MimeType</w:t>
      </w:r>
      <w:r>
        <w:rPr>
          <w:rFonts w:ascii="Consolas" w:hAnsi="Consolas"/>
          <w:color w:val="D4D4D4"/>
          <w:sz w:val="20"/>
        </w:rPr>
        <w:t>.</w:t>
      </w:r>
      <w:r>
        <w:rPr>
          <w:rFonts w:ascii="Consolas" w:hAnsi="Consolas"/>
          <w:color w:val="9CDCFE"/>
          <w:sz w:val="20"/>
        </w:rPr>
        <w:t>JSON</w:t>
      </w:r>
      <w:r>
        <w:rPr>
          <w:rFonts w:ascii="Consolas" w:hAnsi="Consolas"/>
          <w:color w:val="D4D4D4"/>
          <w:sz w:val="20"/>
        </w:rPr>
        <w:t>);</w:t>
      </w:r>
      <w:r>
        <w:rPr>
          <w:rFonts w:ascii="Consolas" w:hAnsi="Consolas"/>
          <w:color w:val="D4D4D4"/>
          <w:sz w:val="20"/>
        </w:rPr>
        <w:br/>
        <w:t>}</w:t>
      </w:r>
    </w:p>
    <w:p w14:paraId="1C4611A1" w14:textId="77777777" w:rsidR="0005512B" w:rsidRDefault="00877DC8">
      <w:pPr>
        <w:rPr>
          <w:rFonts w:hint="eastAsia"/>
        </w:rPr>
      </w:pPr>
      <w:r>
        <w:t>Esse exemplo existe para demonstrar:</w:t>
      </w:r>
    </w:p>
    <w:p w14:paraId="471EFC52" w14:textId="77777777" w:rsidR="0005512B" w:rsidRDefault="00877DC8">
      <w:pPr>
        <w:pStyle w:val="Commarcadores"/>
        <w:rPr>
          <w:rFonts w:hint="eastAsia"/>
        </w:rPr>
      </w:pPr>
      <w:r>
        <w:t>acesso HTTP</w:t>
      </w:r>
    </w:p>
    <w:p w14:paraId="0AC29D6D" w14:textId="77777777" w:rsidR="0005512B" w:rsidRDefault="00877DC8">
      <w:pPr>
        <w:pStyle w:val="Commarcadores"/>
        <w:rPr>
          <w:rFonts w:hint="eastAsia"/>
        </w:rPr>
      </w:pPr>
      <w:r>
        <w:t>validação mínima</w:t>
      </w:r>
    </w:p>
    <w:p w14:paraId="671E0496" w14:textId="77777777" w:rsidR="0005512B" w:rsidRDefault="00877DC8">
      <w:pPr>
        <w:pStyle w:val="Commarcadores"/>
        <w:rPr>
          <w:rFonts w:hint="eastAsia"/>
        </w:rPr>
      </w:pPr>
      <w:r>
        <w:t>separação entre lógica e persistência</w:t>
      </w:r>
    </w:p>
    <w:p w14:paraId="05A2CBDB" w14:textId="77777777" w:rsidR="0005512B" w:rsidRDefault="00877DC8">
      <w:pPr>
        <w:pStyle w:val="Commarcadores"/>
        <w:rPr>
          <w:rFonts w:hint="eastAsia"/>
        </w:rPr>
      </w:pPr>
      <w:r>
        <w:t>viabilidade técnica da abordagem</w:t>
      </w:r>
    </w:p>
    <w:p w14:paraId="51735079" w14:textId="77777777" w:rsidR="0005512B" w:rsidRDefault="00877DC8">
      <w:pPr>
        <w:pStyle w:val="Ttulo1"/>
      </w:pPr>
      <w:r>
        <w:t>5. Limitações reais — não-ACID na prática</w:t>
      </w:r>
    </w:p>
    <w:p w14:paraId="4FE30979" w14:textId="77777777" w:rsidR="0005512B" w:rsidRDefault="00877DC8">
      <w:pPr>
        <w:rPr>
          <w:rFonts w:hint="eastAsia"/>
        </w:rPr>
      </w:pPr>
      <w:r>
        <w:t>A ausência de garantias ACID não é apenas um detalhe teórico. Na prática, iss</w:t>
      </w:r>
      <w:r>
        <w:t>o pode resultar em:</w:t>
      </w:r>
    </w:p>
    <w:p w14:paraId="53EF46CA" w14:textId="77777777" w:rsidR="0005512B" w:rsidRDefault="00877DC8">
      <w:pPr>
        <w:pStyle w:val="Commarcadores"/>
        <w:rPr>
          <w:rFonts w:hint="eastAsia"/>
        </w:rPr>
      </w:pPr>
      <w:r>
        <w:t>race conditions em escritas simultâneas</w:t>
      </w:r>
    </w:p>
    <w:p w14:paraId="1D7B9970" w14:textId="77777777" w:rsidR="0005512B" w:rsidRDefault="00877DC8">
      <w:pPr>
        <w:pStyle w:val="Commarcadores"/>
        <w:rPr>
          <w:rFonts w:hint="eastAsia"/>
        </w:rPr>
      </w:pPr>
      <w:r>
        <w:t>inconsistência temporal em leituras</w:t>
      </w:r>
    </w:p>
    <w:p w14:paraId="29BA204D" w14:textId="77777777" w:rsidR="0005512B" w:rsidRDefault="00877DC8">
      <w:pPr>
        <w:pStyle w:val="Commarcadores"/>
        <w:rPr>
          <w:rFonts w:hint="eastAsia"/>
        </w:rPr>
      </w:pPr>
      <w:r>
        <w:t>bugs intermitentes difíceis de reproduzir</w:t>
      </w:r>
    </w:p>
    <w:p w14:paraId="6475EFCE" w14:textId="77777777" w:rsidR="0005512B" w:rsidRDefault="00877DC8">
      <w:pPr>
        <w:rPr>
          <w:rFonts w:hint="eastAsia"/>
        </w:rPr>
      </w:pPr>
      <w:r>
        <w:t>Esses riscos não invalidam a abordagem, mas delimitam claramente seu campo de aplicação. Em alguns casos, mecanismos c</w:t>
      </w:r>
      <w:r>
        <w:t>omo locks e validações adicionais podem mitigar parte do problema, mas não eliminam a natureza não transacional da solução.</w:t>
      </w:r>
    </w:p>
    <w:p w14:paraId="1B7D96C4" w14:textId="77777777" w:rsidR="0005512B" w:rsidRDefault="00877DC8">
      <w:pPr>
        <w:pStyle w:val="Ttulo1"/>
      </w:pPr>
      <w:r>
        <w:t>6. Segurança, governança e fator humano (e o custo disso)</w:t>
      </w:r>
    </w:p>
    <w:p w14:paraId="3C0DAA61" w14:textId="77777777" w:rsidR="0005512B" w:rsidRDefault="00877DC8">
      <w:pPr>
        <w:rPr>
          <w:rFonts w:hint="eastAsia"/>
        </w:rPr>
      </w:pPr>
      <w:r>
        <w:t>Outro aspecto crítico é organizacional. Soluções baseadas em planilhas per</w:t>
      </w:r>
      <w:r>
        <w:t>mitem edição por usuários não técnicos, o que pode ser vantagem (workflow humano), mas também risco:</w:t>
      </w:r>
    </w:p>
    <w:p w14:paraId="734E2885" w14:textId="77777777" w:rsidR="0005512B" w:rsidRDefault="00877DC8">
      <w:pPr>
        <w:pStyle w:val="Commarcadores"/>
        <w:rPr>
          <w:rFonts w:hint="eastAsia"/>
        </w:rPr>
      </w:pPr>
      <w:r>
        <w:lastRenderedPageBreak/>
        <w:t>alterações manuais indevidas</w:t>
      </w:r>
    </w:p>
    <w:p w14:paraId="18757BFE" w14:textId="77777777" w:rsidR="0005512B" w:rsidRDefault="00877DC8">
      <w:pPr>
        <w:pStyle w:val="Commarcadores"/>
        <w:rPr>
          <w:rFonts w:hint="eastAsia"/>
        </w:rPr>
      </w:pPr>
      <w:r>
        <w:t>exclusões acidentais</w:t>
      </w:r>
    </w:p>
    <w:p w14:paraId="6E22748C" w14:textId="77777777" w:rsidR="0005512B" w:rsidRDefault="00877DC8">
      <w:pPr>
        <w:pStyle w:val="Commarcadores"/>
        <w:rPr>
          <w:rFonts w:hint="eastAsia"/>
        </w:rPr>
      </w:pPr>
      <w:r>
        <w:t>quebra de esquema</w:t>
      </w:r>
    </w:p>
    <w:p w14:paraId="3ADDFE52" w14:textId="77777777" w:rsidR="0005512B" w:rsidRDefault="00877DC8">
      <w:pPr>
        <w:pStyle w:val="Commarcadores"/>
        <w:rPr>
          <w:rFonts w:hint="eastAsia"/>
        </w:rPr>
      </w:pPr>
      <w:r>
        <w:t>compartilhamento incorreto</w:t>
      </w:r>
    </w:p>
    <w:p w14:paraId="71725326" w14:textId="77777777" w:rsidR="0005512B" w:rsidRDefault="00877DC8">
      <w:pPr>
        <w:rPr>
          <w:rFonts w:hint="eastAsia"/>
        </w:rPr>
      </w:pPr>
      <w:r>
        <w:t xml:space="preserve">Por isso, governança mínima é indispensável: </w:t>
      </w:r>
      <w:r>
        <w:t>permissões restritas, validação no backend e controle de acesso. E vale explicitar um ponto: governança também é custo — só que, em certos cenários, é um custo menor e mais direto do que operar um stack completo.</w:t>
      </w:r>
    </w:p>
    <w:p w14:paraId="49ECBDF5" w14:textId="77777777" w:rsidR="0005512B" w:rsidRDefault="00877DC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52DDB7" wp14:editId="73108F2B">
            <wp:extent cx="5040000" cy="40097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as Apps Script Flow-2026-02-02-00161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0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423D" w14:textId="77777777" w:rsidR="0005512B" w:rsidRPr="007925FD" w:rsidRDefault="00877DC8">
      <w:pPr>
        <w:pStyle w:val="Legenda"/>
        <w:jc w:val="center"/>
        <w:rPr>
          <w:rFonts w:hint="eastAsia"/>
          <w:color w:val="auto"/>
        </w:rPr>
      </w:pPr>
      <w:r w:rsidRPr="007925FD">
        <w:rPr>
          <w:color w:val="auto"/>
        </w:rPr>
        <w:t>Figura 2 — Fluxo com validação</w:t>
      </w:r>
    </w:p>
    <w:p w14:paraId="2E39D6A8" w14:textId="77777777" w:rsidR="0005512B" w:rsidRDefault="00877DC8">
      <w:pPr>
        <w:rPr>
          <w:rFonts w:hint="eastAsia"/>
        </w:rPr>
      </w:pPr>
      <w:r>
        <w:t>Simplicidade arquitetural não elimina responsabilidade técnica.</w:t>
      </w:r>
    </w:p>
    <w:p w14:paraId="7BECC338" w14:textId="77777777" w:rsidR="0005512B" w:rsidRDefault="00877DC8">
      <w:pPr>
        <w:pStyle w:val="Ttulo1"/>
      </w:pPr>
      <w:r>
        <w:t>7. Lock-in e alternativas no mesmo espaço arquitetural</w:t>
      </w:r>
    </w:p>
    <w:p w14:paraId="450A3387" w14:textId="77777777" w:rsidR="0005512B" w:rsidRDefault="00877DC8">
      <w:pPr>
        <w:rPr>
          <w:rFonts w:hint="eastAsia"/>
        </w:rPr>
      </w:pPr>
      <w:r>
        <w:t xml:space="preserve">Essa abordagem cria dependência do ecossistema Google, com quotas e políticas próprias. Em alguns contextos, isso pode ser aceitável; em </w:t>
      </w:r>
      <w:r>
        <w:t>outros, não. É importante reconhecer alternativas no mesmo espaço de baixa fricção:</w:t>
      </w:r>
    </w:p>
    <w:p w14:paraId="3367A95F" w14:textId="77777777" w:rsidR="0005512B" w:rsidRDefault="00877DC8">
      <w:pPr>
        <w:pStyle w:val="Commarcadores"/>
        <w:rPr>
          <w:rFonts w:hint="eastAsia"/>
        </w:rPr>
      </w:pPr>
      <w:r>
        <w:lastRenderedPageBreak/>
        <w:t>Airtable</w:t>
      </w:r>
    </w:p>
    <w:p w14:paraId="2AD9677F" w14:textId="77777777" w:rsidR="0005512B" w:rsidRDefault="00877DC8">
      <w:pPr>
        <w:pStyle w:val="Commarcadores"/>
        <w:rPr>
          <w:rFonts w:hint="eastAsia"/>
        </w:rPr>
      </w:pPr>
      <w:r>
        <w:t>Firebase</w:t>
      </w:r>
    </w:p>
    <w:p w14:paraId="71643FA3" w14:textId="77777777" w:rsidR="0005512B" w:rsidRDefault="00877DC8">
      <w:pPr>
        <w:pStyle w:val="Commarcadores"/>
        <w:rPr>
          <w:rFonts w:hint="eastAsia"/>
        </w:rPr>
      </w:pPr>
      <w:r>
        <w:t>Supabase (modo mínimo)</w:t>
      </w:r>
    </w:p>
    <w:p w14:paraId="2DEA3B83" w14:textId="77777777" w:rsidR="0005512B" w:rsidRDefault="00877DC8">
      <w:pPr>
        <w:pStyle w:val="Commarcadores"/>
        <w:rPr>
          <w:rFonts w:hint="eastAsia"/>
        </w:rPr>
      </w:pPr>
      <w:r>
        <w:t>Notion (com ressalvas)</w:t>
      </w:r>
    </w:p>
    <w:p w14:paraId="0DF9EEA1" w14:textId="77777777" w:rsidR="0005512B" w:rsidRDefault="00877DC8">
      <w:pPr>
        <w:rPr>
          <w:rFonts w:hint="eastAsia"/>
        </w:rPr>
      </w:pPr>
      <w:r>
        <w:t>O ponto central permanece: a escolha deve ser contextual, não dogmática.</w:t>
      </w:r>
    </w:p>
    <w:p w14:paraId="48444864" w14:textId="77777777" w:rsidR="0005512B" w:rsidRDefault="00877DC8">
      <w:pPr>
        <w:pStyle w:val="Ttulo1"/>
      </w:pPr>
      <w:r>
        <w:t>8. Critérios objetivos de decisão</w:t>
      </w:r>
    </w:p>
    <w:p w14:paraId="7E99FD1D" w14:textId="77777777" w:rsidR="0005512B" w:rsidRDefault="00877DC8">
      <w:pPr>
        <w:rPr>
          <w:rFonts w:hint="eastAsia"/>
        </w:rPr>
      </w:pPr>
      <w:r>
        <w:t>F</w:t>
      </w:r>
      <w:r>
        <w:t>az sentido quando:</w:t>
      </w:r>
    </w:p>
    <w:p w14:paraId="74904B1A" w14:textId="77777777" w:rsidR="0005512B" w:rsidRDefault="00877DC8">
      <w:pPr>
        <w:pStyle w:val="Commarcadores"/>
        <w:rPr>
          <w:rFonts w:hint="eastAsia"/>
        </w:rPr>
      </w:pPr>
      <w:r>
        <w:t>há poucos usuários simultâneos</w:t>
      </w:r>
    </w:p>
    <w:p w14:paraId="5E9E112A" w14:textId="77777777" w:rsidR="0005512B" w:rsidRDefault="00877DC8">
      <w:pPr>
        <w:pStyle w:val="Commarcadores"/>
        <w:rPr>
          <w:rFonts w:hint="eastAsia"/>
        </w:rPr>
      </w:pPr>
      <w:r>
        <w:t>existe baixa taxa de escrita</w:t>
      </w:r>
    </w:p>
    <w:p w14:paraId="710567AC" w14:textId="77777777" w:rsidR="0005512B" w:rsidRDefault="00877DC8">
      <w:pPr>
        <w:pStyle w:val="Commarcadores"/>
        <w:rPr>
          <w:rFonts w:hint="eastAsia"/>
        </w:rPr>
      </w:pPr>
      <w:r>
        <w:t>os dados têm baixa criticidade</w:t>
      </w:r>
    </w:p>
    <w:p w14:paraId="77673581" w14:textId="77777777" w:rsidR="0005512B" w:rsidRDefault="00877DC8">
      <w:pPr>
        <w:pStyle w:val="Commarcadores"/>
        <w:rPr>
          <w:rFonts w:hint="eastAsia"/>
        </w:rPr>
      </w:pPr>
      <w:r>
        <w:t>há necessidade de inspeção humana</w:t>
      </w:r>
    </w:p>
    <w:p w14:paraId="4D7C982A" w14:textId="77777777" w:rsidR="0005512B" w:rsidRDefault="00877DC8">
      <w:pPr>
        <w:pStyle w:val="Commarcadores"/>
        <w:rPr>
          <w:rFonts w:hint="eastAsia"/>
        </w:rPr>
      </w:pPr>
      <w:r>
        <w:t>o foco é agilidade e baixo custo operacional</w:t>
      </w:r>
    </w:p>
    <w:p w14:paraId="3FE6584D" w14:textId="77777777" w:rsidR="0005512B" w:rsidRDefault="00877DC8">
      <w:pPr>
        <w:rPr>
          <w:rFonts w:hint="eastAsia"/>
        </w:rPr>
      </w:pPr>
      <w:r>
        <w:t>Evite quando:</w:t>
      </w:r>
    </w:p>
    <w:p w14:paraId="02D66209" w14:textId="77777777" w:rsidR="0005512B" w:rsidRDefault="00877DC8">
      <w:pPr>
        <w:pStyle w:val="Commarcadores"/>
        <w:rPr>
          <w:rFonts w:hint="eastAsia"/>
        </w:rPr>
      </w:pPr>
      <w:r>
        <w:t>existem transações complexas</w:t>
      </w:r>
    </w:p>
    <w:p w14:paraId="757BA17F" w14:textId="77777777" w:rsidR="0005512B" w:rsidRDefault="00877DC8">
      <w:pPr>
        <w:pStyle w:val="Commarcadores"/>
        <w:rPr>
          <w:rFonts w:hint="eastAsia"/>
        </w:rPr>
      </w:pPr>
      <w:r>
        <w:t>há concorrência elevada</w:t>
      </w:r>
    </w:p>
    <w:p w14:paraId="22EF881E" w14:textId="77777777" w:rsidR="0005512B" w:rsidRDefault="00877DC8">
      <w:pPr>
        <w:pStyle w:val="Commarcadores"/>
        <w:rPr>
          <w:rFonts w:hint="eastAsia"/>
        </w:rPr>
      </w:pPr>
      <w:r>
        <w:t>os dados são críticos ou sensíveis</w:t>
      </w:r>
    </w:p>
    <w:p w14:paraId="5A459E92" w14:textId="77777777" w:rsidR="0005512B" w:rsidRDefault="00877DC8">
      <w:pPr>
        <w:pStyle w:val="Commarcadores"/>
        <w:rPr>
          <w:rFonts w:hint="eastAsia"/>
        </w:rPr>
      </w:pPr>
      <w:r>
        <w:t>há necessidade de SLA rigoroso e controle fino</w:t>
      </w:r>
    </w:p>
    <w:p w14:paraId="3BE11F4E" w14:textId="77777777" w:rsidR="0005512B" w:rsidRDefault="00877DC8">
      <w:pPr>
        <w:pStyle w:val="Ttulo1"/>
      </w:pPr>
      <w:r>
        <w:t>9. Conclusão — Fechamento</w:t>
      </w:r>
    </w:p>
    <w:p w14:paraId="467ACC20" w14:textId="77777777" w:rsidR="0005512B" w:rsidRDefault="00877DC8">
      <w:pPr>
        <w:rPr>
          <w:rFonts w:hint="eastAsia"/>
        </w:rPr>
      </w:pPr>
      <w:r>
        <w:t>A tese se mantém: há sistemas que não precisam nascer com um banco de dados transacional tradicional. O que eles precisam é de persistência adequada</w:t>
      </w:r>
      <w:r>
        <w:t xml:space="preserve"> ao problema, com clareza sobre limites, riscos e custos.</w:t>
      </w:r>
    </w:p>
    <w:p w14:paraId="6FF5CAD4" w14:textId="77777777" w:rsidR="0005512B" w:rsidRDefault="00877DC8">
      <w:pPr>
        <w:rPr>
          <w:rFonts w:hint="eastAsia"/>
        </w:rPr>
      </w:pPr>
      <w:r>
        <w:t>Antes de perguntar “qual banco de dados usar?”, talvez a pergunta mais produtiva seja:</w:t>
      </w:r>
    </w:p>
    <w:p w14:paraId="437313BD" w14:textId="77777777" w:rsidR="0005512B" w:rsidRDefault="00877DC8">
      <w:pPr>
        <w:rPr>
          <w:rFonts w:hint="eastAsia"/>
        </w:rPr>
      </w:pPr>
      <w:r>
        <w:rPr>
          <w:i/>
        </w:rPr>
        <w:t>“Qual nível de persistência esse problema realmente exige agora?”</w:t>
      </w:r>
    </w:p>
    <w:p w14:paraId="30C902B7" w14:textId="77777777" w:rsidR="0005512B" w:rsidRDefault="00877DC8">
      <w:pPr>
        <w:spacing w:before="240"/>
        <w:rPr>
          <w:rFonts w:hint="eastAsia"/>
        </w:rPr>
      </w:pPr>
      <w:r>
        <w:rPr>
          <w:b/>
        </w:rPr>
        <w:t xml:space="preserve">Arquitetura madura não é </w:t>
      </w:r>
      <w:r>
        <w:rPr>
          <w:b/>
        </w:rPr>
        <w:t>maximalista.</w:t>
      </w:r>
      <w:r>
        <w:t xml:space="preserve"> Ela é contextual, consciente e evolutiva.</w:t>
      </w:r>
    </w:p>
    <w:sectPr w:rsidR="0005512B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12B"/>
    <w:rsid w:val="0006063C"/>
    <w:rsid w:val="0015074B"/>
    <w:rsid w:val="0029639D"/>
    <w:rsid w:val="00326F90"/>
    <w:rsid w:val="00747080"/>
    <w:rsid w:val="007925FD"/>
    <w:rsid w:val="00877D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5E20A16-0604-4E27-97BA-10508A3B8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Segoe UI" w:hAnsi="Segoe U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 w:line="240" w:lineRule="auto"/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1155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Gérson Resplandes de Sá Sousa</cp:lastModifiedBy>
  <cp:revision>2</cp:revision>
  <dcterms:created xsi:type="dcterms:W3CDTF">2026-02-02T02:35:00Z</dcterms:created>
  <dcterms:modified xsi:type="dcterms:W3CDTF">2026-02-02T02:35:00Z</dcterms:modified>
  <cp:category/>
</cp:coreProperties>
</file>