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Glass⏧Grasie® — Plan van Aanpak</w:t>
      </w:r>
    </w:p>
    <w:p>
      <w:pPr>
        <w:spacing w:after="240"/>
        <w:jc w:val="center"/>
      </w:pPr>
      <w:r>
        <w:t xml:space="preserve">12-18 Month Roadmap | Qredits Financed</w:t>
      </w:r>
      <w:r>
        <w:rPr>
          <w:sz w:val="20"/>
          <w:szCs w:val="20"/>
        </w:rPr>
        <w:t xml:space="preserve">12-18 Month Roadmap | Qredits Financed</w:t>
      </w:r>
    </w:p>
    <w:p>
      <w:pPr>
        <w:pStyle w:val="Heading2"/>
      </w:pPr>
      <w:r>
        <w:t xml:space="preserve">FASE 1: Setup &amp; Foundation (Week 1–4)</w:t>
      </w:r>
    </w:p>
    <w:p>
      <w:pPr>
        <w:spacing w:after="120"/>
      </w:pPr>
      <w:r>
        <w:t xml:space="preserve">Objective: Secure legal, financial, and operational foundation. Begin material sourcing.</w:t>
      </w:r>
      <w:r>
        <w:t xml:space="preserve">Objective: Secure legal, financial, and operational foundation. Begin material sourcing.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KPI / 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KvK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entity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 Dijken material contract 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Supply locked 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WBSO filing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€23.975 tax credit eligible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tooling finalized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Production-ready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10 jewelry pieces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Photo-ready, 10+ units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FASE 2: B2C Launch (Week 4–8)</w:t>
      </w:r>
    </w:p>
    <w:p>
      <w:pPr>
        <w:spacing w:after="120"/>
      </w:pPr>
      <w:r>
        <w:t xml:space="preserve">Objective: Go live B2C channels, achieve first sales, establish proof of concept.</w:t>
      </w:r>
      <w:r>
        <w:t xml:space="preserve">Objective: Go live B2C channels, achieve first sales, establish proof of concept.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+ Shopify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operational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+ TikTok content 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2+ posts/week, organic reach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online sales (jewelry)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€2.000–3.000 Q3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Woonaccessoires launch prep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6–8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designs, 5 prototypes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FASE 3: B2B Entry (Week 8–12)</w:t>
      </w:r>
    </w:p>
    <w:p>
      <w:pPr>
        <w:spacing w:after="120"/>
      </w:pPr>
      <w:r>
        <w:t xml:space="preserve">Objective: Open B2B channel (architects, interior designers); introduce architectural products.</w:t>
      </w:r>
      <w:r>
        <w:t xml:space="preserve">Objective: Open B2B channel (architects, interior designers); introduce architectural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B2B outreach list (architects/designers)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150+ qualified contacts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B2B portfolio + pitch deck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8–9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use-case mockups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B2B conversations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8–10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10+ discovery calls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WAZER delivery +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operational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FASE 4: Scale &amp; Optimization (Month 4–6)</w:t>
      </w:r>
    </w:p>
    <w:p>
      <w:pPr>
        <w:spacing w:after="120"/>
      </w:pPr>
      <w:r>
        <w:t xml:space="preserve">Objective: Hit €5K–€6K/month burn; confirm break-even trajectory. Expand all product tiers.</w:t>
      </w:r>
      <w:r>
        <w:t xml:space="preserve">Objective: Hit €5K–€6K/month burn; confirm break-even trajectory. Expand all product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B2C revenue (Q4: jewelry + accessories)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4–6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€4.500–6.000/month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B2B project (quote or LOI)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€1.000–2.000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Kunstobjecten launch (limited edition series)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3–5 art pieces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operational break-even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€3K–€4K monthly burn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Financing Breakdown (Qredits €9.200 Loan)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of Funds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WAZER Desktop machine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€7.500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Installation + water/abrasive system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€1.200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abrasive + operational reserve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€9.200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Success KPIs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B2C unit sales (jewelry)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20+ units/month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B2B qualified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3+ active conversations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€5.000–€6.000 (on track for €52.5K Y1)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conversion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2–4% (jewelry); 1–2% (accessories)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acquisition cost (CAC)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€15–€25/order (organic + paid)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Repeat purchase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15%+ (jewelry); 8%+ (accessories)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FASE 5–6: Growth &amp; Profitability (Month 7–18)</w:t>
      </w:r>
    </w:p>
    <w:p>
      <w:pPr>
        <w:spacing w:after="240"/>
      </w:pPr>
      <w:r>
        <w:t xml:space="preserve">Year 1 target: €32.5K–€52.5K
Year 2 target: €89K–€133K
Focus: Expand B2B partnerships (architectural projects), grow B2C through retail partnerships (Design museums, Dutch design galleries), and optimize unit economics. WAZER depreciation write-off begins reducing tax burden.</w:t>
      </w:r>
    </w:p>
    <w:p>
      <w:pPr>
        <w:pStyle w:val="Heading2"/>
      </w:pPr>
      <w:r>
        <w:t xml:space="preserve">Risk Mitigation &amp; Contingencies</w:t>
      </w:r>
    </w:p>
    <w:p>
      <w:pPr>
        <w:spacing w:after="80"/>
      </w:pPr>
      <w:r>
        <w:t xml:space="preserve">• Supply risk: Signed material contract with Van Dijken ensures consistent access; secondary glass sources identified</w:t>
      </w:r>
    </w:p>
    <w:p>
      <w:pPr>
        <w:spacing w:after="80"/>
      </w:pPr>
      <w:r>
        <w:t xml:space="preserve">• Equipment risk: WAZER has proven track record in maker/design studios; maintenance contract included</w:t>
      </w:r>
    </w:p>
    <w:p>
      <w:pPr>
        <w:spacing w:after="80"/>
      </w:pPr>
      <w:r>
        <w:t xml:space="preserve">• Market risk: MAGNA and Vetrazzo prove market appetite; early traction from Art Rotterdam/DDW networks</w:t>
      </w:r>
    </w:p>
    <w:p>
      <w:pPr>
        <w:spacing w:after="240"/>
      </w:pPr>
      <w:r>
        <w:t xml:space="preserve">• Founder dependency: Scalable team model in place; hired commercial associate by month 6 for operations + fulfillment</w:t>
      </w:r>
    </w:p>
    <w:p>
      <w:pPr>
        <w:pStyle w:val="Heading2"/>
      </w:pPr>
      <w:r>
        <w:t xml:space="preserve">Reporting &amp; Governance</w:t>
      </w:r>
    </w:p>
    <w:p>
      <w:pPr>
        <w:spacing w:after="80"/>
      </w:pPr>
      <w:r>
        <w:t xml:space="preserve">• Monthly: Revenue, CAC, repeat purchase rate, inventory levels, B2B pipeline</w:t>
      </w:r>
    </w:p>
    <w:p>
      <w:pPr>
        <w:spacing w:after="80"/>
      </w:pPr>
      <w:r>
        <w:t xml:space="preserve">• Quarterly: Full P&amp;L, KPI dashboard, milestone achievement, strategic adjustments</w:t>
      </w:r>
    </w:p>
    <w:p>
      <w:pPr>
        <w:spacing w:after="240"/>
      </w:pPr>
      <w:r>
        <w:t xml:space="preserve">• Qredits reporting: Aligned with loan terms; transparency on unit economics, cash runway, and milestones achieved</w:t>
      </w:r>
    </w:p>
    <w:p>
      <w:pPr>
        <w:spacing w:after="0"/>
        <w:jc w:val="center"/>
      </w:pPr>
      <w:r>
        <w:t xml:space="preserve">Glass⏧Grasie® | Plan van Aanpak | April 2026</w:t>
      </w:r>
      <w:r>
        <w:rPr>
          <w:sz w:val="20"/>
          <w:szCs w:val="20"/>
        </w:rPr>
        <w:t xml:space="preserve">Glass⏧Grasie® | Plan van Aanpak |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2026-04-14T19:56:18.090Z</dcterms:created>
  <dcterms:modified xsi:type="dcterms:W3CDTF">2026-04-14T19:56:18.090Z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