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Glass⏧Grasie® — Executive Summary</w:t>
      </w:r>
    </w:p>
    <w:p>
      <w:pPr>
        <w:spacing w:after="240"/>
        <w:jc w:val="center"/>
      </w:pPr>
      <w:r>
        <w:t xml:space="preserve">Premium Circular Glass Design | Qredits Financing Pitch</w:t>
      </w:r>
      <w:r>
        <w:rPr>
          <w:sz w:val="20"/>
          <w:szCs w:val="20"/>
        </w:rPr>
        <w:t xml:space="preserve">Premium Circular Glass Design | Qredits Financing Pitch</w:t>
      </w:r>
    </w:p>
    <w:p>
      <w:pPr>
        <w:pStyle w:val="Heading2"/>
      </w:pPr>
      <w:r>
        <w:t xml:space="preserve">The Opportunity</w:t>
      </w:r>
    </w:p>
    <w:p>
      <w:pPr>
        <w:spacing w:after="180"/>
      </w:pPr>
      <w:r>
        <w:t xml:space="preserve">No Dutch company transforms industrial float glass remnants into premium design products. MAGNA Glaskeramik (Germany) proves the market exists. Glass⏧Grasie® is the first Dutch player.</w:t>
      </w:r>
    </w:p>
    <w:p>
      <w:pPr>
        <w:pStyle w:val="Heading2"/>
      </w:pPr>
      <w:r>
        <w:t xml:space="preserve">What We Do</w:t>
      </w:r>
    </w:p>
    <w:p>
      <w:pPr>
        <w:spacing w:after="180"/>
      </w:pPr>
      <w:r>
        <w:t xml:space="preserve">Van Dijken Glas generates cutting remnants, rejected prints, and leftover sheets normally disposed as waste. Glass⏧Grasie® gives this material a second life with all optical qualities intact. Four product tiers: B2C jewelry (€35–145), home accessories (€65–650), art objects (€800–5K+), and B2B architectural solutions (€350–850/m²).</w:t>
      </w:r>
    </w:p>
    <w:p>
      <w:pPr>
        <w:pStyle w:val="Heading2"/>
      </w:pPr>
      <w:r>
        <w:t xml:space="preserve">Competitive Advantage</w:t>
      </w:r>
    </w:p>
    <w:p>
      <w:pPr>
        <w:spacing w:after="80"/>
      </w:pPr>
      <w:r>
        <w:t xml:space="preserve">• Only Dutch player with direct access to industrial float glass from a major producer</w:t>
      </w:r>
    </w:p>
    <w:p>
      <w:pPr>
        <w:spacing w:after="80"/>
      </w:pPr>
      <w:r>
        <w:t xml:space="preserve">• WAZER waterjet cutting preserves optical qualities (competitors grind)</w:t>
      </w:r>
    </w:p>
    <w:p>
      <w:pPr>
        <w:spacing w:after="80"/>
      </w:pPr>
      <w:r>
        <w:t xml:space="preserve">• Van Dijken printed glass is non-reproducible—built-in limited edition</w:t>
      </w:r>
    </w:p>
    <w:p>
      <w:pPr>
        <w:spacing w:after="80"/>
      </w:pPr>
      <w:r>
        <w:t xml:space="preserve">• Rotterdam location: BlueCity, Superuse Studios, MVRDV as neighbors</w:t>
      </w:r>
    </w:p>
    <w:p>
      <w:pPr>
        <w:spacing w:after="240"/>
      </w:pPr>
      <w:r>
        <w:t xml:space="preserve">• Dual positioning: premium design brand + circular building material (BREEAM certified)</w:t>
      </w:r>
    </w:p>
    <w:p>
      <w:pPr>
        <w:pStyle w:val="Heading2"/>
      </w:pPr>
      <w:r>
        <w:t xml:space="preserve">Financial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Startup investment (excl. WAZER)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€630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WAZER machine +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€9.200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 1 revenue (conservative)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€32.5K–€52.5K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 2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€89K–€133K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Gross margin (B2C)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78–88%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Material cost (base)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€0 (restmaterial)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WBSO tax benefit (Y1)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€23.975</w:t>
            </w:r>
          </w:p>
        </w:tc>
      </w:tr>
    </w:tbl>
    <w:p>
      <w:pPr>
        <w:spacing w:after="180"/>
      </w:pPr>
    </w:p>
    <w:p>
      <w:pPr>
        <w:spacing w:after="240"/>
      </w:pPr>
      <w:r>
        <w:t xml:space="preserve">Break-even: €5K–€6K/month including WAZER depreciation (achievable by month 4–5).</w:t>
      </w:r>
      <w:r>
        <w:t xml:space="preserve">Break-even: €5K–€6K/month including WAZER depreciation (achievable by month 4–5).</w:t>
      </w:r>
    </w:p>
    <w:p>
      <w:pPr>
        <w:pStyle w:val="Heading2"/>
      </w:pPr>
      <w:r>
        <w:t xml:space="preserve">Founder: Sergio Dias</w:t>
      </w:r>
    </w:p>
    <w:p>
      <w:pPr>
        <w:spacing w:after="80"/>
      </w:pPr>
      <w:r>
        <w:t xml:space="preserve">18 years building revenue in premium consumer electronics:</w:t>
      </w:r>
    </w:p>
    <w:p>
      <w:pPr>
        <w:spacing w:after="60"/>
      </w:pPr>
      <w:r>
        <w:t xml:space="preserve">• Sonos (11 years): Built Installed Solutions channel from zero to €4M+ annual revenue across Benelux &amp; France</w:t>
      </w:r>
    </w:p>
    <w:p>
      <w:pPr>
        <w:spacing w:after="60"/>
      </w:pPr>
      <w:r>
        <w:t xml:space="preserve">• Harman/JBL (5 years): Managed 31 retail accounts; launched new markets</w:t>
      </w:r>
    </w:p>
    <w:p>
      <w:pPr>
        <w:spacing w:after="60"/>
      </w:pPr>
      <w:r>
        <w:t xml:space="preserve">• Crestron &amp; eero/Amazon: Market entry lead; closed distribution deals in 6 months</w:t>
      </w:r>
    </w:p>
    <w:p>
      <w:pPr>
        <w:spacing w:after="180"/>
      </w:pPr>
      <w:r>
        <w:t xml:space="preserve">• Core competencies: Distributor networks, multi-market execution, PDCA discipline, SKU-level forecasting, sell-in/sell-through activation</w:t>
      </w:r>
    </w:p>
    <w:p>
      <w:pPr>
        <w:pStyle w:val="Heading2"/>
      </w:pPr>
      <w:r>
        <w:t xml:space="preserve">The Ask</w:t>
      </w:r>
    </w:p>
    <w:p>
      <w:pPr>
        <w:spacing w:after="240"/>
      </w:pPr>
      <w:r>
        <w:t xml:space="preserve">€9.200 loan for WAZER Desktop machine—the core asset enabling precision cutting across all four product tiers and B2B architectural work. Own funds cover remaining startup costs (€630).</w:t>
      </w:r>
    </w:p>
    <w:p>
      <w:pPr>
        <w:pStyle w:val="Heading2"/>
      </w:pPr>
      <w:r>
        <w:t xml:space="preserve">Why Qredits?</w:t>
      </w:r>
    </w:p>
    <w:p>
      <w:pPr>
        <w:spacing w:after="240"/>
      </w:pPr>
      <w:r>
        <w:t xml:space="preserve">Proven track record building structured, capital-efficient revenue streams. Low bootstrap cost (€630) shows discipline. First sales week 7; B2B conversations week 8. WBSO subsidy provides additional security. WAZER is tangible collateral with secondary market value.</w:t>
      </w:r>
    </w:p>
    <w:p>
      <w:pPr>
        <w:spacing w:after="180"/>
      </w:pPr>
      <w:r>
        <w:t xml:space="preserve">Transform industrial waste into premium design. First mover advantage in Dutch market. Market-validated model. Strong founder DNA.</w:t>
      </w:r>
      <w:r>
        <w:rPr>
          <w:b/>
          <w:bCs/>
        </w:rPr>
        <w:t xml:space="preserve">Transform industrial waste into premium design. First mover advantage in Dutch market. Market-validated model. Strong founder DNA.</w:t>
      </w:r>
    </w:p>
    <w:p>
      <w:pPr>
        <w:spacing w:after="0"/>
        <w:jc w:val="center"/>
      </w:pPr>
      <w:r>
        <w:t xml:space="preserve">Sergio Dias | Rotterdam | RealSergioDias@pm.me</w:t>
      </w:r>
      <w:r>
        <w:rPr>
          <w:sz w:val="20"/>
          <w:szCs w:val="20"/>
        </w:rPr>
        <w:t xml:space="preserve">Sergio Dias | Rotterdam | RealSergioDias@pm.me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1C72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2026-04-14T19:55:33.803Z</dcterms:created>
  <dcterms:modified xsi:type="dcterms:W3CDTF">2026-04-14T19:55:33.804Z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