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 xml:space="preserve">ПОЛИТИКА ОБРАБОТКИ ПЕРСОНАЛЬНЫХ ДАННЫХ </w:t>
      </w:r>
    </w:p>
    <w:p>
      <w:pPr>
        <w:pStyle w:val="Normal"/>
        <w:ind w:start="142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Дата размещения и вступления в силу: </w:t>
      </w:r>
      <w:r>
        <w:rPr>
          <w:rFonts w:cs="Calibri" w:ascii="Calibri" w:hAnsi="Calibri"/>
          <w:shd w:fill="auto" w:val="clear"/>
        </w:rPr>
        <w:t xml:space="preserve">27 июля </w:t>
      </w:r>
      <w:r>
        <w:rPr>
          <w:rFonts w:cs="Calibri" w:ascii="Calibri" w:hAnsi="Calibri"/>
        </w:rPr>
        <w:t>2026 года</w:t>
      </w:r>
    </w:p>
    <w:p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ОБЩИЕ ПОЛОЖЕНИЯ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Настоящая Политика обработки персональных данных (далее — «Политика») действует в отношении всей информации, которую действует в отношении информации, которую ООО «Цифровая методология» получает о Пользователях и посетителях Сайта при использовании сайта, заполнении форм обратной связи, направлении заявок и обращений.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Настоящая Политика определяет  ООО «Цифровая методология» (далее — «Оператор») в качестве лица, осуществляющего обработку и защиту персональных данных, полученных от Пользователей и посетителей Сайта, в соответствии с требованиями Федерального закона от 27 июля 2006 года № 152-ФЗ «О персональных данных» (далее — «Закон о персональных данных»).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 </w:t>
      </w:r>
      <w:r>
        <w:rPr>
          <w:rFonts w:cs="Calibri" w:ascii="Calibri" w:hAnsi="Calibri"/>
        </w:rPr>
        <w:t>Политика действует в отношении всех Персональных данных, переданных Пользователем через формы обратной связи на Сайте, а также полученных Оператором иным законным способом.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Целью Политики является обеспечение надлежащей защиты персональных данных Пользователей и посетителей Сайта от несанкционированного доступа и разглашения.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Действующая редакция Политики размещена на Сайте Оператора по адресу: </w:t>
      </w:r>
      <w:hyperlink r:id="rId2">
        <w:r>
          <w:rPr>
            <w:rStyle w:val="Hyperlink"/>
            <w:rFonts w:cs="Calibri" w:ascii="Calibri" w:hAnsi="Calibri"/>
          </w:rPr>
          <w:t>https://цифровая-методология.рф</w:t>
        </w:r>
      </w:hyperlink>
      <w:r>
        <w:rPr>
          <w:rFonts w:cs="Calibri" w:ascii="Calibri" w:hAnsi="Calibri"/>
        </w:rPr>
        <w:t>,  </w:t>
      </w:r>
      <w:hyperlink r:id="rId3">
        <w:r>
          <w:rPr>
            <w:rStyle w:val="Hyperlink"/>
            <w:rFonts w:cs="Calibri" w:ascii="Calibri" w:hAnsi="Calibri"/>
          </w:rPr>
          <w:t>https://digital-methodology.ru</w:t>
        </w:r>
      </w:hyperlink>
      <w:r>
        <w:rPr>
          <w:rFonts w:cs="Calibri" w:ascii="Calibri" w:hAnsi="Calibri"/>
        </w:rPr>
        <w:t> </w:t>
      </w:r>
    </w:p>
    <w:p>
      <w:pPr>
        <w:pStyle w:val="ListParagraph"/>
        <w:ind w:start="540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ТЕРМИНЫ И ОПРЕДЕЛЕНИЯ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В настоящей Политике используются следующие термины: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Cookies</w:t>
      </w:r>
      <w:r>
        <w:rPr>
          <w:rFonts w:cs="Calibri" w:ascii="Calibri" w:hAnsi="Calibri"/>
        </w:rPr>
        <w:t> — небольшой фрагмент данных, отправленный веб-сервером и хранимый на устройстве Пользователя, который веб-браузер каждый раз пересылает веб-серверу в HTTP-запросе при попытке открыть страницу сайта.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IP-адрес</w:t>
      </w:r>
      <w:r>
        <w:rPr>
          <w:rFonts w:cs="Calibri" w:ascii="Calibri" w:hAnsi="Calibri"/>
        </w:rPr>
        <w:t> — уникальный сетевой адрес узла в компьютерной сети, через который Пользователь получает доступ к Сайту.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Автоматизированная обработка персональных данных</w:t>
      </w:r>
      <w:r>
        <w:rPr>
          <w:rFonts w:cs="Calibri" w:ascii="Calibri" w:hAnsi="Calibri"/>
        </w:rPr>
        <w:t> — обработка персональных данных с помощью средств вычислительной техники.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Блокирование персональных данных</w:t>
      </w:r>
      <w:r>
        <w:rPr>
          <w:rFonts w:cs="Calibri" w:ascii="Calibri" w:hAnsi="Calibri"/>
        </w:rPr>
        <w:t> — временное прекращение обработки персональных данных (за исключением случаев, если обработка необходима для уточнения персональных данных).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Конфиденциальность персональных данных</w:t>
      </w:r>
      <w:r>
        <w:rPr>
          <w:rFonts w:cs="Calibri" w:ascii="Calibri" w:hAnsi="Calibri"/>
        </w:rPr>
        <w:t> — обязательное для соблюдения Оператором или иным получившим доступ к Персональным данным лицом требование не допускать их распространения без согласия субъекта персональных данных или наличия иного законного основания.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Обезличивание персональных данных</w:t>
      </w:r>
      <w:r>
        <w:rPr>
          <w:rFonts w:cs="Calibri" w:ascii="Calibri" w:hAnsi="Calibri"/>
        </w:rPr>
        <w:t> 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данных.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Обработка персональных данных</w:t>
      </w:r>
      <w:r>
        <w:rPr>
          <w:rFonts w:cs="Calibri" w:ascii="Calibri" w:hAnsi="Calibri"/>
        </w:rPr>
        <w:t> — любое действие (операция) или совокупность действий (операций) с персональными данными,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уничтожение.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Оператор</w:t>
      </w:r>
      <w:r>
        <w:rPr>
          <w:rFonts w:cs="Calibri" w:ascii="Calibri" w:hAnsi="Calibri"/>
        </w:rPr>
        <w:t> </w:t>
      </w:r>
      <w:r>
        <w:rPr>
          <w:rFonts w:cs="Calibri" w:ascii="Calibri" w:hAnsi="Calibri"/>
          <w:b/>
          <w:bCs/>
        </w:rPr>
        <w:t>персональных данных, оператор</w:t>
      </w:r>
      <w:r>
        <w:rPr>
          <w:rFonts w:cs="Calibri" w:ascii="Calibri" w:hAnsi="Calibri"/>
        </w:rPr>
        <w:t>— ООО «Цифровая методология» (ИНН: 5010060840, КПП: 501001001, ОГРН: 1235000008275)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Пользователь </w:t>
      </w:r>
      <w:r>
        <w:rPr>
          <w:rFonts w:cs="Calibri" w:ascii="Calibri" w:hAnsi="Calibri"/>
        </w:rPr>
        <w:t> — лицо, заполнившее персональные данные в формах обратной связи на Сайте.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Персональные данные</w:t>
      </w:r>
      <w:r>
        <w:rPr>
          <w:rFonts w:cs="Calibri" w:ascii="Calibri" w:hAnsi="Calibri"/>
        </w:rPr>
        <w:t xml:space="preserve">, </w:t>
      </w:r>
      <w:r>
        <w:rPr>
          <w:rFonts w:cs="Calibri" w:ascii="Calibri" w:hAnsi="Calibri"/>
          <w:b/>
          <w:bCs/>
        </w:rPr>
        <w:t>ПД</w:t>
      </w:r>
      <w:r>
        <w:rPr>
          <w:rFonts w:cs="Calibri" w:ascii="Calibri" w:hAnsi="Calibri"/>
        </w:rPr>
        <w:t xml:space="preserve"> — любая информация, относящаяся к прямо или косвенно определенному или определяемому физическому лицу (субъекту персональных данных).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Предоставление персональных данных</w:t>
      </w:r>
      <w:r>
        <w:rPr>
          <w:rFonts w:cs="Calibri" w:ascii="Calibri" w:hAnsi="Calibri"/>
        </w:rPr>
        <w:t> — действия, направленные на раскрытие персональных данных определенному лицу или определенному кругу лиц.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Распространение персональных данных</w:t>
      </w:r>
      <w:r>
        <w:rPr>
          <w:rFonts w:cs="Calibri" w:ascii="Calibri" w:hAnsi="Calibri"/>
        </w:rPr>
        <w:t> — действия, направленные на раскрытие персональных данных неопределенному кругу лиц.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Сайт</w:t>
      </w:r>
      <w:r>
        <w:rPr>
          <w:rFonts w:cs="Calibri" w:ascii="Calibri" w:hAnsi="Calibri"/>
        </w:rPr>
        <w:t xml:space="preserve"> — </w:t>
      </w:r>
      <w:hyperlink r:id="rId4">
        <w:r>
          <w:rPr>
            <w:rStyle w:val="Hyperlink"/>
            <w:rFonts w:cs="Calibri" w:ascii="Calibri" w:hAnsi="Calibri"/>
          </w:rPr>
          <w:t>https://цифровая-методология.рф</w:t>
        </w:r>
      </w:hyperlink>
      <w:r>
        <w:rPr>
          <w:rFonts w:cs="Calibri" w:ascii="Calibri" w:hAnsi="Calibri"/>
        </w:rPr>
        <w:t>,  </w:t>
      </w:r>
      <w:hyperlink r:id="rId5">
        <w:r>
          <w:rPr>
            <w:rStyle w:val="Hyperlink"/>
            <w:rFonts w:cs="Calibri" w:ascii="Calibri" w:hAnsi="Calibri"/>
          </w:rPr>
          <w:t>https://digital-methodology.ru</w:t>
        </w:r>
      </w:hyperlink>
      <w:r>
        <w:rPr>
          <w:rFonts w:cs="Calibri" w:ascii="Calibri" w:hAnsi="Calibri"/>
        </w:rPr>
        <w:t> 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ПРАВА И ОБЯЗАННОСТИ СТОРОН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Пользователь вправе: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принимать свободное решение о предоставлении своих Персональных данных;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 </w:t>
      </w:r>
      <w:r>
        <w:rPr>
          <w:rFonts w:cs="Calibri" w:ascii="Calibri" w:hAnsi="Calibri"/>
        </w:rPr>
        <w:t>требовать прекращения обработки Персональных данных;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запрашивать и получать у Оператора информацию, касающуюся обработки его Персональных данных;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требовать уточнения, блокирования или уничтожения своих Персональных данных при их неполноте, устаревании, неточности или незаконности получения;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отозвать согласие на обработку персональных данных;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Оператор обязан: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использовать полученную информацию исключительно для целей, определённых Политикой;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обеспечивать хранение конфиденциальной информации в тайне;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принимать меры для защиты конфиденциальности Персональных данных;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осуществлять блокирование Персональных данных с момента обращения Пользователя на период проверки;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уведомить Роскомнадзор об инцидентах, повлекших нарушение прав субъектов персональных данных в следующие сроки:</w:t>
      </w:r>
    </w:p>
    <w:p>
      <w:pPr>
        <w:pStyle w:val="ListParagraph"/>
        <w:numPr>
          <w:ilvl w:val="0"/>
          <w:numId w:val="9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в течение 24 часов — о произошедшем инциденте;</w:t>
      </w:r>
    </w:p>
    <w:p>
      <w:pPr>
        <w:pStyle w:val="ListParagraph"/>
        <w:numPr>
          <w:ilvl w:val="0"/>
          <w:numId w:val="9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в течение 72 часов — о результатах внутреннего расследования инцидента.</w:t>
      </w:r>
    </w:p>
    <w:p>
      <w:pPr>
        <w:pStyle w:val="ListParagraph"/>
        <w:ind w:start="895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ЦЕЛИ СБОРА ПЕРСОНАЛЬНЫХ ДАННЫХ, ДЕЙСТВИЯ ОПЕРАТОРА С ПЕРСОНАЛЬНЫМИ ДАННЫМИ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Оператор использует Персональные данные Пользователя в следующих целях: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ведение кадрового, бухгалтерского и налогового учета, исполнение обязанностей работодателя и юридического лица, предусмотренных законодательством Российской Федерации;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продвижение товаров, работ, услуг на рынке;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обработка обращений, заявок и запросов Пользователей Сайта и предоставление информации о продуктах, услугах, сервисах и деятельности ООО «Цифровая методология в связи с направленным им запросом»;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подготовка и направление предложений о сотрудничестве, консультаций и информации о возможностях использования продуктов ООО «Цифровая методология»;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заключение и исполнение договоров при принятии Пользователем решения о приобретении услуг;</w:t>
      </w:r>
    </w:p>
    <w:p>
      <w:pPr>
        <w:pStyle w:val="ListParagraph"/>
        <w:numPr>
          <w:ilvl w:val="1"/>
          <w:numId w:val="6"/>
        </w:numPr>
        <w:ind w:firstLine="38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Цели использования Cookies и аналитики: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определения локации посетителя Сайта для обеспечения безопасности, предотвращения мошенничества;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анализ трафика и поведения пользователей с целью улучшения работы сайта.</w:t>
      </w:r>
    </w:p>
    <w:p>
      <w:pPr>
        <w:pStyle w:val="ListParagraph"/>
        <w:ind w:start="0"/>
        <w:jc w:val="both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ListParagraph"/>
        <w:numPr>
          <w:ilvl w:val="0"/>
          <w:numId w:val="6"/>
        </w:numPr>
        <w:ind w:hanging="360" w:start="540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ОБЪЕМ И КАТЕГОРИИ ОБРАБАТЫВАЕМЫХ ПЕРСОНАЛЬНЫХ ДАННЫХ</w:t>
      </w:r>
    </w:p>
    <w:p>
      <w:pPr>
        <w:pStyle w:val="ListParagraph"/>
        <w:ind w:start="540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tbl>
      <w:tblPr>
        <w:tblStyle w:val="ac"/>
        <w:tblW w:w="10626" w:type="dxa"/>
        <w:jc w:val="start"/>
        <w:tblInd w:w="-128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906"/>
        <w:gridCol w:w="3190"/>
        <w:gridCol w:w="4530"/>
      </w:tblGrid>
      <w:tr>
        <w:trPr>
          <w:trHeight w:val="354" w:hRule="atLeast"/>
        </w:trPr>
        <w:tc>
          <w:tcPr>
            <w:tcW w:w="290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eastAsia="Aptos" w:cs="Calibri" w:ascii="Calibri" w:hAnsi="Calibri"/>
                <w:b/>
                <w:bCs/>
                <w:kern w:val="2"/>
                <w:sz w:val="24"/>
                <w:szCs w:val="24"/>
                <w:lang w:val="ru-RU" w:eastAsia="en-US" w:bidi="ar-SA"/>
              </w:rPr>
              <w:t>Категория субъектов персональных данных</w:t>
            </w:r>
          </w:p>
        </w:tc>
        <w:tc>
          <w:tcPr>
            <w:tcW w:w="319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eastAsia="Aptos" w:cs="Calibri" w:ascii="Calibri" w:hAnsi="Calibri"/>
                <w:b/>
                <w:bCs/>
                <w:kern w:val="2"/>
                <w:sz w:val="24"/>
                <w:szCs w:val="24"/>
                <w:lang w:val="ru-RU" w:eastAsia="en-US" w:bidi="ar-SA"/>
              </w:rPr>
              <w:t>Категория персональных данных</w:t>
            </w:r>
          </w:p>
        </w:tc>
        <w:tc>
          <w:tcPr>
            <w:tcW w:w="4530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start="0"/>
              <w:contextualSpacing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eastAsia="Aptos" w:cs="Calibri" w:ascii="Calibri" w:hAnsi="Calibri"/>
                <w:b/>
                <w:bCs/>
                <w:kern w:val="2"/>
                <w:sz w:val="24"/>
                <w:szCs w:val="24"/>
                <w:lang w:val="ru-RU" w:eastAsia="en-US" w:bidi="ar-SA"/>
              </w:rPr>
              <w:t>Цели использования</w:t>
            </w:r>
          </w:p>
        </w:tc>
      </w:tr>
      <w:tr>
        <w:trPr>
          <w:trHeight w:val="365" w:hRule="atLeast"/>
        </w:trPr>
        <w:tc>
          <w:tcPr>
            <w:tcW w:w="290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работники, соискатели</w:t>
            </w:r>
          </w:p>
        </w:tc>
        <w:tc>
          <w:tcPr>
            <w:tcW w:w="3190" w:type="dxa"/>
            <w:tcBorders/>
          </w:tcPr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40" w:before="0" w:after="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 xml:space="preserve">ФИО, 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40" w:before="0" w:after="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 xml:space="preserve">год, месяц, дата рождения; 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40" w:before="0" w:after="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место рождения;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40" w:before="0" w:after="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 xml:space="preserve">данные документа, удостоверяющего личность; 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40" w:before="0" w:after="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адрес регистрации;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40" w:before="0" w:after="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 xml:space="preserve">адрес места жительства; 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40" w:before="0" w:after="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 xml:space="preserve">номер телефона; 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40" w:before="0" w:after="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 xml:space="preserve">адрес электронной почты; 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40" w:before="0" w:after="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 xml:space="preserve">сведения об образовании; 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40" w:before="0" w:after="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сведения о трудовой деятельности.</w:t>
            </w:r>
          </w:p>
        </w:tc>
        <w:tc>
          <w:tcPr>
            <w:tcW w:w="4530" w:type="dxa"/>
            <w:tcBorders/>
          </w:tcPr>
          <w:p>
            <w:pPr>
              <w:pStyle w:val="ListParagraph"/>
              <w:widowControl/>
              <w:numPr>
                <w:ilvl w:val="0"/>
                <w:numId w:val="10"/>
              </w:numPr>
              <w:spacing w:lineRule="auto" w:line="240" w:before="0" w:after="0"/>
              <w:ind w:hanging="0" w:start="56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 xml:space="preserve">ведение кадрового, бухгалтерского и налогового учета, исполнение обязанностей работодателя и юридического лица, предусмотренных законодательством Российской Федерации; </w:t>
            </w:r>
          </w:p>
          <w:p>
            <w:pPr>
              <w:pStyle w:val="ListParagraph"/>
              <w:widowControl/>
              <w:spacing w:lineRule="auto" w:line="240" w:before="0" w:after="0"/>
              <w:ind w:start="56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65" w:hRule="atLeast"/>
        </w:trPr>
        <w:tc>
          <w:tcPr>
            <w:tcW w:w="2906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представители/работники клиентов и контрагентов оператора (юридических лиц)</w:t>
            </w:r>
          </w:p>
        </w:tc>
        <w:tc>
          <w:tcPr>
            <w:tcW w:w="3190" w:type="dxa"/>
            <w:tcBorders/>
          </w:tcPr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40" w:before="0" w:after="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 xml:space="preserve">адрес электронной почты </w:t>
              <w:br/>
              <w:t>(e-mail)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40" w:before="0" w:after="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фамилия, имя, отчество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40" w:before="0" w:after="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номер телефона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78" w:before="0" w:after="16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никнейм в Telegram</w:t>
            </w:r>
          </w:p>
          <w:p>
            <w:pPr>
              <w:pStyle w:val="ListParagraph"/>
              <w:widowControl/>
              <w:spacing w:lineRule="auto" w:line="240" w:before="0" w:after="0"/>
              <w:ind w:start="36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</w:r>
          </w:p>
          <w:p>
            <w:pPr>
              <w:pStyle w:val="ListParagraph"/>
              <w:widowControl/>
              <w:spacing w:lineRule="auto" w:line="240" w:before="0" w:after="0"/>
              <w:ind w:start="360"/>
              <w:contextualSpacing/>
              <w:jc w:val="start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4530" w:type="dxa"/>
            <w:tcBorders/>
          </w:tcPr>
          <w:p>
            <w:pPr>
              <w:pStyle w:val="ListParagraph"/>
              <w:widowControl/>
              <w:numPr>
                <w:ilvl w:val="0"/>
                <w:numId w:val="10"/>
              </w:numPr>
              <w:spacing w:lineRule="auto" w:line="240" w:before="0" w:after="0"/>
              <w:ind w:hanging="0" w:start="56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продвижение товаров, работ, услуг на рынке;</w:t>
            </w:r>
          </w:p>
          <w:p>
            <w:pPr>
              <w:pStyle w:val="ListParagraph"/>
              <w:widowControl/>
              <w:numPr>
                <w:ilvl w:val="0"/>
                <w:numId w:val="10"/>
              </w:numPr>
              <w:spacing w:lineRule="auto" w:line="240" w:before="0" w:after="0"/>
              <w:ind w:hanging="0" w:start="56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обработка обращений, заявок и запросов Пользователей Сайта и предоставление информации о продуктах, услугах, сервисах и деятельности ООО «Цифровая методология в связи с направленным им запросом»;</w:t>
            </w:r>
          </w:p>
          <w:p>
            <w:pPr>
              <w:pStyle w:val="ListParagraph"/>
              <w:widowControl/>
              <w:numPr>
                <w:ilvl w:val="0"/>
                <w:numId w:val="10"/>
              </w:numPr>
              <w:spacing w:lineRule="auto" w:line="240" w:before="0" w:after="0"/>
              <w:ind w:hanging="0" w:start="56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подготовка и направление предложений о сотрудничестве, консультаций и информации о возможностях использования продуктов ООО «Цифровая методология».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65" w:hRule="atLeast"/>
        </w:trPr>
        <w:tc>
          <w:tcPr>
            <w:tcW w:w="2906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3190" w:type="dxa"/>
            <w:tcBorders/>
          </w:tcPr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78" w:before="0" w:after="16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адрес электронной почты (e-mail)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78" w:before="0" w:after="16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фамилия, имя, отчество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78" w:before="0" w:after="16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должность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78" w:before="0" w:after="16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номер телефона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pacing w:lineRule="auto" w:line="278" w:before="0" w:after="16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никнейм в Telegram</w:t>
            </w:r>
          </w:p>
          <w:p>
            <w:pPr>
              <w:pStyle w:val="ListParagraph"/>
              <w:widowControl/>
              <w:spacing w:lineRule="auto" w:line="278" w:before="0" w:after="160"/>
              <w:ind w:start="36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4530" w:type="dxa"/>
            <w:tcBorders/>
          </w:tcPr>
          <w:p>
            <w:pPr>
              <w:pStyle w:val="ListParagraph"/>
              <w:widowControl/>
              <w:numPr>
                <w:ilvl w:val="0"/>
                <w:numId w:val="10"/>
              </w:numPr>
              <w:spacing w:lineRule="auto" w:line="240" w:before="0" w:after="0"/>
              <w:ind w:hanging="0" w:start="56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заключение и исполнение договоров при принятии Пользователем  решения о приобретении услуг;</w:t>
            </w:r>
          </w:p>
          <w:p>
            <w:pPr>
              <w:pStyle w:val="Normal"/>
              <w:widowControl/>
              <w:spacing w:lineRule="auto" w:line="240" w:before="0" w:after="0"/>
              <w:ind w:start="175"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65" w:hRule="atLeast"/>
        </w:trPr>
        <w:tc>
          <w:tcPr>
            <w:tcW w:w="290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Пользователи и посетители Сайта</w:t>
            </w:r>
          </w:p>
        </w:tc>
        <w:tc>
          <w:tcPr>
            <w:tcW w:w="3190" w:type="dxa"/>
            <w:tcBorders/>
          </w:tcPr>
          <w:p>
            <w:pPr>
              <w:pStyle w:val="Normal"/>
              <w:widowControl/>
              <w:numPr>
                <w:ilvl w:val="0"/>
                <w:numId w:val="8"/>
              </w:numPr>
              <w:spacing w:lineRule="auto" w:line="240" w:before="0" w:after="0"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 xml:space="preserve">данные сookies, </w:t>
            </w: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en-US" w:eastAsia="en-US" w:bidi="ar-SA"/>
              </w:rPr>
              <w:t>IP</w:t>
            </w: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- адрес, сведения о браузере и устройстве, сведения о действиях пользователя на сайте;</w:t>
            </w:r>
          </w:p>
          <w:p>
            <w:pPr>
              <w:pStyle w:val="Normal"/>
              <w:widowControl/>
              <w:spacing w:lineRule="auto" w:line="240" w:before="0" w:after="0"/>
              <w:ind w:start="360"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данные веб-аналитики</w:t>
            </w:r>
          </w:p>
        </w:tc>
        <w:tc>
          <w:tcPr>
            <w:tcW w:w="4530" w:type="dxa"/>
            <w:tcBorders/>
          </w:tcPr>
          <w:p>
            <w:pPr>
              <w:pStyle w:val="ListParagraph"/>
              <w:widowControl/>
              <w:numPr>
                <w:ilvl w:val="0"/>
                <w:numId w:val="8"/>
              </w:numPr>
              <w:spacing w:lineRule="auto" w:line="240" w:before="0" w:after="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 xml:space="preserve">определения локации Пользователя и посетителя Сайта для обеспечения безопасности, предотвращения мошенничества; </w:t>
            </w:r>
          </w:p>
          <w:p>
            <w:pPr>
              <w:pStyle w:val="ListParagraph"/>
              <w:widowControl/>
              <w:numPr>
                <w:ilvl w:val="0"/>
                <w:numId w:val="8"/>
              </w:numPr>
              <w:spacing w:lineRule="auto" w:line="240" w:before="0" w:after="0"/>
              <w:contextualSpacing/>
              <w:jc w:val="both"/>
              <w:rPr>
                <w:rFonts w:ascii="Calibri" w:hAnsi="Calibri" w:cs="Calibri"/>
              </w:rPr>
            </w:pPr>
            <w:r>
              <w:rPr>
                <w:rFonts w:eastAsia="Aptos" w:cs="Calibri" w:ascii="Calibri" w:hAnsi="Calibri"/>
                <w:kern w:val="2"/>
                <w:sz w:val="24"/>
                <w:szCs w:val="24"/>
                <w:lang w:val="ru-RU" w:eastAsia="en-US" w:bidi="ar-SA"/>
              </w:rPr>
              <w:t>анализ трафика и поведения Пользователей и посетителей Сайта с целью улучшения работы сайта.</w:t>
            </w:r>
          </w:p>
        </w:tc>
      </w:tr>
    </w:tbl>
    <w:p>
      <w:pPr>
        <w:pStyle w:val="ListParagraph"/>
        <w:ind w:start="540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Оператор не собирает и не обрабатывает персональные данные, касающиеся расовой, национальной принадлежности, политических взглядов, религиозных или философских убеждений, состояния здоровья, интимной жизни (специальные категории ПД).</w:t>
      </w:r>
    </w:p>
    <w:p>
      <w:pPr>
        <w:pStyle w:val="ListParagraph"/>
        <w:ind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ПРАВОВЫЕ ОСНОВАНИЯ ОБРАБОТКИ ПЕРСОНАЛЬНЫХ ДАННЫХ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Правовыми основаниями обработки Персональных данных являются:</w:t>
      </w:r>
    </w:p>
    <w:p>
      <w:pPr>
        <w:pStyle w:val="Normal"/>
        <w:numPr>
          <w:ilvl w:val="0"/>
          <w:numId w:val="1"/>
        </w:numPr>
        <w:spacing w:before="0" w:after="0"/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Гражданский кодекс Российской Федерации;</w:t>
      </w:r>
    </w:p>
    <w:p>
      <w:pPr>
        <w:pStyle w:val="Normal"/>
        <w:numPr>
          <w:ilvl w:val="0"/>
          <w:numId w:val="1"/>
        </w:numPr>
        <w:spacing w:before="0" w:after="0"/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Договоры, заключаемые между Оператором и Пользователем;</w:t>
      </w:r>
    </w:p>
    <w:p>
      <w:pPr>
        <w:pStyle w:val="Normal"/>
        <w:numPr>
          <w:ilvl w:val="0"/>
          <w:numId w:val="1"/>
        </w:numPr>
        <w:spacing w:before="0" w:after="0"/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Согласие Пользователя на обработку персональных данных.</w:t>
      </w:r>
    </w:p>
    <w:p>
      <w:pPr>
        <w:pStyle w:val="Normal"/>
        <w:spacing w:before="0" w:after="0"/>
        <w:ind w:start="714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ПОРЯДОК И УСЛОВИЯ ПОЛУЧЕНИЯ СОГЛАСИЯ НА ОБРАБОТКУ ПЕРСОНАЛЬНЫХ</w:t>
      </w:r>
    </w:p>
    <w:p>
      <w:pPr>
        <w:pStyle w:val="ListParagraph"/>
        <w:jc w:val="both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ДАННЫХ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Пользователь предоставляет согласие на обработку персональных данных: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При заполнении форм обратной связи — путём проставления галочки в поле «Я даю согласие на обработку персональных данных и соглашаюсь с политикой конфиденциальности ООО «Цифровая методология» и нажатия кнопки «Отправить заявку».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При использовании сайта — на сбор файлов Cookies (путём согласия с всплывающим уведомлением при первом посещении Сайта).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Согласие действует до достижения целей обработки либо до его отзыва Пользователем.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Пользователь вправе отозвать согласие, направив письменное уведомление Оператору по адресу </w:t>
      </w:r>
      <w:r>
        <w:rPr>
          <w:rStyle w:val="Hyperlink"/>
          <w:rFonts w:cs="Calibri" w:ascii="Inter;system-ui;sans-serif" w:hAnsi="Inter;system-ui;sans-serif"/>
          <w:b w:val="false"/>
          <w:bCs w:val="false"/>
          <w:i w:val="false"/>
          <w:caps w:val="false"/>
          <w:smallCaps w:val="false"/>
          <w:color w:val="auto"/>
          <w:spacing w:val="0"/>
          <w:sz w:val="24"/>
          <w:szCs w:val="24"/>
          <w:u w:val="none"/>
          <w:shd w:fill="auto" w:val="clear"/>
        </w:rPr>
        <w:t>digital-methodology@ya.ru</w:t>
      </w:r>
      <w:r>
        <w:rPr>
          <w:rFonts w:cs="Calibri" w:ascii="Calibri" w:hAnsi="Calibri"/>
          <w:u w:val="none"/>
        </w:rPr>
        <w:t>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Использование Сайта, а также заполнение форм обратной связи, размещенных на Сайте, Пользователем, означает согласие с настоящей Политикой и условиями обработки Персональных данных Пользователя.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В случае несогласия с положениями Политики Пользователь должен незамедлительно прекратить использование Сайта.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При обработке Персональных данных Оператор действует разумно и добросовестно, исходя из того, что настоящим Пользователь: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подтверждает, что представляемые им данные принадлежат ему лично;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подтверждает, что обладает всеми необходимыми правами, позволяющими ему заполнять формы обратной связи на Сайте;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подтверждает, что он внимательно ознакомился с изложенными в Политике условиями использования персональных данных;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выражает полное и безоговорочное согласие с настоящей Политикой и указанными в ней условиями сбора и обработки персональной информации.</w:t>
      </w:r>
    </w:p>
    <w:p>
      <w:pPr>
        <w:pStyle w:val="ListParagraph"/>
        <w:ind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ПОРЯДОК И УСЛОВИЯ ОБРАБОТКИ ПЕРСОНАЛЬНЫХ ДАННЫХ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Для достижения целей обработки персональных данных Оператор вправе производить следующие действия с персональными данными: сбор, запись, систематизацию, накопление, хранение, уточнение (обновление, изменение), передачу, использование, обезличивание, блокирование, удаление, уничтожение персональных данных.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Обработка персональных данных может осуществляться как автоматизированным, так и неавтоматизированным способом.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Обработка Персональных данных Пользователя осуществляется в срок: до достижения целей обработки либо до отзыва субъектом персональных данных своего согласия.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Прекращение обработки персональных данных осуществляется по достижению целей обработки персональных данных, истечения срока действия согласия или отзыва согласия субъекта персональных данных на обработку его персональных данных, а также выявление неправомерной обработки персональных данных.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Базы данных Сайта, содержащие персональные данные граждан Российской Федерации, находятся на территории Российской Федерации.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Оператор вправе поручить обработку данных сookies, </w:t>
      </w:r>
      <w:r>
        <w:rPr>
          <w:rFonts w:cs="Calibri" w:ascii="Calibri" w:hAnsi="Calibri"/>
          <w:lang w:val="en-US"/>
        </w:rPr>
        <w:t>IP</w:t>
      </w:r>
      <w:r>
        <w:rPr>
          <w:rFonts w:cs="Calibri" w:ascii="Calibri" w:hAnsi="Calibri"/>
        </w:rPr>
        <w:t>- адреса, сведений о браузере и устройстве Пользователя, сведений о действиях Пользователя на Сайте следующим лицам:</w:t>
        <w:br/>
        <w:t>- ООО «ЯНДЕКС» (119021, Россия, Москва, ул. Льва Толстого, д. 16) — при использовании сервиса Яндекс.Метрика в целях осуществления веб-аналитики, обработки файлов cookie, технических данных;</w:t>
        <w:br/>
        <w:t>- ООО «ВК» (125167, Россия, г. Москва, Ленинградский проспект, д. 39, стр. 79) — при использовании сервисов myTracker / VK Реклама / пиксель VK в целях осуществления веб-аналитики, обработки файлов cookie, технических данных.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Передача персональных данных Оператором третьим лицам разрешена в следующих случаях: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Передача осуществляется организациям электронной почтовой связи, операторам связи, провайдерам хостинга исключительно для выполнения заявок Пользователя;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Для защиты прав и законных интересов Оператора;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По запросу органов дознания и следствия, иным уполномоченных органов по основаниям, предусмотренным действующим законодательством Российской Федерации.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Оператор и иные лица, получившие доступ к персональным данным, обязаны не раскрывать третьим лицам и не распространять персональные данные без согласия субъекта персональных данных.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Оператор принимает необходимые и достаточные организационные и технические меры для защиты Персональных данных, в том числе: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назначение ответственного за организацию обработки персональных данных;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утверждение локальных нормативных актов по организации обработки персональных данных;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ограничение круга лиц, имеющих доступ к Персональным данным;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использование шифрования персональных данных и антивирусной защиты;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регулярное резервное копирование;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сканирование уязвимостей информационных систем;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регистрация и учёт действий пользователей информационных систем;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обязательное использование двухфакторной аутентификации сотрудниками Оператора;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обучение работников требованиям законодательства о персональных данных.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Пользователь также обязан принимать меры для защиты своих данных: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использовать сложные пароли;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сохранять конфиденциальность данных учётной записи;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незамедлительно уведомлять Оператора о несанкционированном доступе;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завершать сессию работы с Личным кабинетом в браузере.</w:t>
      </w:r>
    </w:p>
    <w:p>
      <w:pPr>
        <w:pStyle w:val="ListParagraph"/>
        <w:ind w:start="540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УНИЧТОЖЕНИЕ ПЕРСОНАЛЬНЫХ ДАННЫХ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Персональные данные подлежат уничтожению в течение 10 дней после:</w:t>
      </w:r>
    </w:p>
    <w:p>
      <w:pPr>
        <w:pStyle w:val="Normal"/>
        <w:numPr>
          <w:ilvl w:val="0"/>
          <w:numId w:val="2"/>
        </w:numPr>
        <w:spacing w:before="0" w:after="0"/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достижения целей обработки;</w:t>
      </w:r>
    </w:p>
    <w:p>
      <w:pPr>
        <w:pStyle w:val="Normal"/>
        <w:numPr>
          <w:ilvl w:val="0"/>
          <w:numId w:val="2"/>
        </w:numPr>
        <w:spacing w:before="0" w:after="0"/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отзыва согласия Пользователем, если иное не предусмотрено договором или законом;</w:t>
      </w:r>
    </w:p>
    <w:p>
      <w:pPr>
        <w:pStyle w:val="Normal"/>
        <w:numPr>
          <w:ilvl w:val="0"/>
          <w:numId w:val="2"/>
        </w:numPr>
        <w:spacing w:before="0" w:after="0"/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выявления неправомерной обработки.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Уничтожение осуществляется комиссией, созданной приказом руководителя Оператора, с составлением акта об уничтожении.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Способы уничтожения:</w:t>
      </w:r>
    </w:p>
    <w:p>
      <w:pPr>
        <w:pStyle w:val="Normal"/>
        <w:numPr>
          <w:ilvl w:val="0"/>
          <w:numId w:val="3"/>
        </w:numPr>
        <w:spacing w:before="0" w:after="0"/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в информационных системах — удаление значений в базе данных без возможности восстановления;</w:t>
      </w:r>
    </w:p>
    <w:p>
      <w:pPr>
        <w:pStyle w:val="Normal"/>
        <w:numPr>
          <w:ilvl w:val="0"/>
          <w:numId w:val="3"/>
        </w:numPr>
        <w:spacing w:before="0" w:after="0"/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на бумажных носителях — измельчение (шредер).</w:t>
      </w:r>
    </w:p>
    <w:p>
      <w:pPr>
        <w:pStyle w:val="ListParagraph"/>
        <w:ind w:start="862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ОТВЕТСТВЕННОСТЬ СТОРОН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Оператор несёт ответственность за убытки, понесённые Пользователем в связи с неправомерным использованием Персональных данных, в соответствии с законодательством РФ, за исключением случаев, когда: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информация стала публичным достоянием до её утраты или разглашения;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информация была получена от третьей стороны до момента её получения Оператором;</w:t>
      </w:r>
    </w:p>
    <w:p>
      <w:pPr>
        <w:pStyle w:val="ListParagraph"/>
        <w:numPr>
          <w:ilvl w:val="2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информация была разглашена с согласия Пользователя.</w:t>
      </w:r>
    </w:p>
    <w:p>
      <w:pPr>
        <w:pStyle w:val="ListParagraph"/>
        <w:ind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ПОРЯДОК ОФОРМЛЕНИЯ И НАПРАВЛЕНИЯ ЗАПРОСОВ (ОБРАЩЕНИЙ)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По вопросам, связанным с настоящей Политикой, Пользователь может обратиться:</w:t>
      </w:r>
    </w:p>
    <w:p>
      <w:pPr>
        <w:pStyle w:val="Normal"/>
        <w:numPr>
          <w:ilvl w:val="0"/>
          <w:numId w:val="4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по электронной почте: </w:t>
      </w:r>
      <w:r>
        <w:rPr>
          <w:rStyle w:val="Hyperlink"/>
          <w:rFonts w:cs="Calibri" w:ascii="Calibri" w:hAnsi="Calibri"/>
          <w:b w:val="false"/>
          <w:bCs w:val="false"/>
          <w:i w:val="false"/>
          <w:caps w:val="false"/>
          <w:smallCaps w:val="false"/>
          <w:color w:val="auto"/>
          <w:spacing w:val="0"/>
          <w:sz w:val="24"/>
          <w:szCs w:val="24"/>
          <w:u w:val="none"/>
          <w:shd w:fill="auto" w:val="clear"/>
        </w:rPr>
        <w:t>digital-methodology@ya.ru</w:t>
      </w:r>
      <w:r>
        <w:rPr>
          <w:rFonts w:cs="Calibri" w:ascii="Calibri" w:hAnsi="Calibri"/>
        </w:rPr>
        <w:t>;</w:t>
      </w:r>
    </w:p>
    <w:p>
      <w:pPr>
        <w:pStyle w:val="Normal"/>
        <w:numPr>
          <w:ilvl w:val="0"/>
          <w:numId w:val="4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по почтовому адресу</w:t>
      </w:r>
      <w:r>
        <w:rPr>
          <w:rFonts w:cs="Calibri" w:ascii="Calibri" w:hAnsi="Calibri"/>
          <w:shd w:fill="auto" w:val="clear"/>
        </w:rPr>
        <w:t>: </w:t>
      </w:r>
      <w:r>
        <w:rPr>
          <w:rFonts w:cs="Calibri" w:ascii="Calibri" w:hAnsi="Calibri"/>
          <w:shd w:fill="auto" w:val="clear"/>
        </w:rPr>
        <w:t>Московская обл., г. Дубна, ул. Пионерская, д. 42/37</w:t>
      </w:r>
      <w:r>
        <w:rPr>
          <w:rFonts w:cs="Calibri" w:ascii="Calibri" w:hAnsi="Calibri"/>
        </w:rPr>
        <w:t>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Запрос в письменной форме должен содержать:</w:t>
      </w:r>
    </w:p>
    <w:p>
      <w:pPr>
        <w:pStyle w:val="Normal"/>
        <w:numPr>
          <w:ilvl w:val="0"/>
          <w:numId w:val="5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сведения, подтверждающие участие субъекта персональных данных в отношениях с Оператором (например, адрес электронной почты, указанный при регистрации);</w:t>
      </w:r>
    </w:p>
    <w:p>
      <w:pPr>
        <w:pStyle w:val="Normal"/>
        <w:numPr>
          <w:ilvl w:val="0"/>
          <w:numId w:val="5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суть запроса (уточнение, удаление, блокирование, отзыв согласия и т.п.);</w:t>
      </w:r>
    </w:p>
    <w:p>
      <w:pPr>
        <w:pStyle w:val="Normal"/>
        <w:numPr>
          <w:ilvl w:val="0"/>
          <w:numId w:val="5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подпись субъекта персональных данных.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Запрос может быть направлен в форме электронного документа, подписанного электронной подписью в соответствии с законодательством РФ.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Оператор предоставляет ответ в течение 10 рабочих дней с даты получения запроса. Указанный срок может быть продлён не более чем на 5 рабочих дней с направлением Пользователю мотивированного уведомления.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Для отзыва согласия на обработку персональных данных или требования о прекращении обработки используется отдельный адрес электронной почты:</w:t>
      </w:r>
      <w:r>
        <w:rPr>
          <w:rFonts w:cs="Calibri" w:ascii="Calibri" w:hAnsi="Calibri"/>
          <w:sz w:val="21"/>
          <w:szCs w:val="21"/>
          <w:shd w:fill="FFFFFF" w:val="clear"/>
        </w:rPr>
        <w:t xml:space="preserve"> </w:t>
      </w:r>
      <w:r>
        <w:rPr>
          <w:rStyle w:val="Hyperlink"/>
          <w:rFonts w:cs="Calibri" w:ascii="Calibri" w:hAnsi="Calibri"/>
          <w:b w:val="false"/>
          <w:bCs w:val="false"/>
          <w:i w:val="false"/>
          <w:caps w:val="false"/>
          <w:smallCaps w:val="false"/>
          <w:color w:val="auto"/>
          <w:spacing w:val="0"/>
          <w:sz w:val="24"/>
          <w:szCs w:val="24"/>
          <w:u w:val="none"/>
          <w:shd w:fill="auto" w:val="clear"/>
        </w:rPr>
        <w:t>digital-methodology@ya.ru</w:t>
      </w:r>
      <w:r>
        <w:rPr>
          <w:rFonts w:cs="Calibri" w:ascii="Calibri" w:hAnsi="Calibri"/>
        </w:rPr>
        <w:t>.</w:t>
      </w:r>
    </w:p>
    <w:p>
      <w:pPr>
        <w:pStyle w:val="ListParagraph"/>
        <w:ind w:start="540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ПОРЯДОК РАЗРЕШЕНИЯ СПОРОВ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Споры рассматриваются в соответствии с действующим законодательством Российской Федерации.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К настоящей Политике и отношениям между Пользователем и Оператором применяется право Российской Федерации.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До обращения в суд обязательно предъявление претензии в письменной форме. Срок ответа на претензию — 30 календарных дней.</w:t>
      </w:r>
    </w:p>
    <w:p>
      <w:pPr>
        <w:pStyle w:val="ListParagraph"/>
        <w:ind w:start="540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ИСПОЛЬЗОВАНИЕ COOKIES И АНАЛИТИЧЕСКИЕ СЕРВИСЫ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Пользователь может отключить использование файлов cookies в настройках браузера. Изменения пользовательских настроек, в результате которых файлы Cookies будут заблокированы, могут привести к недоступности отдельных компонентов Сайта.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Оператор вправе поручить обработку данных сookies, </w:t>
      </w:r>
      <w:r>
        <w:rPr>
          <w:rFonts w:cs="Calibri" w:ascii="Calibri" w:hAnsi="Calibri"/>
          <w:lang w:val="en-US"/>
        </w:rPr>
        <w:t>IP</w:t>
      </w:r>
      <w:r>
        <w:rPr>
          <w:rFonts w:cs="Calibri" w:ascii="Calibri" w:hAnsi="Calibri"/>
        </w:rPr>
        <w:t>- адреса, сведений о браузере и устройстве Пользователя, сведений о действиях Пользователя на Сайте следующим лицам:</w:t>
        <w:br/>
        <w:t>- ООО «ЯНДЕКС» (119021, Россия, Москва, ул. Льва Толстого, д. 16) — при использовании сервиса Яндекс.Метрика в целях осуществления веб-аналитики, обработки файлов cookie, технических данных;</w:t>
        <w:br/>
        <w:t>- ООО «ВК» (125167, Россия, г. Москва, Ленинградский проспект, д. 39, стр. 79) — при использовании сервисов myTracker / VK Реклама / пиксель VK в целях осуществления веб-аналитики, обработки файлов cookie, технических данных.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Данные, собираемые с использованием указанных сервисов, не объединяются с иной персональной информацией Пользователя и не используются для идентификации.</w:t>
      </w:r>
    </w:p>
    <w:p>
      <w:pPr>
        <w:pStyle w:val="ListParagraph"/>
        <w:ind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ЗАКЛЮЧИТЕЛЬНЫЕ ПОЛОЖЕНИЯ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Настоящая Политика вступает в силу с момента её размещения на Сайте и действует до замены её новой редакцией.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Оператор вправе вносить изменения в Политику в любое время в одностороннем порядке без предварительного уведомления Пользователя. Новая редакция Политики действует с момента её размещения на Сайте.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Пользователь обязан самостоятельно и регулярно знакомиться с актуальной редакцией Политики.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  <w:highlight w:val="yellow"/>
        </w:rPr>
      </w:pPr>
      <w:r>
        <w:rPr>
          <w:rFonts w:cs="Calibri" w:ascii="Calibri" w:hAnsi="Calibri"/>
        </w:rPr>
        <w:t>Политика утверждена приказом руководителя Оператора.</w:t>
      </w:r>
    </w:p>
    <w:p>
      <w:pPr>
        <w:pStyle w:val="ListParagraph"/>
        <w:numPr>
          <w:ilvl w:val="1"/>
          <w:numId w:val="6"/>
        </w:numPr>
        <w:ind w:hanging="0" w:start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Контроль исполнения требований Политики осуществляется лицом, ответственным за организацию обработки персональных данных у Оператора.</w:t>
      </w:r>
    </w:p>
    <w:p>
      <w:pPr>
        <w:pStyle w:val="Normal"/>
        <w:jc w:val="both"/>
        <w:rPr>
          <w:rFonts w:ascii="Calibri" w:hAnsi="Calibri" w:cs="Calibri"/>
        </w:rPr>
      </w:pPr>
      <w:r>
        <w:rPr/>
        <mc:AlternateContent>
          <mc:Choice Requires="wps">
            <w:drawing>
              <wp:inline distT="0" distB="0" distL="0" distR="0">
                <wp:extent cx="5940425" cy="9525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0.8pt;width:467.7pt;height:0.7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jc w:val="both"/>
        <w:rPr>
          <w:rFonts w:ascii="Calibri" w:hAnsi="Calibri" w:cs="Calibri"/>
          <w:b/>
          <w:bCs/>
        </w:rPr>
      </w:pPr>
      <w:r>
        <w:rPr>
          <w:rFonts w:cs="Calibri" w:ascii="Calibri" w:hAnsi="Calibri"/>
          <w:b/>
          <w:bCs/>
        </w:rPr>
        <w:t>КОНТАКТНАЯ ИНФОРМАЦИЯ ОПЕРАТОРА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Полное наименование:</w:t>
      </w:r>
      <w:r>
        <w:rPr>
          <w:rFonts w:cs="Calibri" w:ascii="Calibri" w:hAnsi="Calibri"/>
        </w:rPr>
        <w:t xml:space="preserve">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Сокращённое наименование:</w:t>
      </w:r>
      <w:r>
        <w:rPr>
          <w:rFonts w:cs="Calibri" w:ascii="Calibri" w:hAnsi="Calibri"/>
        </w:rPr>
        <w:t> </w:t>
      </w:r>
    </w:p>
    <w:p>
      <w:pPr>
        <w:pStyle w:val="Normal"/>
        <w:jc w:val="both"/>
        <w:rPr>
          <w:rFonts w:ascii="Calibri" w:hAnsi="Calibri" w:cs="Calibri"/>
          <w:highlight w:val="yellow"/>
        </w:rPr>
      </w:pPr>
      <w:r>
        <w:rPr>
          <w:rFonts w:cs="Calibri" w:ascii="Calibri" w:hAnsi="Calibri"/>
          <w:b/>
          <w:bCs/>
        </w:rPr>
        <w:t>ОГРН:</w:t>
      </w:r>
      <w:r>
        <w:rPr>
          <w:rFonts w:cs="Calibri" w:ascii="Calibri" w:hAnsi="Calibri"/>
        </w:rPr>
        <w:t xml:space="preserve"> 1235000008275 </w:t>
      </w:r>
      <w:r>
        <w:rPr>
          <w:rFonts w:cs="Calibri" w:ascii="Calibri" w:hAnsi="Calibri"/>
          <w:b/>
          <w:bCs/>
        </w:rPr>
        <w:t>ИНН:</w:t>
      </w:r>
      <w:r>
        <w:rPr>
          <w:rFonts w:cs="Calibri" w:ascii="Calibri" w:hAnsi="Calibri"/>
        </w:rPr>
        <w:t> 5010060840</w:t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cs="Calibri" w:ascii="Calibri" w:hAnsi="Calibri"/>
          <w:b/>
          <w:bCs/>
          <w:shd w:fill="auto" w:val="clear"/>
        </w:rPr>
        <w:t>Юридический адрес:</w:t>
      </w:r>
      <w:r>
        <w:rPr>
          <w:rFonts w:cs="Calibri" w:ascii="Calibri" w:hAnsi="Calibri"/>
          <w:shd w:fill="auto" w:val="clear"/>
        </w:rPr>
        <w:t> </w:t>
      </w:r>
      <w:r>
        <w:rPr>
          <w:rFonts w:cs="Calibri" w:ascii="Calibri" w:hAnsi="Calibri"/>
          <w:shd w:fill="auto" w:val="clear"/>
        </w:rPr>
        <w:t>Московская обл., г. Дубна, ул. Пионерская, д. 42/37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Адрес сайта:</w:t>
      </w:r>
      <w:r>
        <w:rPr>
          <w:rFonts w:cs="Calibri" w:ascii="Calibri" w:hAnsi="Calibri"/>
        </w:rPr>
        <w:t> </w:t>
      </w:r>
      <w:hyperlink r:id="rId6">
        <w:r>
          <w:rPr>
            <w:rStyle w:val="Hyperlink"/>
            <w:rFonts w:cs="Calibri" w:ascii="Calibri" w:hAnsi="Calibri"/>
          </w:rPr>
          <w:t>https://цифровая-методология.рф</w:t>
        </w:r>
      </w:hyperlink>
      <w:r>
        <w:rPr>
          <w:rFonts w:cs="Calibri" w:ascii="Calibri" w:hAnsi="Calibri"/>
        </w:rPr>
        <w:t>,  </w:t>
      </w:r>
      <w:hyperlink r:id="rId7">
        <w:r>
          <w:rPr>
            <w:rStyle w:val="Hyperlink"/>
            <w:rFonts w:cs="Calibri" w:ascii="Calibri" w:hAnsi="Calibri"/>
          </w:rPr>
          <w:t>https://digital-methodology.ru</w:t>
        </w:r>
      </w:hyperlink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Email для запросов (общий):</w:t>
      </w:r>
      <w:r>
        <w:rPr>
          <w:rFonts w:cs="Calibri" w:ascii="Calibri" w:hAnsi="Calibri"/>
        </w:rPr>
        <w:t> </w:t>
      </w:r>
      <w:r>
        <w:rPr>
          <w:rStyle w:val="Hyperlink"/>
          <w:rFonts w:cs="Calibri" w:ascii="Calibri" w:hAnsi="Calibri"/>
          <w:b w:val="false"/>
          <w:bCs w:val="false"/>
          <w:i w:val="false"/>
          <w:caps w:val="false"/>
          <w:smallCaps w:val="false"/>
          <w:color w:val="auto"/>
          <w:spacing w:val="0"/>
          <w:sz w:val="24"/>
          <w:szCs w:val="24"/>
          <w:u w:val="none"/>
          <w:shd w:fill="auto" w:val="clear"/>
        </w:rPr>
        <w:t>digital-methodology@ya.ru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Email для отзыва согласия:</w:t>
      </w:r>
      <w:r>
        <w:rPr>
          <w:rFonts w:cs="Calibri" w:ascii="Calibri" w:hAnsi="Calibri"/>
        </w:rPr>
        <w:t> </w:t>
      </w:r>
      <w:r>
        <w:rPr>
          <w:rStyle w:val="Hyperlink"/>
          <w:rFonts w:cs="Calibri" w:ascii="Calibri" w:hAnsi="Calibri"/>
          <w:b w:val="false"/>
          <w:bCs w:val="false"/>
          <w:i w:val="false"/>
          <w:caps w:val="false"/>
          <w:smallCaps w:val="false"/>
          <w:color w:val="auto"/>
          <w:spacing w:val="0"/>
          <w:sz w:val="24"/>
          <w:szCs w:val="24"/>
          <w:u w:val="none"/>
          <w:shd w:fill="auto" w:val="clear"/>
        </w:rPr>
        <w:t>digital-methodology@ya.ru</w:t>
      </w:r>
    </w:p>
    <w:p>
      <w:pPr>
        <w:pStyle w:val="Normal"/>
        <w:jc w:val="both"/>
        <w:rPr>
          <w:rFonts w:ascii="Calibri" w:hAnsi="Calibri" w:cs="Calibri"/>
          <w:b w:val="false"/>
          <w:bCs w:val="false"/>
          <w:u w:val="none"/>
        </w:rPr>
      </w:pPr>
      <w:r>
        <w:rPr>
          <w:rFonts w:cs="Calibri" w:ascii="Calibri" w:hAnsi="Calibri"/>
          <w:b/>
          <w:bCs/>
        </w:rPr>
        <w:t>Лицо, ответственное за обработку персональных данных:</w:t>
      </w:r>
      <w:r>
        <w:rPr>
          <w:rFonts w:cs="Calibri" w:ascii="Calibri" w:hAnsi="Calibri"/>
        </w:rPr>
        <w:t xml:space="preserve"> </w:t>
      </w:r>
      <w:r>
        <w:rPr>
          <w:rFonts w:cs="Calibri" w:ascii="Calibri" w:hAnsi="Calibri"/>
          <w:b w:val="false"/>
          <w:bCs w:val="false"/>
          <w:u w:val="none"/>
          <w:shd w:fill="auto" w:val="clear"/>
        </w:rPr>
        <w:t>Зименкова Екатерина Олеговна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spacing w:before="0" w:after="160"/>
        <w:rPr>
          <w:rFonts w:ascii="Calibri" w:hAnsi="Calibri" w:cs="Calibri"/>
        </w:rPr>
      </w:pPr>
      <w:r>
        <w:rPr>
          <w:rFonts w:cs="Calibri" w:ascii="Calibri" w:hAnsi="Calibri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Inter">
    <w:altName w:val="system-ui"/>
    <w:charset w:val="01" w:characterSet="utf-8"/>
    <w:family w:val="auto"/>
    <w:pitch w:val="default"/>
  </w:font>
  <w:font w:name="Calibri">
    <w:charset w:val="01"/>
    <w:family w:val="swiss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0" w:hanging="360"/>
      </w:pPr>
      <w:rPr>
        <w:b/>
        <w:bCs/>
      </w:rPr>
    </w:lvl>
    <w:lvl w:ilvl="1">
      <w:start w:val="1"/>
      <w:numFmt w:val="decimal"/>
      <w:isLgl/>
      <w:lvlText w:val="%1.%2."/>
      <w:lvlJc w:val="start"/>
      <w:pPr>
        <w:tabs>
          <w:tab w:val="num" w:pos="0"/>
        </w:tabs>
        <w:ind w:start="-180" w:hanging="540"/>
      </w:pPr>
      <w:rPr/>
    </w:lvl>
    <w:lvl w:ilvl="2">
      <w:start w:val="1"/>
      <w:numFmt w:val="bullet"/>
      <w:lvlText w:val=""/>
      <w:lvlJc w:val="start"/>
      <w:pPr>
        <w:tabs>
          <w:tab w:val="num" w:pos="0"/>
        </w:tabs>
        <w:ind w:start="-360" w:hanging="360"/>
      </w:pPr>
      <w:rPr>
        <w:rFonts w:ascii="Symbol" w:hAnsi="Symbol" w:cs="Symbol" w:hint="default"/>
      </w:rPr>
    </w:lvl>
    <w:lvl w:ilvl="3">
      <w:start w:val="1"/>
      <w:numFmt w:val="decimal"/>
      <w:isLgl/>
      <w:lvlText w:val="%1.%2.%3.%4."/>
      <w:lvlJc w:val="start"/>
      <w:pPr>
        <w:tabs>
          <w:tab w:val="num" w:pos="0"/>
        </w:tabs>
        <w:ind w:start="360" w:hanging="720"/>
      </w:pPr>
      <w:rPr/>
    </w:lvl>
    <w:lvl w:ilvl="4">
      <w:start w:val="1"/>
      <w:numFmt w:val="decimal"/>
      <w:isLgl/>
      <w:lvlText w:val="%1.%2.%3.%4.%5."/>
      <w:lvlJc w:val="start"/>
      <w:pPr>
        <w:tabs>
          <w:tab w:val="num" w:pos="0"/>
        </w:tabs>
        <w:ind w:start="720" w:hanging="1080"/>
      </w:pPr>
      <w:rPr/>
    </w:lvl>
    <w:lvl w:ilvl="5">
      <w:start w:val="1"/>
      <w:numFmt w:val="decimal"/>
      <w:isLgl/>
      <w:lvlText w:val="%1.%2.%3.%4.%5.%6."/>
      <w:lvlJc w:val="start"/>
      <w:pPr>
        <w:tabs>
          <w:tab w:val="num" w:pos="0"/>
        </w:tabs>
        <w:ind w:start="720" w:hanging="1080"/>
      </w:pPr>
      <w:rPr/>
    </w:lvl>
    <w:lvl w:ilvl="6">
      <w:start w:val="1"/>
      <w:numFmt w:val="decimal"/>
      <w:isLgl/>
      <w:lvlText w:val="%1.%2.%3.%4.%5.%6.%7."/>
      <w:lvlJc w:val="start"/>
      <w:pPr>
        <w:tabs>
          <w:tab w:val="num" w:pos="0"/>
        </w:tabs>
        <w:ind w:start="1080" w:hanging="1440"/>
      </w:pPr>
      <w:rPr/>
    </w:lvl>
    <w:lvl w:ilvl="7">
      <w:start w:val="1"/>
      <w:numFmt w:val="decimal"/>
      <w:isLgl/>
      <w:lvlText w:val="%1.%2.%3.%4.%5.%6.%7.%8."/>
      <w:lvlJc w:val="start"/>
      <w:pPr>
        <w:tabs>
          <w:tab w:val="num" w:pos="0"/>
        </w:tabs>
        <w:ind w:start="1080" w:hanging="1440"/>
      </w:pPr>
      <w:rPr/>
    </w:lvl>
    <w:lvl w:ilvl="8">
      <w:start w:val="1"/>
      <w:numFmt w:val="decimal"/>
      <w:isLgl/>
      <w:lvlText w:val="%1.%2.%3.%4.%5.%6.%7.%8.%9."/>
      <w:lvlJc w:val="start"/>
      <w:pPr>
        <w:tabs>
          <w:tab w:val="num" w:pos="0"/>
        </w:tabs>
        <w:ind w:start="1440" w:hanging="180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3960"/>
        </w:tabs>
        <w:ind w:start="396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4680"/>
        </w:tabs>
        <w:ind w:start="468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400"/>
        </w:tabs>
        <w:ind w:start="540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120"/>
        </w:tabs>
        <w:ind w:start="6120" w:hanging="360"/>
      </w:pPr>
      <w:rPr>
        <w:rFonts w:ascii="Symbol" w:hAnsi="Symbol" w:cs="Symbol" w:hint="default"/>
        <w:sz w:val="20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89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6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33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05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7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49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21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9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655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26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972a7"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21095b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21095b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21095b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21095b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21095b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21095b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21095b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21095b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21095b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21095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21095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21095b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21095b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21095b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21095b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21095b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21095b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21095b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link w:val="Title"/>
    <w:uiPriority w:val="10"/>
    <w:qFormat/>
    <w:rsid w:val="0021095b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Subtitle"/>
    <w:uiPriority w:val="11"/>
    <w:qFormat/>
    <w:rsid w:val="0021095b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21095b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1095b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21095b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1095b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531f5d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31f5d"/>
    <w:rPr>
      <w:color w:val="605E5C"/>
      <w:shd w:fill="E1DFDD" w:val="clear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Style5"/>
    <w:uiPriority w:val="10"/>
    <w:qFormat/>
    <w:rsid w:val="0021095b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21095b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21095b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1095b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2109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21095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&#1094;&#1080;&#1092;&#1088;&#1086;&#1074;&#1072;&#1103;-&#1084;&#1077;&#1090;&#1086;&#1076;&#1086;&#1083;&#1086;&#1075;&#1080;&#1103;.&#1088;&#1092;" TargetMode="External"/><Relationship Id="rId3" Type="http://schemas.openxmlformats.org/officeDocument/2006/relationships/hyperlink" Target="https://digital-methodology.ru/" TargetMode="External"/><Relationship Id="rId4" Type="http://schemas.openxmlformats.org/officeDocument/2006/relationships/hyperlink" Target="https://&#1094;&#1080;&#1092;&#1088;&#1086;&#1074;&#1072;&#1103;-&#1084;&#1077;&#1090;&#1086;&#1076;&#1086;&#1083;&#1086;&#1075;&#1080;&#1103;.&#1088;&#1092;" TargetMode="External"/><Relationship Id="rId5" Type="http://schemas.openxmlformats.org/officeDocument/2006/relationships/hyperlink" Target="https://digital-methodology.ru/" TargetMode="External"/><Relationship Id="rId6" Type="http://schemas.openxmlformats.org/officeDocument/2006/relationships/hyperlink" Target="https://&#1094;&#1080;&#1092;&#1088;&#1086;&#1074;&#1072;&#1103;-&#1084;&#1077;&#1090;&#1086;&#1076;&#1086;&#1083;&#1086;&#1075;&#1080;&#1103;.&#1088;&#1092;" TargetMode="External"/><Relationship Id="rId7" Type="http://schemas.openxmlformats.org/officeDocument/2006/relationships/hyperlink" Target="https://digital-methodology.ru/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CBD4C1-C9C4-4F67-BF99-92AF83AB9F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Application>LibreOffice/26.2.4.2$Linux_X86_64 LibreOffice_project/620$Build-2</Application>
  <AppVersion>15.0000</AppVersion>
  <Pages>10</Pages>
  <Words>2085</Words>
  <Characters>15224</Characters>
  <CharactersWithSpaces>17035</CharactersWithSpaces>
  <Paragraphs>179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2026-07-08T12:29:00Z</dcterms:created>
  <dc:creator>Александр Заиграев</dc:creator>
  <dc:description/>
  <dc:language>ru-RU</dc:language>
  <cp:lastModifiedBy/>
  <dcterms:modified xsi:type="dcterms:W3CDTF">2026-07-27T22:33:06Z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