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CG1112 Final Report Peer Review</w:t>
      </w:r>
    </w:p>
    <w:tbl>
      <w:tblPr>
        <w:tblStyle w:val="5"/>
        <w:tblW w:w="9201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9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9" w:type="dxa"/>
          </w:tcPr>
          <w:p>
            <w:pPr>
              <w:spacing w:before="120" w:after="120" w:line="240" w:lineRule="auto"/>
            </w:pPr>
            <w:r>
              <w:t>Writers</w:t>
            </w:r>
          </w:p>
        </w:tc>
        <w:tc>
          <w:tcPr>
            <w:tcW w:w="2582" w:type="dxa"/>
          </w:tcPr>
          <w:p>
            <w:pPr>
              <w:spacing w:before="120" w:after="120" w:line="240" w:lineRule="auto"/>
              <w:rPr>
                <w:lang w:val="en-SG"/>
              </w:rPr>
            </w:pPr>
            <w:r>
              <w:t>Team</w:t>
            </w:r>
            <w:r>
              <w:rPr>
                <w:lang w:val="en-SG"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9" w:type="dxa"/>
          </w:tcPr>
          <w:p>
            <w:pPr>
              <w:spacing w:before="120" w:after="120" w:line="240" w:lineRule="auto"/>
            </w:pPr>
            <w:r>
              <w:t>Reviewers</w:t>
            </w:r>
          </w:p>
        </w:tc>
        <w:tc>
          <w:tcPr>
            <w:tcW w:w="2582" w:type="dxa"/>
          </w:tcPr>
          <w:p>
            <w:pPr>
              <w:spacing w:before="120" w:after="120" w:line="240" w:lineRule="auto"/>
              <w:rPr>
                <w:lang w:val="en-SG"/>
              </w:rPr>
            </w:pPr>
            <w:r>
              <w:t>Team</w:t>
            </w:r>
            <w:r>
              <w:rPr>
                <w:lang w:val="en-SG"/>
              </w:rPr>
              <w:t xml:space="preserve"> 5A</w:t>
            </w:r>
          </w:p>
        </w:tc>
      </w:tr>
    </w:tbl>
    <w:p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Rate each component of the poster on a 3-point scale: </w:t>
      </w:r>
      <w:r>
        <w:rPr>
          <w:b/>
          <w:sz w:val="20"/>
          <w:szCs w:val="20"/>
        </w:rPr>
        <w:sym w:font="Wingdings" w:char="F04A"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Great, </w:t>
      </w:r>
      <w:r>
        <w:rPr>
          <w:b/>
          <w:sz w:val="20"/>
          <w:szCs w:val="20"/>
        </w:rPr>
        <w:sym w:font="Wingdings" w:char="F04B"/>
      </w:r>
      <w:r>
        <w:rPr>
          <w:sz w:val="20"/>
          <w:szCs w:val="20"/>
        </w:rPr>
        <w:t xml:space="preserve"> = Average, and </w:t>
      </w:r>
      <w:r>
        <w:rPr>
          <w:b/>
          <w:sz w:val="20"/>
          <w:szCs w:val="20"/>
        </w:rPr>
        <w:sym w:font="Wingdings" w:char="F04C"/>
      </w:r>
      <w:r>
        <w:rPr>
          <w:sz w:val="20"/>
          <w:szCs w:val="20"/>
        </w:rPr>
        <w:t xml:space="preserve"> = Needs Improvement.</w:t>
      </w:r>
    </w:p>
    <w:tbl>
      <w:tblPr>
        <w:tblStyle w:val="5"/>
        <w:tblW w:w="9180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385"/>
        <w:gridCol w:w="443"/>
        <w:gridCol w:w="354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368A7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Comments and Suggestions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Content and Organisation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-Having images for the 2 S&amp;R robots will help in description</w:t>
            </w:r>
          </w:p>
          <w:p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-System architecture needs more description and explanation</w:t>
            </w:r>
          </w:p>
          <w:p>
            <w:pPr>
              <w:spacing w:after="0" w:line="240" w:lineRule="auto"/>
              <w:rPr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Grammar and spelling are accurate.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restart"/>
          </w:tcPr>
          <w:p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-Various minor grammar mistakes</w:t>
            </w:r>
          </w:p>
          <w:p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style (register) is appropriately academic.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report’s overall appearance is reader-friendly. </w:t>
            </w:r>
          </w:p>
          <w:p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120" w:type="dxa"/>
            <w:vMerge w:val="continue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  <w:r>
              <w:rPr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lang w:val="en-SG"/>
              </w:rPr>
            </w:pPr>
          </w:p>
        </w:tc>
        <w:tc>
          <w:tcPr>
            <w:tcW w:w="6120" w:type="dxa"/>
            <w:vMerge w:val="continue"/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E9"/>
    <w:rsid w:val="000248D5"/>
    <w:rsid w:val="00100B8B"/>
    <w:rsid w:val="001049A1"/>
    <w:rsid w:val="00244DE9"/>
    <w:rsid w:val="00316F32"/>
    <w:rsid w:val="00521E5F"/>
    <w:rsid w:val="00554516"/>
    <w:rsid w:val="005A3785"/>
    <w:rsid w:val="00862418"/>
    <w:rsid w:val="009B6F41"/>
    <w:rsid w:val="00A21475"/>
    <w:rsid w:val="00A75EE8"/>
    <w:rsid w:val="00C66A3F"/>
    <w:rsid w:val="00CA416D"/>
    <w:rsid w:val="00DA6A26"/>
    <w:rsid w:val="00E76BE6"/>
    <w:rsid w:val="00F122B7"/>
    <w:rsid w:val="03782CE6"/>
    <w:rsid w:val="3D8C5C92"/>
    <w:rsid w:val="6A9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Arial" w:hAnsi="Arial" w:eastAsia="Times New Roman" w:cs="Times New Roman"/>
      <w:szCs w:val="24"/>
      <w:lang w:val="en-US" w:eastAsia="en-US"/>
    </w:rPr>
  </w:style>
  <w:style w:type="character" w:customStyle="1" w:styleId="7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TotalTime>1</TotalTime>
  <ScaleCrop>false</ScaleCrop>
  <LinksUpToDate>false</LinksUpToDate>
  <CharactersWithSpaces>983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2019-04-01T08:49:00Z</dcterms:created>
  <dc:creator>Kit Lee</dc:creator>
  <cp:lastModifiedBy>Asus</cp:lastModifiedBy>
  <cp:lastPrinted>2019-03-11T07:44:00Z</cp:lastPrinted>
  <dcterms:modified xsi:type="dcterms:W3CDTF">2019-04-12T07:08:33Z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