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CG1112 Final Report Peer Review</w:t>
      </w:r>
    </w:p>
    <w:tbl>
      <w:tblPr>
        <w:tblStyle w:val="TableGrid"/>
        <w:tblW w:w="9201" w:type="dxa"/>
        <w:jc w:val="left"/>
        <w:tblInd w:w="-18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19"/>
        <w:gridCol w:w="2581"/>
      </w:tblGrid>
      <w:tr>
        <w:trPr/>
        <w:tc>
          <w:tcPr>
            <w:tcW w:w="6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 xml:space="preserve">Writers </w:t>
            </w:r>
            <w:r>
              <w:rPr/>
              <w:t>Claire, Evelyn</w:t>
            </w:r>
            <w:r>
              <w:rPr/>
              <w:t xml:space="preserve">, </w:t>
            </w:r>
            <w:r>
              <w:rPr/>
              <w:t xml:space="preserve">Aik Peng, Hashir </w:t>
            </w:r>
          </w:p>
        </w:tc>
        <w:tc>
          <w:tcPr>
            <w:tcW w:w="25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 xml:space="preserve">Team </w:t>
            </w:r>
            <w:r>
              <w:rPr/>
              <w:t>4</w:t>
            </w:r>
          </w:p>
        </w:tc>
      </w:tr>
      <w:tr>
        <w:trPr/>
        <w:tc>
          <w:tcPr>
            <w:tcW w:w="6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 xml:space="preserve">Reviewers </w:t>
            </w:r>
            <w:r>
              <w:rPr/>
              <w:t>Karnati Sai Abhishek, Hong Chuan, Jess Teo</w:t>
            </w:r>
          </w:p>
        </w:tc>
        <w:tc>
          <w:tcPr>
            <w:tcW w:w="25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 xml:space="preserve">Team </w:t>
            </w:r>
            <w:r>
              <w:rPr/>
              <w:t>3</w:t>
            </w:r>
          </w:p>
        </w:tc>
      </w:tr>
    </w:tbl>
    <w:p>
      <w:pPr>
        <w:pStyle w:val="Normal"/>
        <w:spacing w:lineRule="auto" w:line="240" w:before="120" w:after="120"/>
        <w:rPr>
          <w:sz w:val="20"/>
          <w:szCs w:val="20"/>
        </w:rPr>
      </w:pPr>
      <w:r>
        <w:rPr>
          <w:sz w:val="20"/>
          <w:szCs w:val="20"/>
        </w:rPr>
        <w:t xml:space="preserve">Rate each component of the poster on a 3-point scale: </w:t>
      </w:r>
      <w:r>
        <w:rPr>
          <w:rFonts w:eastAsia="Wingdings" w:cs="Wingdings" w:ascii="Wingdings" w:hAnsi="Wingdings"/>
          <w:b/>
          <w:sz w:val="20"/>
          <w:szCs w:val="20"/>
        </w:rPr>
        <w:t>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Great, </w:t>
      </w:r>
      <w:r>
        <w:rPr>
          <w:rFonts w:eastAsia="Wingdings" w:cs="Wingdings" w:ascii="Wingdings" w:hAnsi="Wingdings"/>
          <w:b/>
          <w:sz w:val="20"/>
          <w:szCs w:val="20"/>
        </w:rPr>
        <w:t></w:t>
      </w:r>
      <w:r>
        <w:rPr>
          <w:sz w:val="20"/>
          <w:szCs w:val="20"/>
        </w:rPr>
        <w:t xml:space="preserve"> = Average, and </w:t>
      </w:r>
      <w:r>
        <w:rPr>
          <w:rFonts w:eastAsia="Wingdings" w:cs="Wingdings" w:ascii="Wingdings" w:hAnsi="Wingdings"/>
          <w:b/>
          <w:sz w:val="20"/>
          <w:szCs w:val="20"/>
        </w:rPr>
        <w:t></w:t>
      </w:r>
      <w:r>
        <w:rPr>
          <w:sz w:val="20"/>
          <w:szCs w:val="20"/>
        </w:rPr>
        <w:t xml:space="preserve"> = Needs Improvement.</w:t>
      </w:r>
    </w:p>
    <w:tbl>
      <w:tblPr>
        <w:tblStyle w:val="TableGrid"/>
        <w:tblW w:w="9180" w:type="dxa"/>
        <w:jc w:val="left"/>
        <w:tblInd w:w="-18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8"/>
        <w:gridCol w:w="384"/>
        <w:gridCol w:w="443"/>
        <w:gridCol w:w="353"/>
        <w:gridCol w:w="1"/>
        <w:gridCol w:w="6121"/>
      </w:tblGrid>
      <w:tr>
        <w:trPr/>
        <w:tc>
          <w:tcPr>
            <w:tcW w:w="1878" w:type="dxa"/>
            <w:tcBorders/>
            <w:shd w:color="auto" w:fill="368A7A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1" w:type="dxa"/>
            <w:gridSpan w:val="4"/>
            <w:tcBorders/>
            <w:shd w:color="auto" w:fill="368A7A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1" w:type="dxa"/>
            <w:tcBorders/>
            <w:shd w:color="auto" w:fill="368A7A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 w:themeColor="background1"/>
              </w:rPr>
              <w:t>Comments and Suggestions</w:t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Wingdings" w:cs="Wingdings" w:ascii="Wingdings" w:hAnsi="Wingdings"/>
                <w:b/>
                <w:sz w:val="20"/>
                <w:szCs w:val="20"/>
              </w:rPr>
              <w:t>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Wingdings" w:cs="Wingdings" w:ascii="Wingdings" w:hAnsi="Wingdings"/>
                <w:b/>
                <w:sz w:val="20"/>
                <w:szCs w:val="20"/>
              </w:rPr>
              <w:t></w:t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Wingdings" w:cs="Wingdings" w:ascii="Wingdings" w:hAnsi="Wingdings"/>
                <w:b/>
                <w:sz w:val="20"/>
                <w:szCs w:val="20"/>
              </w:rPr>
              <w:t></w:t>
            </w:r>
          </w:p>
        </w:tc>
        <w:tc>
          <w:tcPr>
            <w:tcW w:w="6122" w:type="dxa"/>
            <w:gridSpan w:val="2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Content and Organisation</w:t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</w:rPr>
            </w:pPr>
            <w:r>
              <w:rPr/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restart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Intro doesnt relate alex’s ability to map and identify colours to it’s search and rescue functionality.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Well evaluated and described. However could include pics to aid description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can explain more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good job for hardware &amp; software design</w:t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</w:rPr>
            </w:pPr>
            <w:r>
              <w:rPr/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4-6. Design sections are complete and technically accurate.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</w:rPr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7. Conclusion describes mistakes and lessons learned.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Sections start with a purpose sentence or overview statement.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1" w:type="dxa"/>
            <w:gridSpan w:val="4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121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Grammar and spelling are accurate.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 xml:space="preserve"> </w:t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Good job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advisable to remove comments on the side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can have more pictures/figures/diagrams to aid in readability</w:t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style (register) is appropriately academic.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The report’s overall appearance is reader-friendly.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bookmarkStart w:id="0" w:name="_GoBack"/>
            <w:bookmarkStart w:id="1" w:name="_GoBack"/>
            <w:bookmarkEnd w:id="1"/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4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Wingdings" w:cs="Wingdings" w:ascii="Wingdings" w:hAnsi="Wingdings"/>
              </w:rPr>
              <w:t></w:t>
            </w:r>
          </w:p>
        </w:tc>
        <w:tc>
          <w:tcPr>
            <w:tcW w:w="44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</w:rPr>
            </w:pPr>
            <w:r>
              <w:rPr/>
            </w:r>
          </w:p>
        </w:tc>
        <w:tc>
          <w:tcPr>
            <w:tcW w:w="3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</w:rPr>
            </w:pPr>
            <w:r>
              <w:rPr/>
            </w:r>
          </w:p>
        </w:tc>
        <w:tc>
          <w:tcPr>
            <w:tcW w:w="6122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0b8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3785"/>
    <w:pPr>
      <w:spacing w:lineRule="auto" w:line="240" w:before="0" w:after="0"/>
      <w:ind w:left="720" w:hanging="0"/>
      <w:contextualSpacing/>
    </w:pPr>
    <w:rPr>
      <w:rFonts w:ascii="Arial" w:hAnsi="Arial" w:eastAsia="Times New Roman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0b8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2</Pages>
  <Words>212</Words>
  <Characters>1148</Characters>
  <CharactersWithSpaces>1322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2019-04-01T08:49:00Z</dcterms:created>
  <dc:creator>Kit Lee</dc:creator>
  <dc:description/>
  <dc:language>en-SG</dc:language>
  <cp:lastModifiedBy/>
  <cp:lastPrinted>2019-03-11T07:44:00Z</cp:lastPrinted>
  <dcterms:modified xsi:type="dcterms:W3CDTF">2019-04-12T15:09:33Z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