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:rsidTr="00E76BE6">
        <w:tc>
          <w:tcPr>
            <w:tcW w:w="6619" w:type="dxa"/>
          </w:tcPr>
          <w:p w:rsidR="00D6561E" w:rsidRDefault="000248D5" w:rsidP="009B6F41">
            <w:pPr>
              <w:spacing w:before="120" w:after="120"/>
            </w:pPr>
            <w:r>
              <w:t>Writers</w:t>
            </w:r>
            <w:r w:rsidR="00D6561E">
              <w:t xml:space="preserve"> </w:t>
            </w:r>
          </w:p>
          <w:p w:rsidR="00D6561E" w:rsidRDefault="00D6561E" w:rsidP="009B6F41">
            <w:pPr>
              <w:spacing w:before="120" w:after="120"/>
            </w:pPr>
            <w:r>
              <w:t xml:space="preserve">Chua </w:t>
            </w:r>
            <w:proofErr w:type="spellStart"/>
            <w:r>
              <w:t>Zong</w:t>
            </w:r>
            <w:proofErr w:type="spellEnd"/>
            <w:r>
              <w:t xml:space="preserve"> Wei A0183028H</w:t>
            </w:r>
          </w:p>
          <w:p w:rsidR="00D6561E" w:rsidRDefault="00D6561E" w:rsidP="009B6F41">
            <w:pPr>
              <w:spacing w:before="120" w:after="120"/>
            </w:pPr>
            <w:r>
              <w:t>Chua Mai Feng Carl A0182772X</w:t>
            </w:r>
          </w:p>
          <w:p w:rsidR="00D6561E" w:rsidRDefault="00D6561E" w:rsidP="009B6F41">
            <w:pPr>
              <w:spacing w:before="120" w:after="120"/>
            </w:pPr>
            <w:r>
              <w:t xml:space="preserve">Lee Zhen Yu A0182716B </w:t>
            </w:r>
          </w:p>
          <w:p w:rsidR="00D6561E" w:rsidRDefault="00D6561E" w:rsidP="009B6F41">
            <w:pPr>
              <w:spacing w:before="120" w:after="120"/>
            </w:pPr>
            <w:r>
              <w:t xml:space="preserve">Edmund Teo Wei Xin A0189971H </w:t>
            </w:r>
          </w:p>
          <w:p w:rsidR="00CA416D" w:rsidRPr="009B6F41" w:rsidRDefault="00D6561E" w:rsidP="009B6F41">
            <w:pPr>
              <w:spacing w:before="120" w:after="120"/>
            </w:pPr>
            <w:r>
              <w:t>Mohamed Nizar A0183398M</w:t>
            </w:r>
          </w:p>
        </w:tc>
        <w:tc>
          <w:tcPr>
            <w:tcW w:w="2582" w:type="dxa"/>
          </w:tcPr>
          <w:p w:rsidR="00CA416D" w:rsidRDefault="00CA416D" w:rsidP="009B6F41">
            <w:pPr>
              <w:spacing w:before="120" w:after="120"/>
            </w:pPr>
            <w:r w:rsidRPr="009B6F41">
              <w:t>Team</w:t>
            </w:r>
          </w:p>
          <w:p w:rsidR="00D6561E" w:rsidRPr="009B6F41" w:rsidRDefault="00D6561E" w:rsidP="009B6F41">
            <w:pPr>
              <w:spacing w:before="120" w:after="120"/>
            </w:pPr>
            <w:r>
              <w:t>02-05-01</w:t>
            </w:r>
          </w:p>
        </w:tc>
      </w:tr>
      <w:tr w:rsidR="00CA416D" w:rsidRPr="009B6F41" w:rsidTr="00E76BE6">
        <w:tc>
          <w:tcPr>
            <w:tcW w:w="6619" w:type="dxa"/>
          </w:tcPr>
          <w:p w:rsidR="00CA416D" w:rsidRDefault="00CA416D" w:rsidP="009B6F41">
            <w:pPr>
              <w:spacing w:before="120" w:after="120"/>
            </w:pPr>
            <w:r w:rsidRPr="009B6F41">
              <w:t>Reviewers</w:t>
            </w:r>
            <w:r w:rsidR="00D6561E">
              <w:t xml:space="preserve"> </w:t>
            </w:r>
          </w:p>
          <w:p w:rsidR="00D6561E" w:rsidRPr="009B6F41" w:rsidRDefault="00D6561E" w:rsidP="009B6F41">
            <w:pPr>
              <w:spacing w:before="120" w:after="120"/>
            </w:pPr>
            <w:r>
              <w:t>Jiang Hong Quan A0190306M</w:t>
            </w:r>
          </w:p>
        </w:tc>
        <w:tc>
          <w:tcPr>
            <w:tcW w:w="2582" w:type="dxa"/>
          </w:tcPr>
          <w:p w:rsidR="00CA416D" w:rsidRDefault="009B6F41" w:rsidP="009B6F41">
            <w:pPr>
              <w:spacing w:before="120" w:after="120"/>
            </w:pPr>
            <w:r w:rsidRPr="009B6F41">
              <w:t>Team</w:t>
            </w:r>
            <w:r w:rsidR="00D6561E">
              <w:t xml:space="preserve"> </w:t>
            </w:r>
          </w:p>
          <w:p w:rsidR="00D6561E" w:rsidRPr="009B6F41" w:rsidRDefault="00D6561E" w:rsidP="009B6F41">
            <w:pPr>
              <w:spacing w:before="120" w:after="120"/>
            </w:pPr>
            <w:r>
              <w:t>02-01-01</w:t>
            </w:r>
          </w:p>
        </w:tc>
      </w:tr>
    </w:tbl>
    <w:p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:rsidTr="00C66A3F">
        <w:tc>
          <w:tcPr>
            <w:tcW w:w="1878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:rsidTr="00C66A3F">
        <w:tc>
          <w:tcPr>
            <w:tcW w:w="1878" w:type="dxa"/>
            <w:shd w:val="clear" w:color="auto" w:fill="auto"/>
          </w:tcPr>
          <w:p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4D5DD0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:rsidR="00DA6A26" w:rsidRDefault="004D5DD0">
            <w:r>
              <w:t>Each individual component could begin with a small introduction.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4D5DD0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4D5DD0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:rsidR="00DA6A26" w:rsidRPr="000451EC" w:rsidRDefault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4D5DD0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4D5DD0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4D5DD0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C66A3F" w:rsidTr="00C66A3F">
        <w:tc>
          <w:tcPr>
            <w:tcW w:w="1878" w:type="dxa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:rsidR="00C66A3F" w:rsidRPr="00316F32" w:rsidRDefault="00C66A3F" w:rsidP="001B17CC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:rsidR="00DA6A26" w:rsidRDefault="00DA6A26" w:rsidP="001B17CC">
            <w:pPr>
              <w:rPr>
                <w:sz w:val="18"/>
                <w:szCs w:val="18"/>
              </w:rPr>
            </w:pP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4D5DD0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 w:val="restart"/>
          </w:tcPr>
          <w:p w:rsidR="00DA6A26" w:rsidRDefault="004D5DD0" w:rsidP="001B17CC">
            <w:r>
              <w:t>Referencing lacks date accessed and author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4D5DD0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316F32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4D5DD0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D03F2C">
        <w:tc>
          <w:tcPr>
            <w:tcW w:w="1878" w:type="dxa"/>
            <w:shd w:val="clear" w:color="auto" w:fill="auto"/>
          </w:tcPr>
          <w:p w:rsidR="00DA6A26" w:rsidRDefault="00DA6A26" w:rsidP="00F122B7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:rsidR="00F122B7" w:rsidRPr="00316F32" w:rsidRDefault="00F122B7" w:rsidP="00F122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4D5DD0" w:rsidP="00D03F2C">
            <w:pPr>
              <w:jc w:val="center"/>
            </w:pPr>
            <w:r>
              <w:lastRenderedPageBreak/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 w:rsidP="00D03F2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4D5DD0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6120" w:type="dxa"/>
            <w:vMerge/>
          </w:tcPr>
          <w:p w:rsidR="00DA6A26" w:rsidRDefault="00DA6A26" w:rsidP="001B17CC"/>
        </w:tc>
      </w:tr>
    </w:tbl>
    <w:p w:rsidR="00244DE9" w:rsidRDefault="00244DE9">
      <w:bookmarkStart w:id="0" w:name="_GoBack"/>
      <w:bookmarkEnd w:id="0"/>
    </w:p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MjU3tjC1NDM1MLVU0lEKTi0uzszPAykwrAUA9ZvBFSwAAAA="/>
  </w:docVars>
  <w:rsids>
    <w:rsidRoot w:val="00244DE9"/>
    <w:rsid w:val="000248D5"/>
    <w:rsid w:val="00100B8B"/>
    <w:rsid w:val="001049A1"/>
    <w:rsid w:val="00244DE9"/>
    <w:rsid w:val="00316F32"/>
    <w:rsid w:val="004D5DD0"/>
    <w:rsid w:val="00521E5F"/>
    <w:rsid w:val="00554516"/>
    <w:rsid w:val="005A3785"/>
    <w:rsid w:val="00862418"/>
    <w:rsid w:val="009B6F41"/>
    <w:rsid w:val="00A21475"/>
    <w:rsid w:val="00A75EE8"/>
    <w:rsid w:val="00C66A3F"/>
    <w:rsid w:val="00CA416D"/>
    <w:rsid w:val="00D6561E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C5340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Henry Jiang</cp:lastModifiedBy>
  <cp:revision>5</cp:revision>
  <cp:lastPrinted>2019-03-11T07:44:00Z</cp:lastPrinted>
  <dcterms:created xsi:type="dcterms:W3CDTF">2019-04-01T08:49:00Z</dcterms:created>
  <dcterms:modified xsi:type="dcterms:W3CDTF">2019-04-12T07:17:00Z</dcterms:modified>
</cp:coreProperties>
</file>