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36"/>
        </w:rPr>
        <w:t>Boswell Consulting Group</w:t>
      </w:r>
    </w:p>
    <w:p>
      <w:pPr>
        <w:jc w:val="center"/>
      </w:pPr>
      <w:r>
        <w:rPr>
          <w:b/>
          <w:color w:val="1F4E5F"/>
          <w:sz w:val="50"/>
        </w:rPr>
        <w:t>Independent Artist Administration System™</w:t>
      </w:r>
    </w:p>
    <w:p>
      <w:pPr>
        <w:jc w:val="center"/>
      </w:pPr>
      <w:r>
        <w:t>The Complete Release, Royalty, Metadata, and Registration System for Independent Recording Artists</w:t>
        <w:br/>
        <w:t>Version 1.0</w:t>
        <w:br/>
        <w:t>Educational Use Only</w:t>
        <w:br/>
        <w:t>Prepared 2026-06-06</w:t>
      </w:r>
    </w:p>
    <w:p>
      <w:r>
        <w:br w:type="page"/>
      </w:r>
    </w:p>
    <w:p>
      <w:pPr>
        <w:pStyle w:val="Heading1"/>
      </w:pPr>
      <w:r>
        <w:t>Disclaimer</w:t>
      </w:r>
    </w:p>
    <w:p>
      <w:r>
        <w:t>Boswell Consulting Group provides this product for educational and administrative guidance only. It is not legal, tax, accounting, financial, investment, or business-formation advice. Users should consult qualified legal, tax, accounting, or financial professionals for advice about their specific situation. Official portal workflows, fees, eligibility rules, and data fields may change; verify current requirements directly with the official portal before submitting registrations, claims, applications, or tax information.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This product is built only for independent recording artists. It does not combine artist and producer workflows. Use it one release, song, beat, or placement at a time.</w:t>
      </w:r>
    </w:p>
    <w:p>
      <w:pPr>
        <w:pStyle w:val="ListNumber"/>
      </w:pPr>
      <w:r>
        <w:t>Choose one item to organize first.</w:t>
      </w:r>
    </w:p>
    <w:p>
      <w:pPr>
        <w:pStyle w:val="ListNumber"/>
      </w:pPr>
      <w:r>
        <w:t>Open the main tracker.</w:t>
      </w:r>
    </w:p>
    <w:p>
      <w:pPr>
        <w:pStyle w:val="ListNumber"/>
      </w:pPr>
      <w:r>
        <w:t>Fill the identity/profile tab.</w:t>
      </w:r>
    </w:p>
    <w:p>
      <w:pPr>
        <w:pStyle w:val="ListNumber"/>
      </w:pPr>
      <w:r>
        <w:t>Enter the song, release, beat, or placement.</w:t>
      </w:r>
    </w:p>
    <w:p>
      <w:pPr>
        <w:pStyle w:val="ListNumber"/>
      </w:pPr>
      <w:r>
        <w:t>Complete the step-by-step modules in order.</w:t>
      </w:r>
    </w:p>
    <w:p>
      <w:pPr>
        <w:pStyle w:val="ListNumber"/>
      </w:pPr>
      <w:r>
        <w:t>Save confirmations and proof as you go.</w:t>
      </w:r>
    </w:p>
    <w:p>
      <w:pPr>
        <w:pStyle w:val="ListNumber"/>
      </w:pPr>
      <w:r>
        <w:t>Run the quarterly audit.</w:t>
      </w:r>
    </w:p>
    <w:p>
      <w:pPr>
        <w:pStyle w:val="Heading2"/>
      </w:pPr>
      <w:r>
        <w:t>Seven-Day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Day 1</w:t>
            </w:r>
          </w:p>
        </w:tc>
        <w:tc>
          <w:tcPr>
            <w:tcW w:type="dxa" w:w="5112"/>
          </w:tcPr>
          <w:p>
            <w:r>
              <w:t>Set up the profile tab, admin folder, account tracker, and one release or placement to organize first.</w:t>
            </w:r>
          </w:p>
        </w:tc>
      </w:tr>
      <w:tr>
        <w:tc>
          <w:tcPr>
            <w:tcW w:type="dxa" w:w="5112"/>
          </w:tcPr>
          <w:p>
            <w:r>
              <w:t>Day 2</w:t>
            </w:r>
          </w:p>
        </w:tc>
        <w:tc>
          <w:tcPr>
            <w:tcW w:type="dxa" w:w="5112"/>
          </w:tcPr>
          <w:p>
            <w:r>
              <w:t>Confirm ownership, split, role, deal, or release status. Mark unresolved items clearly.</w:t>
            </w:r>
          </w:p>
        </w:tc>
      </w:tr>
      <w:tr>
        <w:tc>
          <w:tcPr>
            <w:tcW w:type="dxa" w:w="5112"/>
          </w:tcPr>
          <w:p>
            <w:r>
              <w:t>Day 3</w:t>
            </w:r>
          </w:p>
        </w:tc>
        <w:tc>
          <w:tcPr>
            <w:tcW w:type="dxa" w:w="5112"/>
          </w:tcPr>
          <w:p>
            <w:r>
              <w:t>Build clean metadata and naming records.</w:t>
            </w:r>
          </w:p>
        </w:tc>
      </w:tr>
      <w:tr>
        <w:tc>
          <w:tcPr>
            <w:tcW w:type="dxa" w:w="5112"/>
          </w:tcPr>
          <w:p>
            <w:r>
              <w:t>Day 4</w:t>
            </w:r>
          </w:p>
        </w:tc>
        <w:tc>
          <w:tcPr>
            <w:tcW w:type="dxa" w:w="5112"/>
          </w:tcPr>
          <w:p>
            <w:r>
              <w:t>Check official registration or portal accounts that apply to this product.</w:t>
            </w:r>
          </w:p>
        </w:tc>
      </w:tr>
      <w:tr>
        <w:tc>
          <w:tcPr>
            <w:tcW w:type="dxa" w:w="5112"/>
          </w:tcPr>
          <w:p>
            <w:r>
              <w:t>Day 5</w:t>
            </w:r>
          </w:p>
        </w:tc>
        <w:tc>
          <w:tcPr>
            <w:tcW w:type="dxa" w:w="5112"/>
          </w:tcPr>
          <w:p>
            <w:r>
              <w:t>Prepare release, delivery, or placement files and save proof.</w:t>
            </w:r>
          </w:p>
        </w:tc>
      </w:tr>
      <w:tr>
        <w:tc>
          <w:tcPr>
            <w:tcW w:type="dxa" w:w="5112"/>
          </w:tcPr>
          <w:p>
            <w:r>
              <w:t>Day 6</w:t>
            </w:r>
          </w:p>
        </w:tc>
        <w:tc>
          <w:tcPr>
            <w:tcW w:type="dxa" w:w="5112"/>
          </w:tcPr>
          <w:p>
            <w:r>
              <w:t>Enter registration, claim, delivery, or deal status into the tracker.</w:t>
            </w:r>
          </w:p>
        </w:tc>
      </w:tr>
      <w:tr>
        <w:tc>
          <w:tcPr>
            <w:tcW w:type="dxa" w:w="5112"/>
          </w:tcPr>
          <w:p>
            <w:r>
              <w:t>Day 7</w:t>
            </w:r>
          </w:p>
        </w:tc>
        <w:tc>
          <w:tcPr>
            <w:tcW w:type="dxa" w:w="5112"/>
          </w:tcPr>
          <w:p>
            <w:r>
              <w:t>Run the final status check and schedule the next quarterly audit.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1: Release Admin Map for Independent Artists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Pick one song, not the whole catalog.</w:t>
      </w:r>
    </w:p>
    <w:p>
      <w:pPr>
        <w:pStyle w:val="ListNumber"/>
      </w:pPr>
      <w:r>
        <w:t>Separate the sound recording from the composition.</w:t>
      </w:r>
    </w:p>
    <w:p>
      <w:pPr>
        <w:pStyle w:val="ListNumber"/>
      </w:pPr>
      <w:r>
        <w:t>Write down artist, writers, producers, featured artists, master owner, publisher/self-administered status, and distributor.</w:t>
      </w:r>
    </w:p>
    <w:p>
      <w:pPr>
        <w:pStyle w:val="ListNumber"/>
      </w:pPr>
      <w:r>
        <w:t>Mark the royalty lanes: distributor, PRO, The MLC, SoundExchange, copyright decision, and direct licensing.</w:t>
      </w:r>
    </w:p>
    <w:p>
      <w:pPr>
        <w:pStyle w:val="ListNumber"/>
      </w:pPr>
      <w:r>
        <w:t>Enter every missing item into the Missing Information Log.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Thinking distributor upload handles everything.</w:t>
      </w:r>
    </w:p>
    <w:p>
      <w:pPr>
        <w:pStyle w:val="ListBullet"/>
      </w:pPr>
      <w:r>
        <w:t>Using different names across portals.</w:t>
      </w:r>
    </w:p>
    <w:p>
      <w:pPr>
        <w:pStyle w:val="ListBullet"/>
      </w:pPr>
      <w:r>
        <w:t>Skipping SoundExchange because the song is already on streaming platforms.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Artist Action</w:t>
            </w:r>
          </w:p>
        </w:tc>
      </w:tr>
      <w:tr>
        <w:tc>
          <w:tcPr>
            <w:tcW w:type="dxa" w:w="5112"/>
          </w:tcPr>
          <w:p>
            <w:r>
              <w:t>Distributor</w:t>
            </w:r>
          </w:p>
        </w:tc>
        <w:tc>
          <w:tcPr>
            <w:tcW w:type="dxa" w:w="5112"/>
          </w:tcPr>
          <w:p>
            <w:r>
              <w:t>Upload release and save UPC/ISRC/store links.</w:t>
            </w:r>
          </w:p>
        </w:tc>
      </w:tr>
      <w:tr>
        <w:tc>
          <w:tcPr>
            <w:tcW w:type="dxa" w:w="5112"/>
          </w:tcPr>
          <w:p>
            <w:r>
              <w:t>PRO</w:t>
            </w:r>
          </w:p>
        </w:tc>
        <w:tc>
          <w:tcPr>
            <w:tcW w:type="dxa" w:w="5112"/>
          </w:tcPr>
          <w:p>
            <w:r>
              <w:t>Join ASCAP or BMI, then register compositions.</w:t>
            </w:r>
          </w:p>
        </w:tc>
      </w:tr>
      <w:tr>
        <w:tc>
          <w:tcPr>
            <w:tcW w:type="dxa" w:w="5112"/>
          </w:tcPr>
          <w:p>
            <w:r>
              <w:t>The MLC</w:t>
            </w:r>
          </w:p>
        </w:tc>
        <w:tc>
          <w:tcPr>
            <w:tcW w:type="dxa" w:w="5112"/>
          </w:tcPr>
          <w:p>
            <w:r>
              <w:t>Register or claim compositions for eligible U.S. digital mechanical royalties.</w:t>
            </w:r>
          </w:p>
        </w:tc>
      </w:tr>
      <w:tr>
        <w:tc>
          <w:tcPr>
            <w:tcW w:type="dxa" w:w="5112"/>
          </w:tcPr>
          <w:p>
            <w:r>
              <w:t>SoundExchange</w:t>
            </w:r>
          </w:p>
        </w:tc>
        <w:tc>
          <w:tcPr>
            <w:tcW w:type="dxa" w:w="5112"/>
          </w:tcPr>
          <w:p>
            <w:r>
              <w:t>Register or claim recordings as featured artist and/or rights owner.</w:t>
            </w:r>
          </w:p>
        </w:tc>
      </w:tr>
      <w:tr>
        <w:tc>
          <w:tcPr>
            <w:tcW w:type="dxa" w:w="5112"/>
          </w:tcPr>
          <w:p>
            <w:r>
              <w:t>Copyright</w:t>
            </w:r>
          </w:p>
        </w:tc>
        <w:tc>
          <w:tcPr>
            <w:tcW w:type="dxa" w:w="5112"/>
          </w:tcPr>
          <w:p>
            <w:r>
              <w:t>Decide whether to register composition, sound recording, or both using Copyright Office guidance.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2: Artist Identity and Release Foundation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Choose exact artist name spelling.</w:t>
      </w:r>
    </w:p>
    <w:p>
      <w:pPr>
        <w:pStyle w:val="ListNumber"/>
      </w:pPr>
      <w:r>
        <w:t>Check major platforms and social handles for confusing conflicts.</w:t>
      </w:r>
    </w:p>
    <w:p>
      <w:pPr>
        <w:pStyle w:val="ListNumber"/>
      </w:pPr>
      <w:r>
        <w:t>Create one music admin email and secure account recovery plan.</w:t>
      </w:r>
    </w:p>
    <w:p>
      <w:pPr>
        <w:pStyle w:val="ListNumber"/>
      </w:pPr>
      <w:r>
        <w:t>Set up folder structure for songs, releases, registrations, and statements.</w:t>
      </w:r>
    </w:p>
    <w:p>
      <w:pPr>
        <w:pStyle w:val="ListNumber"/>
      </w:pPr>
      <w:r>
        <w:t>Use IRS.gov only for EIN information if needed and verify tax questions with a qualified professional.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Changing artist spelling after release.</w:t>
      </w:r>
    </w:p>
    <w:p>
      <w:pPr>
        <w:pStyle w:val="ListBullet"/>
      </w:pPr>
      <w:r>
        <w:t>Using personal inboxes that collaborators can access.</w:t>
      </w:r>
    </w:p>
    <w:p>
      <w:pPr>
        <w:pStyle w:val="ListBullet"/>
      </w:pPr>
      <w:r>
        <w:t>Forming an LLC without understanding state and tax responsibilities.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Foundation Item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Save This</w:t>
            </w:r>
          </w:p>
        </w:tc>
      </w:tr>
      <w:tr>
        <w:tc>
          <w:tcPr>
            <w:tcW w:type="dxa" w:w="5112"/>
          </w:tcPr>
          <w:p>
            <w:r>
              <w:t>Artist name</w:t>
            </w:r>
          </w:p>
        </w:tc>
        <w:tc>
          <w:tcPr>
            <w:tcW w:type="dxa" w:w="5112"/>
          </w:tcPr>
          <w:p>
            <w:r>
              <w:t>Official spelling and platform URLs.</w:t>
            </w:r>
          </w:p>
        </w:tc>
      </w:tr>
      <w:tr>
        <w:tc>
          <w:tcPr>
            <w:tcW w:type="dxa" w:w="5112"/>
          </w:tcPr>
          <w:p>
            <w:r>
              <w:t>Admin email</w:t>
            </w:r>
          </w:p>
        </w:tc>
        <w:tc>
          <w:tcPr>
            <w:tcW w:type="dxa" w:w="5112"/>
          </w:tcPr>
          <w:p>
            <w:r>
              <w:t>Recovery email and 2FA method.</w:t>
            </w:r>
          </w:p>
        </w:tc>
      </w:tr>
      <w:tr>
        <w:tc>
          <w:tcPr>
            <w:tcW w:type="dxa" w:w="5112"/>
          </w:tcPr>
          <w:p>
            <w:r>
              <w:t>Business/tax records</w:t>
            </w:r>
          </w:p>
        </w:tc>
        <w:tc>
          <w:tcPr>
            <w:tcW w:type="dxa" w:w="5112"/>
          </w:tcPr>
          <w:p>
            <w:r>
              <w:t>EIN confirmation if applicable, saved securely.</w:t>
            </w:r>
          </w:p>
        </w:tc>
      </w:tr>
      <w:tr>
        <w:tc>
          <w:tcPr>
            <w:tcW w:type="dxa" w:w="5112"/>
          </w:tcPr>
          <w:p>
            <w:r>
              <w:t>Folders</w:t>
            </w:r>
          </w:p>
        </w:tc>
        <w:tc>
          <w:tcPr>
            <w:tcW w:type="dxa" w:w="5112"/>
          </w:tcPr>
          <w:p>
            <w:r>
              <w:t>Song folder, release folder, registration folder, statement folder.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3: Artist Split and Ownership Process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List every person involved in the song and recording.</w:t>
      </w:r>
    </w:p>
    <w:p>
      <w:pPr>
        <w:pStyle w:val="ListNumber"/>
      </w:pPr>
      <w:r>
        <w:t>Separate writer shares from master ownership.</w:t>
      </w:r>
    </w:p>
    <w:p>
      <w:pPr>
        <w:pStyle w:val="ListNumber"/>
      </w:pPr>
      <w:r>
        <w:t>Document featured artist terms separately from writer terms.</w:t>
      </w:r>
    </w:p>
    <w:p>
      <w:pPr>
        <w:pStyle w:val="ListNumber"/>
      </w:pPr>
      <w:r>
        <w:t>Confirm producer credit and any producer participation, but do not use producer language as a substitute for ownership terms.</w:t>
      </w:r>
    </w:p>
    <w:p>
      <w:pPr>
        <w:pStyle w:val="ListNumber"/>
      </w:pPr>
      <w:r>
        <w:t>Do not release until unresolved splits are marked and addressed.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Letting verbal split conversations replace written records.</w:t>
      </w:r>
    </w:p>
    <w:p>
      <w:pPr>
        <w:pStyle w:val="ListBullet"/>
      </w:pPr>
      <w:r>
        <w:t>Making percentages total 99% or 101%.</w:t>
      </w:r>
    </w:p>
    <w:p>
      <w:pPr>
        <w:pStyle w:val="ListBullet"/>
      </w:pPr>
      <w:r>
        <w:t>Treating featured artist credit as automatic publishing ownership.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Ownership Category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Artist Question</w:t>
            </w:r>
          </w:p>
        </w:tc>
      </w:tr>
      <w:tr>
        <w:tc>
          <w:tcPr>
            <w:tcW w:type="dxa" w:w="5112"/>
          </w:tcPr>
          <w:p>
            <w:r>
              <w:t>Writer share</w:t>
            </w:r>
          </w:p>
        </w:tc>
        <w:tc>
          <w:tcPr>
            <w:tcW w:type="dxa" w:w="5112"/>
          </w:tcPr>
          <w:p>
            <w:r>
              <w:t>Who wrote the composition and what percentage?</w:t>
            </w:r>
          </w:p>
        </w:tc>
      </w:tr>
      <w:tr>
        <w:tc>
          <w:tcPr>
            <w:tcW w:type="dxa" w:w="5112"/>
          </w:tcPr>
          <w:p>
            <w:r>
              <w:t>Master owner</w:t>
            </w:r>
          </w:p>
        </w:tc>
        <w:tc>
          <w:tcPr>
            <w:tcW w:type="dxa" w:w="5112"/>
          </w:tcPr>
          <w:p>
            <w:r>
              <w:t>Who owns the recording?</w:t>
            </w:r>
          </w:p>
        </w:tc>
      </w:tr>
      <w:tr>
        <w:tc>
          <w:tcPr>
            <w:tcW w:type="dxa" w:w="5112"/>
          </w:tcPr>
          <w:p>
            <w:r>
              <w:t>Featured artist</w:t>
            </w:r>
          </w:p>
        </w:tc>
        <w:tc>
          <w:tcPr>
            <w:tcW w:type="dxa" w:w="5112"/>
          </w:tcPr>
          <w:p>
            <w:r>
              <w:t>What credit and payment terms apply?</w:t>
            </w:r>
          </w:p>
        </w:tc>
      </w:tr>
      <w:tr>
        <w:tc>
          <w:tcPr>
            <w:tcW w:type="dxa" w:w="5112"/>
          </w:tcPr>
          <w:p>
            <w:r>
              <w:t>Producer participation</w:t>
            </w:r>
          </w:p>
        </w:tc>
        <w:tc>
          <w:tcPr>
            <w:tcW w:type="dxa" w:w="5112"/>
          </w:tcPr>
          <w:p>
            <w:r>
              <w:t>Is this fee-only, points, publishing, master share, or other?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4: Artist Copyright Decision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Decide whether the work is composition, sound recording, or both.</w:t>
      </w:r>
    </w:p>
    <w:p>
      <w:pPr>
        <w:pStyle w:val="ListNumber"/>
      </w:pPr>
      <w:r>
        <w:t>Check whether ownership of composition and recording is exactly the same.</w:t>
      </w:r>
    </w:p>
    <w:p>
      <w:pPr>
        <w:pStyle w:val="ListNumber"/>
      </w:pPr>
      <w:r>
        <w:t>Prepare title, authors, claimant, completion year, publication status, and deposit file.</w:t>
      </w:r>
    </w:p>
    <w:p>
      <w:pPr>
        <w:pStyle w:val="ListNumber"/>
      </w:pPr>
      <w:r>
        <w:t>Use copyright.gov and verify the current eCO/GRAM workflow before filing.</w:t>
      </w:r>
    </w:p>
    <w:p>
      <w:pPr>
        <w:pStyle w:val="ListNumber"/>
      </w:pPr>
      <w:r>
        <w:t>Save case number, payment receipt, and certificate when issued.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Assuming upload equals copyright registration.</w:t>
      </w:r>
    </w:p>
    <w:p>
      <w:pPr>
        <w:pStyle w:val="ListBullet"/>
      </w:pPr>
      <w:r>
        <w:t>Registering the wrong work type.</w:t>
      </w:r>
    </w:p>
    <w:p>
      <w:pPr>
        <w:pStyle w:val="ListBullet"/>
      </w:pPr>
      <w:r>
        <w:t>Losing the case number.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Plain-English Rule</w:t>
            </w:r>
          </w:p>
        </w:tc>
      </w:tr>
      <w:tr>
        <w:tc>
          <w:tcPr>
            <w:tcW w:type="dxa" w:w="5112"/>
          </w:tcPr>
          <w:p>
            <w:r>
              <w:t>Composition</w:t>
            </w:r>
          </w:p>
        </w:tc>
        <w:tc>
          <w:tcPr>
            <w:tcW w:type="dxa" w:w="5112"/>
          </w:tcPr>
          <w:p>
            <w:r>
              <w:t>The song itself: melody, lyrics, musical work.</w:t>
            </w:r>
          </w:p>
        </w:tc>
      </w:tr>
      <w:tr>
        <w:tc>
          <w:tcPr>
            <w:tcW w:type="dxa" w:w="5112"/>
          </w:tcPr>
          <w:p>
            <w:r>
              <w:t>Sound recording</w:t>
            </w:r>
          </w:p>
        </w:tc>
        <w:tc>
          <w:tcPr>
            <w:tcW w:type="dxa" w:w="5112"/>
          </w:tcPr>
          <w:p>
            <w:r>
              <w:t>The specific master recording.</w:t>
            </w:r>
          </w:p>
        </w:tc>
      </w:tr>
      <w:tr>
        <w:tc>
          <w:tcPr>
            <w:tcW w:type="dxa" w:w="5112"/>
          </w:tcPr>
          <w:p>
            <w:r>
              <w:t>Both</w:t>
            </w:r>
          </w:p>
        </w:tc>
        <w:tc>
          <w:tcPr>
            <w:tcW w:type="dxa" w:w="5112"/>
          </w:tcPr>
          <w:p>
            <w:r>
              <w:t>Verify current Copyright Office rules before trying to combine coverage.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5: ASCAP/BMI and Song Registration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Choose one songwriter PRO path after checking official ASCAP and BMI pages.</w:t>
      </w:r>
    </w:p>
    <w:p>
      <w:pPr>
        <w:pStyle w:val="ListNumber"/>
      </w:pPr>
      <w:r>
        <w:t>Create songwriter account and publisher account only if appropriate under current official rules.</w:t>
      </w:r>
    </w:p>
    <w:p>
      <w:pPr>
        <w:pStyle w:val="ListNumber"/>
      </w:pPr>
      <w:r>
        <w:t>Register each composition after membership is active.</w:t>
      </w:r>
    </w:p>
    <w:p>
      <w:pPr>
        <w:pStyle w:val="ListNumber"/>
      </w:pPr>
      <w:r>
        <w:t>Add all writers, shares, alternate titles, and publisher data if applicable.</w:t>
      </w:r>
    </w:p>
    <w:p>
      <w:pPr>
        <w:pStyle w:val="ListNumber"/>
      </w:pPr>
      <w:r>
        <w:t>Save work ID, confirmation, status, and follow-up date.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Joining a PRO but not registering songs.</w:t>
      </w:r>
    </w:p>
    <w:p>
      <w:pPr>
        <w:pStyle w:val="ListBullet"/>
      </w:pPr>
      <w:r>
        <w:t>Joining both ASCAP and BMI as the same writer.</w:t>
      </w:r>
    </w:p>
    <w:p>
      <w:pPr>
        <w:pStyle w:val="ListBullet"/>
      </w:pPr>
      <w:r>
        <w:t>Inventing publisher names.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What To Save</w:t>
            </w:r>
          </w:p>
        </w:tc>
      </w:tr>
      <w:tr>
        <w:tc>
          <w:tcPr>
            <w:tcW w:type="dxa" w:w="5112"/>
          </w:tcPr>
          <w:p>
            <w:r>
              <w:t>Join</w:t>
            </w:r>
          </w:p>
        </w:tc>
        <w:tc>
          <w:tcPr>
            <w:tcW w:type="dxa" w:w="5112"/>
          </w:tcPr>
          <w:p>
            <w:r>
              <w:t>Member number and IPI/CAE when available.</w:t>
            </w:r>
          </w:p>
        </w:tc>
      </w:tr>
      <w:tr>
        <w:tc>
          <w:tcPr>
            <w:tcW w:type="dxa" w:w="5112"/>
          </w:tcPr>
          <w:p>
            <w:r>
              <w:t>Register work</w:t>
            </w:r>
          </w:p>
        </w:tc>
        <w:tc>
          <w:tcPr>
            <w:tcW w:type="dxa" w:w="5112"/>
          </w:tcPr>
          <w:p>
            <w:r>
              <w:t>Work ID, title, shares, writer names.</w:t>
            </w:r>
          </w:p>
        </w:tc>
      </w:tr>
      <w:tr>
        <w:tc>
          <w:tcPr>
            <w:tcW w:type="dxa" w:w="5112"/>
          </w:tcPr>
          <w:p>
            <w:r>
              <w:t>Verify</w:t>
            </w:r>
          </w:p>
        </w:tc>
        <w:tc>
          <w:tcPr>
            <w:tcW w:type="dxa" w:w="5112"/>
          </w:tcPr>
          <w:p>
            <w:r>
              <w:t>Status and Songview/repertory check if applicable.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6: MLC and SoundExchange for Artists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Use The MLC for eligible U.S. digital mechanical royalties tied to the composition.</w:t>
      </w:r>
    </w:p>
    <w:p>
      <w:pPr>
        <w:pStyle w:val="ListNumber"/>
      </w:pPr>
      <w:r>
        <w:t>Use SoundExchange for statutory digital performance royalties tied to the recording.</w:t>
      </w:r>
    </w:p>
    <w:p>
      <w:pPr>
        <w:pStyle w:val="ListNumber"/>
      </w:pPr>
      <w:r>
        <w:t>Prepare ISRCs, titles, writer data, artist names, release titles, and ownership roles.</w:t>
      </w:r>
    </w:p>
    <w:p>
      <w:pPr>
        <w:pStyle w:val="ListNumber"/>
      </w:pPr>
      <w:r>
        <w:t>Claim or register what belongs to you and mark unclear items Verify.</w:t>
      </w:r>
    </w:p>
    <w:p>
      <w:pPr>
        <w:pStyle w:val="ListNumber"/>
      </w:pPr>
      <w:r>
        <w:t>Check unmatched, unclaimed, missing, or pending items quarterly.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Thinking MLC and SoundExchange do the same thing.</w:t>
      </w:r>
    </w:p>
    <w:p>
      <w:pPr>
        <w:pStyle w:val="ListBullet"/>
      </w:pPr>
      <w:r>
        <w:t>Leaving ISRCs blank after distributor approval.</w:t>
      </w:r>
    </w:p>
    <w:p>
      <w:pPr>
        <w:pStyle w:val="ListBullet"/>
      </w:pPr>
      <w:r>
        <w:t>Claiming rights owner status without confirming master ownership.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Artist Use</w:t>
            </w:r>
          </w:p>
        </w:tc>
      </w:tr>
      <w:tr>
        <w:tc>
          <w:tcPr>
            <w:tcW w:type="dxa" w:w="5112"/>
          </w:tcPr>
          <w:p>
            <w:r>
              <w:t>The MLC</w:t>
            </w:r>
          </w:p>
        </w:tc>
        <w:tc>
          <w:tcPr>
            <w:tcW w:type="dxa" w:w="5112"/>
          </w:tcPr>
          <w:p>
            <w:r>
              <w:t>Composition-side eligible U.S. digital mechanicals.</w:t>
            </w:r>
          </w:p>
        </w:tc>
      </w:tr>
      <w:tr>
        <w:tc>
          <w:tcPr>
            <w:tcW w:type="dxa" w:w="5112"/>
          </w:tcPr>
          <w:p>
            <w:r>
              <w:t>SoundExchange</w:t>
            </w:r>
          </w:p>
        </w:tc>
        <w:tc>
          <w:tcPr>
            <w:tcW w:type="dxa" w:w="5112"/>
          </w:tcPr>
          <w:p>
            <w:r>
              <w:t>Recording-side statutory digital performances.</w:t>
            </w:r>
          </w:p>
        </w:tc>
      </w:tr>
      <w:tr>
        <w:tc>
          <w:tcPr>
            <w:tcW w:type="dxa" w:w="5112"/>
          </w:tcPr>
          <w:p>
            <w:r>
              <w:t>Distributor</w:t>
            </w:r>
          </w:p>
        </w:tc>
        <w:tc>
          <w:tcPr>
            <w:tcW w:type="dxa" w:w="5112"/>
          </w:tcPr>
          <w:p>
            <w:r>
              <w:t>Store/streaming delivery revenue from the master.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7: Distributor Upload and Metadata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Choose the distributor before finalizing release date.</w:t>
      </w:r>
    </w:p>
    <w:p>
      <w:pPr>
        <w:pStyle w:val="ListNumber"/>
      </w:pPr>
      <w:r>
        <w:t>Prepare final WAV, artwork, track title, version, explicit status, artists, writers, producers, label, publisher, and release date.</w:t>
      </w:r>
    </w:p>
    <w:p>
      <w:pPr>
        <w:pStyle w:val="ListNumber"/>
      </w:pPr>
      <w:r>
        <w:t>Confirm whether the distributor assigns or accepts ISRCs and UPCs.</w:t>
      </w:r>
    </w:p>
    <w:p>
      <w:pPr>
        <w:pStyle w:val="ListNumber"/>
      </w:pPr>
      <w:r>
        <w:t>Upload at least 30 days early when possible.</w:t>
      </w:r>
    </w:p>
    <w:p>
      <w:pPr>
        <w:pStyle w:val="ListNumber"/>
      </w:pPr>
      <w:r>
        <w:t>After approval, copy UPC, ISRCs, and store links into the tracker.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Putting featured artists in the title instead of the feature field when the distributor provides one.</w:t>
      </w:r>
    </w:p>
    <w:p>
      <w:pPr>
        <w:pStyle w:val="ListBullet"/>
      </w:pPr>
      <w:r>
        <w:t>Uploading artwork that conflicts with metadata.</w:t>
      </w:r>
    </w:p>
    <w:p>
      <w:pPr>
        <w:pStyle w:val="ListBullet"/>
      </w:pPr>
      <w:r>
        <w:t>Changing ISRCs unnecessarily.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Metadata Field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Clean Example</w:t>
            </w:r>
          </w:p>
        </w:tc>
      </w:tr>
      <w:tr>
        <w:tc>
          <w:tcPr>
            <w:tcW w:type="dxa" w:w="5112"/>
          </w:tcPr>
          <w:p>
            <w:r>
              <w:t>Track title</w:t>
            </w:r>
          </w:p>
        </w:tc>
        <w:tc>
          <w:tcPr>
            <w:tcW w:type="dxa" w:w="5112"/>
          </w:tcPr>
          <w:p>
            <w:r>
              <w:t>Midnight Invoice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Clean Version</w:t>
            </w:r>
          </w:p>
        </w:tc>
      </w:tr>
      <w:tr>
        <w:tc>
          <w:tcPr>
            <w:tcW w:type="dxa" w:w="5112"/>
          </w:tcPr>
          <w:p>
            <w:r>
              <w:t>Primary artist</w:t>
            </w:r>
          </w:p>
        </w:tc>
        <w:tc>
          <w:tcPr>
            <w:tcW w:type="dxa" w:w="5112"/>
          </w:tcPr>
          <w:p>
            <w:r>
              <w:t>Avery Stone</w:t>
            </w:r>
          </w:p>
        </w:tc>
      </w:tr>
      <w:tr>
        <w:tc>
          <w:tcPr>
            <w:tcW w:type="dxa" w:w="5112"/>
          </w:tcPr>
          <w:p>
            <w:r>
              <w:t>Featured artist</w:t>
            </w:r>
          </w:p>
        </w:tc>
        <w:tc>
          <w:tcPr>
            <w:tcW w:type="dxa" w:w="5112"/>
          </w:tcPr>
          <w:p>
            <w:r>
              <w:t>Lena Fox</w:t>
            </w:r>
          </w:p>
        </w:tc>
      </w:tr>
      <w:tr>
        <w:tc>
          <w:tcPr>
            <w:tcW w:type="dxa" w:w="5112"/>
          </w:tcPr>
          <w:p>
            <w:r>
              <w:t>ISRC</w:t>
            </w:r>
          </w:p>
        </w:tc>
        <w:tc>
          <w:tcPr>
            <w:tcW w:type="dxa" w:w="5112"/>
          </w:tcPr>
          <w:p>
            <w:r>
              <w:t>Use distributor-assigned or valid existing code.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Module 8: Artist Release Calendar and Quarterly Audit</w:t>
      </w:r>
    </w:p>
    <w:p>
      <w:pPr>
        <w:pStyle w:val="Heading2"/>
      </w:pPr>
      <w:r>
        <w:t>Do This Step by Step</w:t>
      </w:r>
    </w:p>
    <w:p>
      <w:pPr>
        <w:pStyle w:val="ListNumber"/>
      </w:pPr>
      <w:r>
        <w:t>30 days before release, finish splits, metadata, audio, artwork, and upload plan.</w:t>
      </w:r>
    </w:p>
    <w:p>
      <w:pPr>
        <w:pStyle w:val="ListNumber"/>
      </w:pPr>
      <w:r>
        <w:t>14 days before release, submit distributor upload.</w:t>
      </w:r>
    </w:p>
    <w:p>
      <w:pPr>
        <w:pStyle w:val="ListNumber"/>
      </w:pPr>
      <w:r>
        <w:t>7 days before release, verify identifiers and registrations.</w:t>
      </w:r>
    </w:p>
    <w:p>
      <w:pPr>
        <w:pStyle w:val="ListNumber"/>
      </w:pPr>
      <w:r>
        <w:t>Release day, check live links and artist profile mapping.</w:t>
      </w:r>
    </w:p>
    <w:p>
      <w:pPr>
        <w:pStyle w:val="ListNumber"/>
      </w:pPr>
      <w:r>
        <w:t>Each quarter, check distributor, PRO, MLC, and SoundExchange status against the Song Catalog.</w:t>
      </w:r>
    </w:p>
    <w:p>
      <w:r>
        <w:br w:type="page"/>
      </w:r>
    </w:p>
    <w:p>
      <w:pPr>
        <w:pStyle w:val="Heading2"/>
      </w:pPr>
      <w:r>
        <w:t>Common Mistakes</w:t>
      </w:r>
    </w:p>
    <w:p>
      <w:pPr>
        <w:pStyle w:val="ListBullet"/>
      </w:pPr>
      <w:r>
        <w:t>Never checking whether the song mapped to the right artist profile.</w:t>
      </w:r>
    </w:p>
    <w:p>
      <w:pPr>
        <w:pStyle w:val="ListBullet"/>
      </w:pPr>
      <w:r>
        <w:t>Only reviewing distributor money.</w:t>
      </w:r>
    </w:p>
    <w:p>
      <w:pPr>
        <w:pStyle w:val="ListBullet"/>
      </w:pPr>
      <w:r>
        <w:t>Letting pending issues sit without due dates.</w:t>
      </w:r>
    </w:p>
    <w:p>
      <w:r>
        <w:br w:type="page"/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Artist Check</w:t>
            </w:r>
          </w:p>
        </w:tc>
      </w:tr>
      <w:tr>
        <w:tc>
          <w:tcPr>
            <w:tcW w:type="dxa" w:w="5112"/>
          </w:tcPr>
          <w:p>
            <w:r>
              <w:t>30 days before</w:t>
            </w:r>
          </w:p>
        </w:tc>
        <w:tc>
          <w:tcPr>
            <w:tcW w:type="dxa" w:w="5112"/>
          </w:tcPr>
          <w:p>
            <w:r>
              <w:t>Splits and metadata final.</w:t>
            </w:r>
          </w:p>
        </w:tc>
      </w:tr>
      <w:tr>
        <w:tc>
          <w:tcPr>
            <w:tcW w:type="dxa" w:w="5112"/>
          </w:tcPr>
          <w:p>
            <w:r>
              <w:t>Release day</w:t>
            </w:r>
          </w:p>
        </w:tc>
        <w:tc>
          <w:tcPr>
            <w:tcW w:type="dxa" w:w="5112"/>
          </w:tcPr>
          <w:p>
            <w:r>
              <w:t>Links and profile mapping correct.</w:t>
            </w:r>
          </w:p>
        </w:tc>
      </w:tr>
      <w:tr>
        <w:tc>
          <w:tcPr>
            <w:tcW w:type="dxa" w:w="5112"/>
          </w:tcPr>
          <w:p>
            <w:r>
              <w:t>30 days after</w:t>
            </w:r>
          </w:p>
        </w:tc>
        <w:tc>
          <w:tcPr>
            <w:tcW w:type="dxa" w:w="5112"/>
          </w:tcPr>
          <w:p>
            <w:r>
              <w:t>Registrations and claims checked.</w:t>
            </w:r>
          </w:p>
        </w:tc>
      </w:tr>
      <w:tr>
        <w:tc>
          <w:tcPr>
            <w:tcW w:type="dxa" w:w="5112"/>
          </w:tcPr>
          <w:p>
            <w:r>
              <w:t>Quarterly</w:t>
            </w:r>
          </w:p>
        </w:tc>
        <w:tc>
          <w:tcPr>
            <w:tcW w:type="dxa" w:w="5112"/>
          </w:tcPr>
          <w:p>
            <w:r>
              <w:t>Statements and missing items reviewed.</w:t>
            </w:r>
          </w:p>
        </w:tc>
      </w:tr>
    </w:tbl>
    <w:p/>
    <w:p>
      <w:r>
        <w:br w:type="page"/>
      </w:r>
    </w:p>
    <w:p>
      <w:pPr>
        <w:pStyle w:val="Heading2"/>
      </w:pPr>
      <w:r>
        <w:t>Done Standard</w:t>
      </w:r>
    </w:p>
    <w:p>
      <w:pPr>
        <w:pStyle w:val="ListBullet"/>
      </w:pPr>
      <w:r>
        <w:t>The tracker has a clear status.</w:t>
      </w:r>
    </w:p>
    <w:p>
      <w:pPr>
        <w:pStyle w:val="ListBullet"/>
      </w:pPr>
      <w:r>
        <w:t>Proof or confirmation is saved in the right folder.</w:t>
      </w:r>
    </w:p>
    <w:p>
      <w:pPr>
        <w:pStyle w:val="ListBullet"/>
      </w:pPr>
      <w:r>
        <w:t>Any unresolved issue has a next action and due date.</w:t>
      </w:r>
    </w:p>
    <w:p>
      <w:pPr>
        <w:pStyle w:val="ListBullet"/>
      </w:pPr>
      <w:r>
        <w:t>Official portal requirements were checked before submission when applicable.</w:t>
      </w:r>
    </w:p>
    <w:p>
      <w:r>
        <w:br w:type="page"/>
      </w:r>
    </w:p>
    <w:p>
      <w:pPr>
        <w:pStyle w:val="Heading1"/>
      </w:pPr>
      <w:r>
        <w:t>Official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112"/>
            <w:shd w:fill="1F4E5F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5112"/>
          </w:tcPr>
          <w:p>
            <w:r>
              <w:t>U.S. Copyright Office registration FAQ</w:t>
            </w:r>
          </w:p>
        </w:tc>
        <w:tc>
          <w:tcPr>
            <w:tcW w:type="dxa" w:w="5112"/>
          </w:tcPr>
          <w:p>
            <w:r>
              <w:t>https://www.copyright.gov/help/faq/faq-register.html</w:t>
            </w:r>
          </w:p>
        </w:tc>
      </w:tr>
      <w:tr>
        <w:tc>
          <w:tcPr>
            <w:tcW w:type="dxa" w:w="5112"/>
          </w:tcPr>
          <w:p>
            <w:r>
              <w:t>U.S. Copyright Office PA/SR registration</w:t>
            </w:r>
          </w:p>
        </w:tc>
        <w:tc>
          <w:tcPr>
            <w:tcW w:type="dxa" w:w="5112"/>
          </w:tcPr>
          <w:p>
            <w:r>
              <w:t>https://www.copyright.gov/register/pa-sr.html</w:t>
            </w:r>
          </w:p>
        </w:tc>
      </w:tr>
      <w:tr>
        <w:tc>
          <w:tcPr>
            <w:tcW w:type="dxa" w:w="5112"/>
          </w:tcPr>
          <w:p>
            <w:r>
              <w:t>U.S. Copyright Office GRAM</w:t>
            </w:r>
          </w:p>
        </w:tc>
        <w:tc>
          <w:tcPr>
            <w:tcW w:type="dxa" w:w="5112"/>
          </w:tcPr>
          <w:p>
            <w:r>
              <w:t>https://www.copyright.gov/gram/</w:t>
            </w:r>
          </w:p>
        </w:tc>
      </w:tr>
      <w:tr>
        <w:tc>
          <w:tcPr>
            <w:tcW w:type="dxa" w:w="5112"/>
          </w:tcPr>
          <w:p>
            <w:r>
              <w:t>ASCAP official site</w:t>
            </w:r>
          </w:p>
        </w:tc>
        <w:tc>
          <w:tcPr>
            <w:tcW w:type="dxa" w:w="5112"/>
          </w:tcPr>
          <w:p>
            <w:r>
              <w:t>https://www.ascap.com/</w:t>
            </w:r>
          </w:p>
        </w:tc>
      </w:tr>
      <w:tr>
        <w:tc>
          <w:tcPr>
            <w:tcW w:type="dxa" w:w="5112"/>
          </w:tcPr>
          <w:p>
            <w:r>
              <w:t>ASCAP join</w:t>
            </w:r>
          </w:p>
        </w:tc>
        <w:tc>
          <w:tcPr>
            <w:tcW w:type="dxa" w:w="5112"/>
          </w:tcPr>
          <w:p>
            <w:r>
              <w:t>https://www.ascap.com/join</w:t>
            </w:r>
          </w:p>
        </w:tc>
      </w:tr>
      <w:tr>
        <w:tc>
          <w:tcPr>
            <w:tcW w:type="dxa" w:w="5112"/>
          </w:tcPr>
          <w:p>
            <w:r>
              <w:t>ASCAP repertory/Songview</w:t>
            </w:r>
          </w:p>
        </w:tc>
        <w:tc>
          <w:tcPr>
            <w:tcW w:type="dxa" w:w="5112"/>
          </w:tcPr>
          <w:p>
            <w:r>
              <w:t>https://www.ascap.com/repertory</w:t>
            </w:r>
          </w:p>
        </w:tc>
      </w:tr>
      <w:tr>
        <w:tc>
          <w:tcPr>
            <w:tcW w:type="dxa" w:w="5112"/>
          </w:tcPr>
          <w:p>
            <w:r>
              <w:t>BMI official site</w:t>
            </w:r>
          </w:p>
        </w:tc>
        <w:tc>
          <w:tcPr>
            <w:tcW w:type="dxa" w:w="5112"/>
          </w:tcPr>
          <w:p>
            <w:r>
              <w:t>https://www.bmi.com/</w:t>
            </w:r>
          </w:p>
        </w:tc>
      </w:tr>
      <w:tr>
        <w:tc>
          <w:tcPr>
            <w:tcW w:type="dxa" w:w="5112"/>
          </w:tcPr>
          <w:p>
            <w:r>
              <w:t>BMI join</w:t>
            </w:r>
          </w:p>
        </w:tc>
        <w:tc>
          <w:tcPr>
            <w:tcW w:type="dxa" w:w="5112"/>
          </w:tcPr>
          <w:p>
            <w:r>
              <w:t>https://www.bmi.com/join</w:t>
            </w:r>
          </w:p>
        </w:tc>
      </w:tr>
      <w:tr>
        <w:tc>
          <w:tcPr>
            <w:tcW w:type="dxa" w:w="5112"/>
          </w:tcPr>
          <w:p>
            <w:r>
              <w:t>BMI repertory/Songview</w:t>
            </w:r>
          </w:p>
        </w:tc>
        <w:tc>
          <w:tcPr>
            <w:tcW w:type="dxa" w:w="5112"/>
          </w:tcPr>
          <w:p>
            <w:r>
              <w:t>https://repertoire.bmi.com/main/search</w:t>
            </w:r>
          </w:p>
        </w:tc>
      </w:tr>
      <w:tr>
        <w:tc>
          <w:tcPr>
            <w:tcW w:type="dxa" w:w="5112"/>
          </w:tcPr>
          <w:p>
            <w:r>
              <w:t>The MLC official site</w:t>
            </w:r>
          </w:p>
        </w:tc>
        <w:tc>
          <w:tcPr>
            <w:tcW w:type="dxa" w:w="5112"/>
          </w:tcPr>
          <w:p>
            <w:r>
              <w:t>https://www.themlc.com/</w:t>
            </w:r>
          </w:p>
        </w:tc>
      </w:tr>
      <w:tr>
        <w:tc>
          <w:tcPr>
            <w:tcW w:type="dxa" w:w="5112"/>
          </w:tcPr>
          <w:p>
            <w:r>
              <w:t>The MLC FAQ</w:t>
            </w:r>
          </w:p>
        </w:tc>
        <w:tc>
          <w:tcPr>
            <w:tcW w:type="dxa" w:w="5112"/>
          </w:tcPr>
          <w:p>
            <w:r>
              <w:t>https://www.themlc.com/faqs/categories/mlc</w:t>
            </w:r>
          </w:p>
        </w:tc>
      </w:tr>
      <w:tr>
        <w:tc>
          <w:tcPr>
            <w:tcW w:type="dxa" w:w="5112"/>
          </w:tcPr>
          <w:p>
            <w:r>
              <w:t>The MLC historical unmatched royalties</w:t>
            </w:r>
          </w:p>
        </w:tc>
        <w:tc>
          <w:tcPr>
            <w:tcW w:type="dxa" w:w="5112"/>
          </w:tcPr>
          <w:p>
            <w:r>
              <w:t>https://www.themlc.com/historical-unmatched-royalties</w:t>
            </w:r>
          </w:p>
        </w:tc>
      </w:tr>
      <w:tr>
        <w:tc>
          <w:tcPr>
            <w:tcW w:type="dxa" w:w="5112"/>
          </w:tcPr>
          <w:p>
            <w:r>
              <w:t>SoundExchange registration</w:t>
            </w:r>
          </w:p>
        </w:tc>
        <w:tc>
          <w:tcPr>
            <w:tcW w:type="dxa" w:w="5112"/>
          </w:tcPr>
          <w:p>
            <w:r>
              <w:t>https://register.soundexchange.com/</w:t>
            </w:r>
          </w:p>
        </w:tc>
      </w:tr>
      <w:tr>
        <w:tc>
          <w:tcPr>
            <w:tcW w:type="dxa" w:w="5112"/>
          </w:tcPr>
          <w:p>
            <w:r>
              <w:t>SoundExchange register page</w:t>
            </w:r>
          </w:p>
        </w:tc>
        <w:tc>
          <w:tcPr>
            <w:tcW w:type="dxa" w:w="5112"/>
          </w:tcPr>
          <w:p>
            <w:r>
              <w:t>https://www.soundexchange.com/register/</w:t>
            </w:r>
          </w:p>
        </w:tc>
      </w:tr>
      <w:tr>
        <w:tc>
          <w:tcPr>
            <w:tcW w:type="dxa" w:w="5112"/>
          </w:tcPr>
          <w:p>
            <w:r>
              <w:t>SoundExchange who we are</w:t>
            </w:r>
          </w:p>
        </w:tc>
        <w:tc>
          <w:tcPr>
            <w:tcW w:type="dxa" w:w="5112"/>
          </w:tcPr>
          <w:p>
            <w:r>
              <w:t>https://www.soundexchange.com/who-we-are/</w:t>
            </w:r>
          </w:p>
        </w:tc>
      </w:tr>
      <w:tr>
        <w:tc>
          <w:tcPr>
            <w:tcW w:type="dxa" w:w="5112"/>
          </w:tcPr>
          <w:p>
            <w:r>
              <w:t>DistroKid Help Center</w:t>
            </w:r>
          </w:p>
        </w:tc>
        <w:tc>
          <w:tcPr>
            <w:tcW w:type="dxa" w:w="5112"/>
          </w:tcPr>
          <w:p>
            <w:r>
              <w:t>https://support.distrokid.com/</w:t>
            </w:r>
          </w:p>
        </w:tc>
      </w:tr>
      <w:tr>
        <w:tc>
          <w:tcPr>
            <w:tcW w:type="dxa" w:w="5112"/>
          </w:tcPr>
          <w:p>
            <w:r>
              <w:t>DistroKid ISRC/UPC help</w:t>
            </w:r>
          </w:p>
        </w:tc>
        <w:tc>
          <w:tcPr>
            <w:tcW w:type="dxa" w:w="5112"/>
          </w:tcPr>
          <w:p>
            <w:r>
              <w:t>https://support.distrokid.com/hc/en-us/articles/360013648993</w:t>
            </w:r>
          </w:p>
        </w:tc>
      </w:tr>
      <w:tr>
        <w:tc>
          <w:tcPr>
            <w:tcW w:type="dxa" w:w="5112"/>
          </w:tcPr>
          <w:p>
            <w:r>
              <w:t>TuneCore Help Center</w:t>
            </w:r>
          </w:p>
        </w:tc>
        <w:tc>
          <w:tcPr>
            <w:tcW w:type="dxa" w:w="5112"/>
          </w:tcPr>
          <w:p>
            <w:r>
              <w:t>https://support.tunecore.com/</w:t>
            </w:r>
          </w:p>
        </w:tc>
      </w:tr>
      <w:tr>
        <w:tc>
          <w:tcPr>
            <w:tcW w:type="dxa" w:w="5112"/>
          </w:tcPr>
          <w:p>
            <w:r>
              <w:t>TuneCore UPCs and ISRCs</w:t>
            </w:r>
          </w:p>
        </w:tc>
        <w:tc>
          <w:tcPr>
            <w:tcW w:type="dxa" w:w="5112"/>
          </w:tcPr>
          <w:p>
            <w:r>
              <w:t>https://support.tunecore.com/hc/en-in/articles/115006499567-TuneCore-UPCs-and-ISRCs</w:t>
            </w:r>
          </w:p>
        </w:tc>
      </w:tr>
      <w:tr>
        <w:tc>
          <w:tcPr>
            <w:tcW w:type="dxa" w:w="5112"/>
          </w:tcPr>
          <w:p>
            <w:r>
              <w:t>CD Baby Help Center</w:t>
            </w:r>
          </w:p>
        </w:tc>
        <w:tc>
          <w:tcPr>
            <w:tcW w:type="dxa" w:w="5112"/>
          </w:tcPr>
          <w:p>
            <w:r>
              <w:t>https://support.cdbaby.com/</w:t>
            </w:r>
          </w:p>
        </w:tc>
      </w:tr>
      <w:tr>
        <w:tc>
          <w:tcPr>
            <w:tcW w:type="dxa" w:w="5112"/>
          </w:tcPr>
          <w:p>
            <w:r>
              <w:t>CD Baby ISRC explanation</w:t>
            </w:r>
          </w:p>
        </w:tc>
        <w:tc>
          <w:tcPr>
            <w:tcW w:type="dxa" w:w="5112"/>
          </w:tcPr>
          <w:p>
            <w:r>
              <w:t>https://support.cdbaby.com/hc/en-us/articles/360019038511-Understanding-ISRCs</w:t>
            </w:r>
          </w:p>
        </w:tc>
      </w:tr>
      <w:tr>
        <w:tc>
          <w:tcPr>
            <w:tcW w:type="dxa" w:w="5112"/>
          </w:tcPr>
          <w:p>
            <w:r>
              <w:t>IRS EIN information</w:t>
            </w:r>
          </w:p>
        </w:tc>
        <w:tc>
          <w:tcPr>
            <w:tcW w:type="dxa" w:w="5112"/>
          </w:tcPr>
          <w:p>
            <w:r>
              <w:t>https://www.irs.gov/businesses/small-businesses-self-employed/apply-for-an-employer-identification-number-ein-online</w:t>
            </w:r>
          </w:p>
        </w:tc>
      </w:tr>
    </w:tbl>
    <w:p/>
    <w:p>
      <w:pPr>
        <w:pStyle w:val="Heading1"/>
      </w:pPr>
      <w:r>
        <w:t>Final Disclaimer</w:t>
      </w:r>
    </w:p>
    <w:p>
      <w:r>
        <w:t>Boswell Consulting Group provides this product for educational and administrative guidance only. It is not legal, tax, accounting, financial, investment, or business-formation advice. Users should consult qualified legal, tax, accounting, or financial professionals for advice about their specific situation. Official portal workflows, fees, eligibility rules, and data fields may change; verify current requirements directly with the official portal before submitting registrations, claims, applications, or tax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Educational Use Only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Boswell Consulting Group | Independent Artist Administration System™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