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00"/>
      </w:pPr>
      <w:r>
        <w:rPr>
          <w:rFonts w:ascii="Arial" w:cs="Arial" w:eastAsia="Arial" w:hAnsi="Arial"/>
          <w:b/>
          <w:bCs/>
          <w:color w:val="3730A3"/>
          <w:sz w:val="52"/>
          <w:szCs w:val="52"/>
        </w:rPr>
        <w:t xml:space="preserve">SN123 MANTIS</w:t>
      </w:r>
    </w:p>
    <w:p>
      <w:pPr>
        <w:spacing w:before="0" w:after="140"/>
      </w:pPr>
      <w:r>
        <w:rPr>
          <w:rFonts w:ascii="Arial" w:cs="Arial" w:eastAsia="Arial" w:hAnsi="Arial"/>
          <w:color w:val="5F5E5A"/>
          <w:sz w:val="34"/>
          <w:szCs w:val="34"/>
        </w:rPr>
        <w:t xml:space="preserve">Miner Strategy, Iterative Research Findings, and Alignment Guide</w:t>
      </w:r>
    </w:p>
    <w:p>
      <w:pPr>
        <w:spacing w:before="0" w:after="140"/>
      </w:pPr>
      <w:r>
        <w:rPr>
          <w:rFonts w:ascii="Arial" w:cs="Arial" w:eastAsia="Arial" w:hAnsi="Arial"/>
          <w:color w:val="5F5E5A"/>
          <w:sz w:val="24"/>
          <w:szCs w:val="24"/>
        </w:rPr>
        <w:t xml:space="preserve">Derived from SN44 iterative research applied to MANTIS cooperative salience architecture</w:t>
      </w:r>
    </w:p>
    <w:p>
      <w:pPr>
        <w:pBdr>
          <w:bottom w:val="single" w:color="3730A3" w:sz="8" w:space="1"/>
        </w:pBdr>
        <w:spacing w:before="0" w:after="280"/>
      </w:pPr>
      <w:r>
        <w:t xml:space="preserve"/>
      </w:r>
    </w:p>
    <w:p>
      <w:pPr>
        <w:spacing w:before="0" w:after="180"/>
      </w:pPr>
      <w:r>
        <w:t xml:space="preserve">This document applies the iterative self-training framework developed during SN44 (TurboVision) research to MANTIS (Subnet 123). It covers what transfers directly, what must be re-thought, and the strategic insights specific to MANTIS's cooperative salience scoring architecture. The central finding: MANTIS rewards </w:t>
      </w:r>
      <w:r>
        <w:rPr>
          <w:b/>
          <w:bCs/>
        </w:rPr>
        <w:t xml:space="preserve">information the ensemble does not already have</w:t>
      </w:r>
      <w:r>
        <w:t xml:space="preserve">, not absolute prediction accuracy. This inverts the standard iteration strategy in a specific and important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SN123 MANTIS -- Bittensor decentralised financial forecasting</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Barbarian (Atlas Null) -- @Barbarian7676</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github.com/Barbariandev/MANTIS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Submit encrypted embeddings predicting future returns of financial assets (BTC/USD, forex, etc.)</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Cooperative salience: your marginal contribution to a walk-forward ensemble, not your raw prediction accuracy</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Top ~20-30 miners out of 256 earn meaningful emissions. Below this rank, emissions approach zero.</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300-block (~60 min) decryption delay before validator evaluates your submission. All failures are delayed.</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sn123_mantis_scoring_alignment.py -- 11 alignment checks. bittensor_miner_template/ -- generic Claude Code agent framework.</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1.  The Fundamental Difference  --  Cooperative vs Competitive Scoring</w:t>
      </w:r>
    </w:p>
    <w:p>
      <w:pPr>
        <w:spacing w:before="80" w:after="120"/>
      </w:pPr>
      <w:r>
        <w:t xml:space="preserve">Everything in the SN44 research assumes </w:t>
      </w:r>
      <w:r>
        <w:rPr>
          <w:b/>
          <w:bCs/>
        </w:rPr>
        <w:t xml:space="preserve">absolute scoring</w:t>
      </w:r>
      <w:r>
        <w:t xml:space="preserve">: your model's quality against pseudo-GT, independent of other miners. MANTIS uses </w:t>
      </w:r>
      <w:r>
        <w:rPr>
          <w:b/>
          <w:bCs/>
        </w:rPr>
        <w:t xml:space="preserve">cooperative salience scoring</w:t>
      </w:r>
      <w:r>
        <w:t xml:space="preserve">: your score is your marginal contribution to a shared ensemble. These are different games with different winning strategies.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3730A3" w:sz="12" w:space="8"/>
              <w:bottom w:val="none" w:color="auto" w:sz="0"/>
              <w:right w:val="none" w:color="auto" w:sz="0"/>
            </w:tcBorders>
            <w:shd w:fill="EEF2FF" w:val="clear"/>
            <w:tcMar>
              <w:top w:type="dxa" w:w="120"/>
              <w:left w:type="dxa" w:w="200"/>
              <w:bottom w:type="dxa" w:w="120"/>
              <w:right w:type="dxa" w:w="120"/>
            </w:tcMar>
          </w:tcPr>
          <w:p>
            <w:pPr>
              <w:spacing w:before="0" w:after="80"/>
            </w:pPr>
            <w:r>
              <w:rPr>
                <w:b/>
                <w:bCs/>
                <w:color w:val="3730A3"/>
                <w:sz w:val="20"/>
                <w:szCs w:val="20"/>
              </w:rPr>
              <w:t xml:space="preserve">The core insight</w:t>
            </w:r>
          </w:p>
          <w:p>
            <w:pPr>
              <w:spacing w:before="0" w:after="60"/>
            </w:pPr>
            <w:r>
              <w:rPr>
                <w:sz w:val="20"/>
                <w:szCs w:val="20"/>
              </w:rPr>
              <w:t xml:space="preserve">A miner who produces high-quality embeddings that are correlated with existing top miners earns LOW salience -- not because their embeddings are bad, but because the ensemble already has that signal.</w:t>
            </w:r>
          </w:p>
          <w:p>
            <w:pPr>
              <w:spacing w:before="60" w:after="60"/>
            </w:pPr>
            <w:r>
              <w:rPr>
                <w:sz w:val="20"/>
                <w:szCs w:val="20"/>
              </w:rPr>
              <w:t xml:space="preserve"/>
            </w:r>
          </w:p>
          <w:p>
            <w:pPr>
              <w:spacing w:before="60" w:after="60"/>
            </w:pPr>
            <w:r>
              <w:rPr>
                <w:sz w:val="20"/>
                <w:szCs w:val="20"/>
              </w:rPr>
              <w:t xml:space="preserve">A miner who produces moderately good embeddings that are UNCORRELATED with existing top miners earns HIGH salience -- because they are adding new information.</w:t>
            </w:r>
          </w:p>
          <w:p>
            <w:pPr>
              <w:spacing w:before="60" w:after="60"/>
            </w:pPr>
            <w:r>
              <w:rPr>
                <w:sz w:val="20"/>
                <w:szCs w:val="20"/>
              </w:rPr>
              <w:t xml:space="preserve"/>
            </w:r>
          </w:p>
          <w:p>
            <w:pPr>
              <w:spacing w:before="60" w:after="60"/>
            </w:pPr>
            <w:r>
              <w:rPr>
                <w:sz w:val="20"/>
                <w:szCs w:val="20"/>
              </w:rPr>
              <w:t xml:space="preserve">Above the noise floor (~53-55% directional accuracy), more accuracy in the same direction as existing miners earns LESS than less accuracy in a genuinely different direction.</w:t>
            </w:r>
          </w:p>
          <w:p>
            <w:pPr>
              <w:spacing w:before="60" w:after="0"/>
            </w:pPr>
            <w:r>
              <w:rPr>
                <w:sz w:val="20"/>
                <w:szCs w:val="20"/>
              </w:rPr>
              <w:t xml:space="preserve">This is the central strategic insight for MANTIS that has no equivalent in SN44.</w:t>
            </w:r>
          </w:p>
        </w:tc>
      </w:tr>
    </w:tbl>
    <w:p>
      <w:pPr>
        <w:spacing w:before="0" w:after="120"/>
      </w:pPr>
      <w:r>
        <w:t xml:space="preserve"/>
      </w:r>
    </w:p>
    <w:p>
      <w:pPr>
        <w:pStyle w:val="Heading2"/>
        <w:spacing w:before="280" w:after="120"/>
      </w:pPr>
      <w:r>
        <w:rPr>
          <w:rFonts w:ascii="Arial" w:cs="Arial" w:eastAsia="Arial" w:hAnsi="Arial"/>
          <w:b/>
          <w:bCs/>
          <w:color w:val="2C2C2A"/>
          <w:sz w:val="26"/>
          <w:szCs w:val="26"/>
        </w:rPr>
        <w:t xml:space="preserve">1.1  How the Salience Function Actually Works</w:t>
      </w:r>
    </w:p>
    <w:p>
      <w:pPr>
        <w:spacing w:before="80" w:after="120"/>
      </w:pPr>
      <w:r>
        <w:t xml:space="preserve">From </w:t>
      </w:r>
      <w:r>
        <w:rPr>
          <w:rFonts w:ascii="Courier New" w:cs="Courier New" w:eastAsia="Courier New" w:hAnsi="Courier New"/>
          <w:color w:val="534AB7"/>
          <w:sz w:val="20"/>
          <w:szCs w:val="20"/>
        </w:rPr>
        <w:t xml:space="preserve">model.py</w:t>
      </w:r>
      <w:r>
        <w:t xml:space="preserve"> </w:t>
      </w:r>
      <w:r>
        <w:rPr>
          <w:rFonts w:ascii="Courier New" w:cs="Courier New" w:eastAsia="Courier New" w:hAnsi="Courier New"/>
          <w:color w:val="534AB7"/>
          <w:sz w:val="20"/>
          <w:szCs w:val="20"/>
        </w:rPr>
        <w:t xml:space="preserve">salience_binary_prediction()</w:t>
      </w:r>
      <w:r>
        <w:t xml:space="preserve">: the validator runs a walk-forward logistic regression over 30 days of embedding history for all miners. At each window it:</w:t>
      </w:r>
    </w:p>
    <w:p>
      <w:pPr>
        <w:spacing w:before="0" w:after="80"/>
      </w:pPr>
      <w:r>
        <w:t xml:space="preserve"/>
      </w:r>
    </w:p>
    <w:p>
      <w:pPr>
        <w:pStyle w:val="ListParagraph"/>
        <w:numPr>
          <w:ilvl w:val="0"/>
          <w:numId w:val="2"/>
        </w:numPr>
        <w:spacing w:before="60" w:after="60"/>
      </w:pPr>
      <w:r>
        <w:rPr>
          <w:b/>
          <w:bCs/>
        </w:rPr>
        <w:t xml:space="preserve">Selects top-K miners (TOP_K=20) </w:t>
      </w:r>
      <w:r>
        <w:t xml:space="preserve">by AUC from a pre-selection evaluation window.</w:t>
      </w:r>
    </w:p>
    <w:p>
      <w:pPr>
        <w:pStyle w:val="ListParagraph"/>
        <w:numPr>
          <w:ilvl w:val="0"/>
          <w:numId w:val="2"/>
        </w:numPr>
        <w:spacing w:before="60" w:after="60"/>
      </w:pPr>
      <w:r>
        <w:rPr>
          <w:b/>
          <w:bCs/>
        </w:rPr>
        <w:t xml:space="preserve">Builds a meta-model (elastic-net logistic regression) </w:t>
      </w:r>
      <w:r>
        <w:t xml:space="preserve">using predictions from the selected miners as features.</w:t>
      </w:r>
    </w:p>
    <w:p>
      <w:pPr>
        <w:pStyle w:val="ListParagraph"/>
        <w:numPr>
          <w:ilvl w:val="0"/>
          <w:numId w:val="2"/>
        </w:numPr>
        <w:spacing w:before="60" w:after="60"/>
      </w:pPr>
      <w:r>
        <w:rPr>
          <w:b/>
          <w:bCs/>
        </w:rPr>
        <w:t xml:space="preserve">Measures each miner's contribution </w:t>
      </w:r>
      <w:r>
        <w:t xml:space="preserve">via the absolute value of their coefficient in the meta-model -- miners whose signal genuinely improves the ensemble get high coefficient weight.</w:t>
      </w:r>
    </w:p>
    <w:p>
      <w:pPr>
        <w:pStyle w:val="ListParagraph"/>
        <w:numPr>
          <w:ilvl w:val="0"/>
          <w:numId w:val="2"/>
        </w:numPr>
        <w:spacing w:before="60" w:after="60"/>
      </w:pPr>
      <w:r>
        <w:rPr>
          <w:b/>
          <w:bCs/>
        </w:rPr>
        <w:t xml:space="preserve">Applies recency weighting </w:t>
      </w:r>
      <w:r>
        <w:t xml:space="preserve">(half-life WINDOWS_HALF_LIFE=10 windows) so recent performance matters more than historical.</w:t>
      </w:r>
    </w:p>
    <w:p>
      <w:pPr>
        <w:pStyle w:val="ListParagraph"/>
        <w:numPr>
          <w:ilvl w:val="0"/>
          <w:numId w:val="2"/>
        </w:numPr>
        <w:spacing w:before="60" w:after="60"/>
      </w:pPr>
      <w:r>
        <w:rPr>
          <w:b/>
          <w:bCs/>
        </w:rPr>
        <w:t xml:space="preserve">Requires minimum 500 samples </w:t>
      </w:r>
      <w:r>
        <w:t xml:space="preserve">(T &lt; 500 → return {}) -- new miners are invisible until this threshold is crossed.</w:t>
      </w:r>
    </w:p>
    <w:p>
      <w:pPr>
        <w:spacing w:before="0" w:after="80"/>
      </w:pPr>
      <w:r>
        <w:t xml:space="preserve"/>
      </w:r>
    </w:p>
    <w:p>
      <w:pPr>
        <w:spacing w:before="80" w:after="120"/>
      </w:pPr>
      <w:r>
        <w:t xml:space="preserve">The elastic-net penalty (l1_ratio=0.5) explicitly sparsifies the meta-model: it prefers selecting a small number of high-quality, diverse signals over including many correlated ones. Two miners with similar strategies will each receive half the salience that one miner alone would receive.</w:t>
      </w:r>
    </w:p>
    <w:p>
      <w:pPr>
        <w:spacing w:before="0" w:after="200"/>
      </w:pPr>
      <w:r>
        <w:t xml:space="preserve"/>
      </w:r>
    </w:p>
    <w:p>
      <w:pPr>
        <w:pStyle w:val="Heading1"/>
        <w:pBdr>
          <w:bottom w:val="single" w:color="3730A3" w:sz="6" w:space="4"/>
        </w:pBdr>
        <w:spacing w:before="360" w:after="160"/>
      </w:pPr>
      <w:r>
        <w:rPr>
          <w:rFonts w:ascii="Arial" w:cs="Arial" w:eastAsia="Arial" w:hAnsi="Arial"/>
          <w:b/>
          <w:bCs/>
          <w:color w:val="3730A3"/>
          <w:sz w:val="32"/>
          <w:szCs w:val="32"/>
        </w:rPr>
        <w:t xml:space="preserve">2.  What Transfers from the SN44 Research</w:t>
      </w:r>
    </w:p>
    <w:p>
      <w:pPr>
        <w:spacing w:before="80" w:after="120"/>
      </w:pPr>
      <w:r>
        <w:t xml:space="preserve">The SN44 iterative research produced five documents, three simulators, and a scoring alignment test suite. The following components transfer directly to MANTIS without modification.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Component</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How it transfers to MANTIS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Fast loop (observe), medium loop (interpret), slow loop (act). The cadences differ but the separation is identical. MANTIS's 300-block decryption delay makes the window gate even more important -- the minimum slow loop cycle is longer.</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Before any action, explicitly attribute observed score changes across: your last submission, natural noise, competitor movement, decryption delay, config change. Identical discipline required.</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Bittensor Yuma Consensus applies to all subnets. Your visible emissions are EWMA-smoothed. The recovery window (~10 tempo blocks) is identical. One bad decryption window contaminates your EWMA just as one RTF failure does in SN44.</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Tier 0 (zero cost): parameter tuning, strategy pivot within same architecture. Tier 1: submission format change. Tier 2: new model trained on historical data. Tier 3: full architecture change, new asset coverage. Costs are different but the taxonomy applies.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evaluate_embeddings.py IS the shadow evaluator for MANTIS. It injects your embeddings into a real DataLog and computes your actual salience rank. This is more powerful than SN44's shadow evaluator because it uses real data, not a synthetic replay buffer.</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Your local salience estimate degrades as the miner population evolves. A DataLog archive from 2 weeks ago may give a misleadingly optimistic rank estimate if new miners have entered with similar strategies. Refresh regularly.</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The differentiation check from the SN44 scoring alignment tests directly applies. Two miners with similar per-round salience patterns are redundant in the meta-model. The elastic-net will down-weight both.</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All four loops (shadow calibration, triage prior learning, mutation bandit, cross-episode transfer) apply. The mutation bandit Q-table will learn that strategy diversification produces higher rewards than accuracy improvements in most states.</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3.  What Must Be Re-Thought for MANTIS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Dimension</w:t>
            </w:r>
          </w:p>
        </w:tc>
        <w:tc>
          <w:tcPr>
            <w:tcW w:type="dxa" w:w="3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SN44 (TurboVision)</w:t>
            </w:r>
          </w:p>
        </w:tc>
        <w:tc>
          <w:tcPr>
            <w:tcW w:type="dxa" w:w="3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SN123 (MANTIS)</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Scoring objective</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Maximise absolute score vs pseudo-GT</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Maximise marginal contribution to ensemble -- diversification over accuracy</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Score observability</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Per-pillar scores visible in shard log per window</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Your salience is relative and delayed. Visible only after 300-block decrypt + weight set.</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Feedback delay</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~3-5 windows for EWMA to reflect model change</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300 blocks (~60 min) for decryption + weight update tempo. Iteration cycle is longer.</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Iteration direction</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Better model = higher score (direct relationship)</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Better model in existing direction = lower marginal contribution (inverse above noise floor)</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Replay buffer</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Local frames from challenge clips</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DataLog (30 days of all miners' embeddings + price history). Downloaded from DATALOG_ARCHIVE_URL.</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Plateau condition</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Pseudo-GT ceiling -- SAM3 quality limits gains</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Ensemble saturation -- your signal type is already well-represented. Fix: diversify strategy.</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Minimum viable threshold</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Fixed: total_weighted &gt; baseline_theta</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Relative: top ~20-30 out of 256. No fixed absolute threshold. Rank matters, not raw score.</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New miner cold start</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EWMA starts from zero, builds over windows</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Invisible to salience function until 500+ samples (T &lt; 500 → no score). ~2-3 days to appear.</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Config change impact</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pgt_recipe_hash change -- scoring function changes</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config.py change -- challenge dims/tickers change. Wrong dims = silently skipped embeddings.</w:t>
            </w:r>
          </w:p>
        </w:tc>
      </w:tr>
      <w:tr>
        <w:tc>
          <w:tcPr>
            <w:tcW w:type="dxa" w:w="22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b/>
                <w:bCs/>
                <w:color w:val="2C2C2A"/>
                <w:sz w:val="20"/>
                <w:szCs w:val="20"/>
              </w:rPr>
              <w:t xml:space="preserve">Tiebreak mechanism</w:t>
            </w:r>
          </w:p>
        </w:tc>
        <w:tc>
          <w:tcPr>
            <w:tcW w:type="dxa" w:w="3400"/>
            <w:tcBorders>
              <w:top w:val="single" w:color="D3D1C7" w:sz="4"/>
              <w:left w:val="single" w:color="D3D1C7" w:sz="4"/>
              <w:bottom w:val="single" w:color="D3D1C7" w:sz="4"/>
              <w:right w:val="single" w:color="D3D1C7" w:sz="4"/>
            </w:tcBorders>
            <w:shd w:fill="F8F7FE" w:val="clear"/>
            <w:tcMar>
              <w:top w:type="dxa" w:w="80"/>
              <w:left w:type="dxa" w:w="120"/>
              <w:bottom w:type="dxa" w:w="80"/>
              <w:right w:type="dxa" w:w="120"/>
            </w:tcMar>
          </w:tcPr>
          <w:p>
            <w:r>
              <w:rPr>
                <w:sz w:val="20"/>
                <w:szCs w:val="20"/>
              </w:rPr>
              <w:t xml:space="preserve">Earliest first_commit_block wins among similar scorers</w:t>
            </w:r>
          </w:p>
        </w:tc>
        <w:tc>
          <w:tcPr>
            <w:tcW w:type="dxa" w:w="3760"/>
            <w:tcBorders>
              <w:top w:val="single" w:color="D3D1C7" w:sz="4"/>
              <w:left w:val="single" w:color="D3D1C7" w:sz="4"/>
              <w:bottom w:val="single" w:color="D3D1C7" w:sz="4"/>
              <w:right w:val="single" w:color="D3D1C7" w:sz="4"/>
            </w:tcBorders>
            <w:shd w:fill="EEF2FF" w:val="clear"/>
            <w:tcMar>
              <w:top w:type="dxa" w:w="80"/>
              <w:left w:type="dxa" w:w="120"/>
              <w:bottom w:type="dxa" w:w="80"/>
              <w:right w:type="dxa" w:w="120"/>
            </w:tcMar>
          </w:tcPr>
          <w:p>
            <w:r>
              <w:rPr>
                <w:sz w:val="20"/>
                <w:szCs w:val="20"/>
              </w:rPr>
              <w:t xml:space="preserve">No tiebreak. Weights proportional to normalised salience. But early registration still matters (500-sample threshold).</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4.  Silent Failures  --  The MANTIS Equivalent of Class Mapping</w:t>
      </w:r>
    </w:p>
    <w:p>
      <w:pPr>
        <w:spacing w:before="80" w:after="120"/>
      </w:pPr>
      <w:r>
        <w:t xml:space="preserve">In SN44, the class mapping bug (wrong </w:t>
      </w:r>
      <w:r>
        <w:rPr>
          <w:rFonts w:ascii="Courier New" w:cs="Courier New" w:eastAsia="Courier New" w:hAnsi="Courier New"/>
          <w:color w:val="534AB7"/>
          <w:sz w:val="20"/>
          <w:szCs w:val="20"/>
        </w:rPr>
        <w:t xml:space="preserve">cls_id</w:t>
      </w:r>
      <w:r>
        <w:t xml:space="preserve"> → all detections silently dropped, </w:t>
      </w:r>
      <w:r>
        <w:rPr>
          <w:rFonts w:ascii="Courier New" w:cs="Courier New" w:eastAsia="Courier New" w:hAnsi="Courier New"/>
          <w:color w:val="534AB7"/>
          <w:sz w:val="20"/>
          <w:szCs w:val="20"/>
        </w:rPr>
        <w:t xml:space="preserve">map50=0</w:t>
      </w:r>
      <w:r>
        <w:t xml:space="preserve">) was the most impactful single check. MANTIS has its own silent failure hierarchy, all of which produce zero signal without error messages.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Failure</w:t>
            </w:r>
          </w:p>
        </w:tc>
        <w:tc>
          <w:tcPr>
            <w:tcW w:type="dxa" w:w="6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Details and diagnosis</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If your generator produces zeros (model failure, NaN→zero, wrong tensor),</w: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preserve">Accepted without error. Stored in DataLog. Contributes exactly zero salience.</w:t>
            </w:r>
          </w:p>
          <w:p>
            <w:pPr>
              <w:spacing w:before="40" w:after="40"/>
            </w:pPr>
            <w:r>
              <w:rPr>
                <w:sz w:val="20"/>
                <w:szCs w:val="20"/>
              </w:rPr>
              <w:t xml:space="preserve">Equivalent severity to SN44 class mapping failure. Check first.</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From </w: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default"/>
            </w:r>
          </w:p>
          <w:p>
            <w:pPr>
              <w:spacing w:before="40" w:after="40"/>
            </w:pPr>
            <w:r>
              <w:rPr>
                <w:sz w:val="20"/>
                <w:szCs w:val="20"/>
              </w:rPr>
              <w:t xml:space="preserve">A config.py update that changes dim from 1 to 2 for a challenge makes all your existing</w:t>
            </w:r>
          </w:p>
          <w:p>
            <w:pPr>
              <w:spacing w:before="40" w:after="40"/>
            </w:pPr>
            <w:r>
              <w:rPr>
                <w:sz w:val="20"/>
                <w:szCs w:val="20"/>
              </w:rPr>
              <w:t xml:space="preserve">embeddings for that challenge silently skipped. No error. Salience drops.</w:t>
            </w:r>
          </w:p>
          <w:p>
            <w:pPr>
              <w:spacing w:before="40" w:after="40"/>
            </w:pPr>
            <w:r>
              <w:rPr>
                <w:sz w:val="20"/>
                <w:szCs w:val="20"/>
              </w:rPr>
              <w:t xml:space="preserve">Run CHECK 7 (config change detection) after every git pull of the MANTIS repo.</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Object key must be EXACTLY your hotkey. No subdirectories, no file extensions.</w:t>
            </w:r>
          </w:p>
          <w:p>
            <w:pPr>
              <w:spacing w:before="40" w:after="40"/>
            </w:pPr>
            <w:r>
              <w:rPr>
                <w:sz w:val="20"/>
                <w:szCs w:val="20"/>
              </w:rPr>
              <w:t xml:space="preserve">A URL like .r2.dev/your-hotkey/payload.json fails silently -- cycle.py downloads</w:t>
            </w:r>
          </w:p>
          <w:p>
            <w:pPr>
              <w:spacing w:before="40" w:after="40"/>
            </w:pPr>
            <w:r>
              <w:rPr>
                <w:sz w:val="20"/>
                <w:szCs w:val="20"/>
              </w:rPr>
              <w:t xml:space="preserve">by the literal commit URL. 404 = payload never read. No retry, no error.</w:t>
            </w:r>
          </w:p>
          <w:p>
            <w:pPr>
              <w:spacing w:before="40" w:after="40"/>
            </w:pPr>
            <w:r>
              <w:rPr>
                <w:sz w:val="20"/>
                <w:szCs w:val="20"/>
              </w:rPr>
              <w:t xml:space="preserve">The most common new-miner mistake. Verify with: curl -I your-commit-url</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From ledger.py: payload.hk must match the committing hotkey after decryption.</w:t>
            </w:r>
          </w:p>
          <w:p>
            <w:pPr>
              <w:spacing w:before="40" w:after="40"/>
            </w:pPr>
            <w:r>
              <w:rPr>
                <w:sz w:val="20"/>
                <w:szCs w:val="20"/>
              </w:rPr>
              <w:t xml:space="preserve">Rejection is DELAYED -- 300 blocks after submission. You submit, wait an hour,</w:t>
            </w:r>
          </w:p>
          <w:p>
            <w:pPr>
              <w:spacing w:before="40" w:after="40"/>
            </w:pPr>
            <w:r>
              <w:rPr>
                <w:sz w:val="20"/>
                <w:szCs w:val="20"/>
              </w:rPr>
              <w:t xml:space="preserve">validator decrypts, rejects. You see the weight drop but the failure happened an hour ago.</w:t>
            </w:r>
          </w:p>
          <w:p>
            <w:pPr>
              <w:spacing w:before="40" w:after="40"/>
            </w:pPr>
            <w:r>
              <w:rPr>
                <w:sz w:val="20"/>
                <w:szCs w:val="20"/>
              </w:rPr>
              <w:t xml:space="preserve">Always log: assert payload['hk'] == wallet.hotkey at generation time.</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Your on-chain commit is the URL. If the R2 object doesn't exist at that URL</w:t>
            </w:r>
          </w:p>
          <w:p>
            <w:pPr>
              <w:spacing w:before="40" w:after="40"/>
            </w:pPr>
            <w:r>
              <w:rPr>
                <w:sz w:val="20"/>
                <w:szCs w:val="20"/>
              </w:rPr>
              <w:t xml:space="preserve">(upload failed silently, wrong bucket, timing issue), the commit points to nothing.</w:t>
            </w:r>
          </w:p>
          <w:p>
            <w:pPr>
              <w:spacing w:before="40" w:after="40"/>
            </w:pPr>
            <w:r>
              <w:rPr>
                <w:sz w:val="20"/>
                <w:szCs w:val="20"/>
              </w:rPr>
              <w:t xml:space="preserve">Validator downloads 404. Payload treated as absent. Equivalent to no submission.</w:t>
            </w:r>
          </w:p>
          <w:p>
            <w:pPr>
              <w:spacing w:before="40" w:after="40"/>
            </w:pPr>
            <w:r>
              <w:rPr>
                <w:sz w:val="20"/>
                <w:szCs w:val="20"/>
              </w:rPr>
              <w:t xml:space="preserve">Verify: after every upload, HTTP GET the commit URL and check 200 + Content-Length.</w:t>
            </w:r>
          </w:p>
        </w:tc>
      </w:tr>
    </w:tbl>
    <w:p>
      <w:pPr>
        <w:spacing w:before="0" w:after="200"/>
      </w:pPr>
      <w:r>
        <w:t xml:space="preserve"/>
      </w:r>
    </w:p>
    <w:p>
      <w:pPr>
        <w:pStyle w:val="Heading1"/>
        <w:pBdr>
          <w:bottom w:val="single" w:color="3730A3" w:sz="6" w:space="4"/>
        </w:pBdr>
        <w:spacing w:before="360" w:after="160"/>
      </w:pPr>
      <w:r>
        <w:rPr>
          <w:rFonts w:ascii="Arial" w:cs="Arial" w:eastAsia="Arial" w:hAnsi="Arial"/>
          <w:b/>
          <w:bCs/>
          <w:color w:val="3730A3"/>
          <w:sz w:val="32"/>
          <w:szCs w:val="32"/>
        </w:rPr>
        <w:t xml:space="preserve">5.  The 300-Block Decryption Delay</w:t>
      </w:r>
    </w:p>
    <w:p>
      <w:pPr>
        <w:spacing w:before="80" w:after="120"/>
      </w:pPr>
      <w:r>
        <w:t xml:space="preserve">The 300-block delay (~60 minutes at 12s/block) is MANTIS's time-lock security mechanism. Miners submit encrypted payloads; the validator can only decrypt once the Drand beacon publishes the signature for the target round. This prevents miners from observing prices before committing. It is also the dominant operational constraint for iteration.</w:t>
      </w:r>
    </w:p>
    <w:p>
      <w:pPr>
        <w:spacing w:before="0" w:after="120"/>
      </w:pPr>
      <w:r>
        <w:t xml:space="preserve"/>
      </w:r>
    </w:p>
    <w:p>
      <w:pPr>
        <w:pStyle w:val="Heading2"/>
        <w:spacing w:before="280" w:after="120"/>
      </w:pPr>
      <w:r>
        <w:rPr>
          <w:rFonts w:ascii="Arial" w:cs="Arial" w:eastAsia="Arial" w:hAnsi="Arial"/>
          <w:b/>
          <w:bCs/>
          <w:color w:val="2C2C2A"/>
          <w:sz w:val="26"/>
          <w:szCs w:val="26"/>
        </w:rPr>
        <w:t xml:space="preserve">5.1  What the Delay Means for the Iteration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Aspect</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Operational implication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Your embedding submitted at block N is decrypted at block N+300. Weight update happens at the next tempo. Minimum feedback cycle: ~300 blocks + tempo (~150 blocks) = ~450 blocks (~90 minutes).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All four silent failure types (zero embeddings, wrong dims, wrong URL, hotkey mismatch) are revealed 300 blocks after submission. You cannot know during the submission block whether your payload will be valid.</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The three-loop window gate (do not deploy within 5 windows of last deployment) needs recalibrating for MANTIS. The minimum observable window is one full decrypt + weight cycle. Run the alignment checks (sn123_mantis_scoring_alignment.py) BEFORE every submission, not after.</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The fast loop can check: was your last payload successfully uploaded? (HTTP GET commit URL). Did weights update as expected? (read on-chain weights for your UID). These are observable before the decrypt window closes.</w:t>
            </w:r>
          </w:p>
        </w:tc>
      </w:tr>
    </w:tbl>
    <w:p>
      <w:pPr>
        <w:spacing w:before="0" w:after="120"/>
      </w:pPr>
      <w:r>
        <w:t xml:space="preserve"/>
      </w:r>
    </w:p>
    <w:p>
      <w:pPr>
        <w:pStyle w:val="Heading2"/>
        <w:spacing w:before="280" w:after="120"/>
      </w:pPr>
      <w:r>
        <w:rPr>
          <w:rFonts w:ascii="Arial" w:cs="Arial" w:eastAsia="Arial" w:hAnsi="Arial"/>
          <w:b/>
          <w:bCs/>
          <w:color w:val="2C2C2A"/>
          <w:sz w:val="26"/>
          <w:szCs w:val="26"/>
        </w:rPr>
        <w:t xml:space="preserve">5.2  The Decryption Delay as a Competitive Moat</w:t>
      </w:r>
    </w:p>
    <w:p>
      <w:pPr>
        <w:spacing w:before="80" w:after="120"/>
      </w:pPr>
      <w:r>
        <w:t xml:space="preserve">The delay also creates an information asymmetry that benefits consistent, high-quality miners. A miner who submits consistently each round builds 30 days of training data in the DataLog. A miner who misses rounds (upload failures, downtime) has gaps in their history that degrade their walk-forward AUC. Consistency is compounding -- each round of non-zero, calibrated embeddings makes your historical record stronger.</w:t>
      </w:r>
    </w:p>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6.  Strategy  --  The Diversification Imperative</w:t>
      </w:r>
    </w:p>
    <w:p>
      <w:pPr>
        <w:spacing w:before="80" w:after="120"/>
      </w:pPr>
      <w:r>
        <w:t xml:space="preserve">The most important strategic insight from applying the SN44 iterative research to MANTIS: </w:t>
      </w:r>
      <w:r>
        <w:rPr>
          <w:b/>
          <w:bCs/>
        </w:rPr>
        <w:t xml:space="preserve">the standard iteration loop inverts above the noise floor.</w:t>
      </w:r>
      <w:r>
        <w:t xml:space="preserve"> In SN44, better accuracy always improves your score. In MANTIS, better accuracy in the same direction as existing top miners reduces your marginal contribution.</w:t>
      </w:r>
    </w:p>
    <w:p>
      <w:pPr>
        <w:spacing w:before="0" w:after="120"/>
      </w:pPr>
      <w:r>
        <w:t xml:space="preserve"/>
      </w:r>
    </w:p>
    <w:p>
      <w:pPr>
        <w:pStyle w:val="Heading2"/>
        <w:spacing w:before="280" w:after="120"/>
      </w:pPr>
      <w:r>
        <w:rPr>
          <w:rFonts w:ascii="Arial" w:cs="Arial" w:eastAsia="Arial" w:hAnsi="Arial"/>
          <w:b/>
          <w:bCs/>
          <w:color w:val="2C2C2A"/>
          <w:sz w:val="26"/>
          <w:szCs w:val="26"/>
        </w:rPr>
        <w:t xml:space="preserve">6.1  The Noise Floor and the Inversion Point</w:t>
      </w:r>
    </w:p>
    <w:p>
      <w:pPr>
        <w:spacing w:before="80" w:after="120"/>
      </w:pPr>
      <w:r>
        <w:t xml:space="preserve">From public documentation: miners need to beat randomness of approximately 53-55% directional accuracy to register positive salience. Below this floor, your embeddings carry no predictive signal and the salience function treats them as noise. Above the floor, the relationship between accuracy and salience inverts depending on correlation with existing miners.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Accuracy range</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Strategy implication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No salience earned regardless of uniqueness. Focus: model quality. Standard iteration applies. Get above 53-55% first.</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Borderline. Salience depends heavily on how unique your signal is. If very uncorrelated: may earn some salience. Prioritise both quality and diversification.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Inversion zone. Improving accuracy further in the same direction as top miners has diminishing returns. Diversification strategy dominates here.</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Strong signal. If also unique: high salience. If correlated with existing top miners: lower salience than expected. evaluate_embeddings.py rank will show this directly.</w:t>
            </w:r>
          </w:p>
        </w:tc>
      </w:tr>
    </w:tbl>
    <w:p>
      <w:pPr>
        <w:spacing w:before="0" w:after="120"/>
      </w:pPr>
      <w:r>
        <w:t xml:space="preserve"/>
      </w:r>
    </w:p>
    <w:p>
      <w:pPr>
        <w:pStyle w:val="Heading2"/>
        <w:spacing w:before="280" w:after="120"/>
      </w:pPr>
      <w:r>
        <w:rPr>
          <w:rFonts w:ascii="Arial" w:cs="Arial" w:eastAsia="Arial" w:hAnsi="Arial"/>
          <w:b/>
          <w:bCs/>
          <w:color w:val="2C2C2A"/>
          <w:sz w:val="26"/>
          <w:szCs w:val="26"/>
        </w:rPr>
        <w:t xml:space="preserve">6.2  How to Diagnose Ensemble Saturation</w:t>
      </w:r>
    </w:p>
    <w:p>
      <w:pPr>
        <w:spacing w:before="80" w:after="120"/>
      </w:pPr>
      <w:r>
        <w:t xml:space="preserve">Ensemble saturation is the MANTIS equivalent of the pseudo-GT ceiling in SN44. It means your signal type is already well-represented in the ensemble and adding more of it earns diminishing salience. Symptoms:</w:t>
      </w:r>
    </w:p>
    <w:p>
      <w:pPr>
        <w:spacing w:before="0" w:after="80"/>
      </w:pPr>
      <w:r>
        <w:t xml:space="preserve"/>
      </w:r>
    </w:p>
    <w:p>
      <w:pPr>
        <w:pStyle w:val="ListParagraph"/>
        <w:numPr>
          <w:ilvl w:val="0"/>
          <w:numId w:val="2"/>
        </w:numPr>
        <w:spacing w:before="60" w:after="60"/>
      </w:pPr>
      <w:r>
        <w:rPr>
          <w:b/>
          <w:bCs/>
        </w:rPr>
        <w:t xml:space="preserve">Your evaluate_embeddings.py rank is lower than your raw AUC would suggest. </w:t>
      </w:r>
      <w:r>
        <w:t xml:space="preserve">If your directional accuracy is 58% but you rank 45th, saturation is the likely cause.</w:t>
      </w:r>
    </w:p>
    <w:p>
      <w:pPr>
        <w:pStyle w:val="ListParagraph"/>
        <w:numPr>
          <w:ilvl w:val="0"/>
          <w:numId w:val="2"/>
        </w:numPr>
        <w:spacing w:before="60" w:after="60"/>
      </w:pPr>
      <w:r>
        <w:rPr>
          <w:b/>
          <w:bCs/>
        </w:rPr>
        <w:t xml:space="preserve">Your salience score is flat or declining even as your model improves. </w:t>
      </w:r>
      <w:r>
        <w:t xml:space="preserve">Improvement in a saturated direction earns less per unit than improvement in an unsaturated direction.</w:t>
      </w:r>
    </w:p>
    <w:p>
      <w:pPr>
        <w:pStyle w:val="ListParagraph"/>
        <w:numPr>
          <w:ilvl w:val="0"/>
          <w:numId w:val="2"/>
        </w:numPr>
        <w:spacing w:before="60" w:after="60"/>
      </w:pPr>
      <w:r>
        <w:rPr>
          <w:b/>
          <w:bCs/>
        </w:rPr>
        <w:t xml:space="preserve">Multiple top miners appear to track similar assets or use similar timeframes. </w:t>
      </w:r>
      <w:r>
        <w:t xml:space="preserve">Observable from the DataLog: if several miners' embeddings move together on BTC rounds, the BTC signal is saturated.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0F6E56" w:sz="12" w:space="8"/>
              <w:bottom w:val="none" w:color="auto" w:sz="0"/>
              <w:right w:val="none" w:color="auto" w:sz="0"/>
            </w:tcBorders>
            <w:shd w:fill="E1F5EE" w:val="clear"/>
            <w:tcMar>
              <w:top w:type="dxa" w:w="120"/>
              <w:left w:type="dxa" w:w="200"/>
              <w:bottom w:type="dxa" w:w="120"/>
              <w:right w:type="dxa" w:w="120"/>
            </w:tcMar>
          </w:tcPr>
          <w:p>
            <w:pPr>
              <w:spacing w:before="0" w:after="80"/>
            </w:pPr>
            <w:r>
              <w:rPr>
                <w:b/>
                <w:bCs/>
                <w:color w:val="0F6E56"/>
                <w:sz w:val="20"/>
                <w:szCs w:val="20"/>
              </w:rPr>
              <w:t xml:space="preserve">The diagnostic tool: evaluate_embeddings.py</w:t>
            </w:r>
          </w:p>
          <w:p>
            <w:pPr>
              <w:spacing w:before="0" w:after="60"/>
            </w:pPr>
            <w:r>
              <w:rPr>
                <w:sz w:val="20"/>
                <w:szCs w:val="20"/>
              </w:rPr>
              <w:t xml:space="preserve">Run: python evaluate_embeddings.py --generator your_generator.py --days 7</w:t>
            </w:r>
          </w:p>
          <w:p>
            <w:pPr>
              <w:spacing w:before="60" w:after="60"/>
            </w:pPr>
            <w:r>
              <w:rPr>
                <w:sz w:val="20"/>
                <w:szCs w:val="20"/>
              </w:rPr>
              <w:t xml:space="preserve"/>
            </w:r>
          </w:p>
          <w:p>
            <w:pPr>
              <w:spacing w:before="60" w:after="60"/>
            </w:pPr>
            <w:r>
              <w:rPr>
                <w:sz w:val="20"/>
                <w:szCs w:val="20"/>
              </w:rPr>
              <w:t xml:space="preserve">This injects your embeddings as 'synthetic_hotkey' into the real DataLog and computes your actual rank.</w:t>
            </w:r>
          </w:p>
          <w:p>
            <w:pPr>
              <w:spacing w:before="60" w:after="60"/>
            </w:pPr>
            <w:r>
              <w:rPr>
                <w:sz w:val="20"/>
                <w:szCs w:val="20"/>
              </w:rPr>
              <w:t xml:space="preserve"/>
            </w:r>
          </w:p>
          <w:p>
            <w:pPr>
              <w:spacing w:before="60" w:after="60"/>
            </w:pPr>
            <w:r>
              <w:rPr>
                <w:sz w:val="20"/>
                <w:szCs w:val="20"/>
              </w:rPr>
              <w:t xml:space="preserve">If synthetic_hotkey rank is much lower than your raw AUC predicts: ensemble saturation.</w:t>
            </w:r>
          </w:p>
          <w:p>
            <w:pPr>
              <w:spacing w:before="60" w:after="60"/>
            </w:pPr>
            <w:r>
              <w:rPr>
                <w:sz w:val="20"/>
                <w:szCs w:val="20"/>
              </w:rPr>
              <w:t xml:space="preserve">If synthetic_hotkey rank matches raw AUC: no saturation, continue improving accuracy.</w:t>
            </w:r>
          </w:p>
          <w:p>
            <w:pPr>
              <w:spacing w:before="60" w:after="60"/>
            </w:pPr>
            <w:r>
              <w:rPr>
                <w:sz w:val="20"/>
                <w:szCs w:val="20"/>
              </w:rPr>
              <w:t xml:space="preserve"/>
            </w:r>
          </w:p>
          <w:p>
            <w:pPr>
              <w:spacing w:before="60" w:after="60"/>
            </w:pPr>
            <w:r>
              <w:rPr>
                <w:sz w:val="20"/>
                <w:szCs w:val="20"/>
              </w:rPr>
              <w:t xml:space="preserve">This is the primary diagnostic tool. Run it after every model change before submitting.</w:t>
            </w:r>
          </w:p>
          <w:p>
            <w:pPr>
              <w:spacing w:before="60" w:after="0"/>
            </w:pPr>
            <w:r>
              <w:rPr>
                <w:sz w:val="20"/>
                <w:szCs w:val="20"/>
              </w:rPr>
              <w:t xml:space="preserve">It is more powerful than SN44's shadow evaluator because it uses real population data.</w:t>
            </w:r>
          </w:p>
        </w:tc>
      </w:tr>
    </w:tbl>
    <w:p>
      <w:pPr>
        <w:spacing w:before="0" w:after="120"/>
      </w:pPr>
      <w:r>
        <w:t xml:space="preserve"/>
      </w:r>
    </w:p>
    <w:p>
      <w:pPr>
        <w:pStyle w:val="Heading2"/>
        <w:spacing w:before="280" w:after="120"/>
      </w:pPr>
      <w:r>
        <w:rPr>
          <w:rFonts w:ascii="Arial" w:cs="Arial" w:eastAsia="Arial" w:hAnsi="Arial"/>
          <w:b/>
          <w:bCs/>
          <w:color w:val="2C2C2A"/>
          <w:sz w:val="26"/>
          <w:szCs w:val="26"/>
        </w:rPr>
        <w:t xml:space="preserve">6.3  Diversification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Strategy</w:t>
            </w:r>
          </w:p>
        </w:tc>
        <w:tc>
          <w:tcPr>
            <w:tcW w:type="dxa" w:w="6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Rationale</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If BTC-USD is saturated, a miner focusing on EUR-USD or gold may earn higher salience even with lower raw accuracy, because the signal is novel to the ensemble. Check config.py CHALLENGES for all available tickers.</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Each challenge has a specific horizon. Short-horizon and long-horizon predictions are only weakly correlated. If the 300-block horizon is saturated, a 600-block horizon strategy adds unique signal.</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Technical indicators (momentum, mean-reversion, volatility) that are correlated with each other add redundant signal. Features derived from different market microstructure signals (order flow, funding rates, options skew) are more likely to be uncorrelated with existing miners.</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An LSTM miner and a transformer miner trained on the same data will be more correlated than they appear because they share the same underlying patterns. A statistical arbitrage model (relative value between assets) is structurally different from a directional model.</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Crypto miners dominate because the subnet started with BTC/USD. Forex and metals miners face less ensemble saturation by default. As the challenge list expands, first-mover advantage on new assets compounds.</w:t>
            </w:r>
          </w:p>
        </w:tc>
      </w:tr>
      <w:tr>
        <w:tc>
          <w:tcPr>
            <w:tcW w:type="dxa" w:w="26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7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The 17-dim LBFGS format encodes both a direction (p) and a confidence distribution (Q). A miner who correctly uses the Q structure (calibrated confidence, not just directional) adds information beyond what binary-direction miners provide. See lbfgs_guide.md.</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7.  Recommended Iteration Order</w:t>
      </w:r>
    </w:p>
    <w:p>
      <w:pPr>
        <w:spacing w:before="80" w:after="120"/>
      </w:pPr>
      <w:r>
        <w:t xml:space="preserve">The iteration order differs from SN44 because the objective function is different. Quality improvements that reduce ensemble correlation are worth more than equal-magnitude quality improvements that increase correlation.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Phase</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Actions and exit criteria</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Run sn123_mantis_scoring_alignment.py -- all 11 checks must pass.</w:t>
            </w:r>
          </w:p>
          <w:p>
            <w:pPr>
              <w:spacing w:before="40" w:after="40"/>
            </w:pPr>
            <w:r>
              <w:rPr>
                <w:sz w:val="20"/>
                <w:szCs w:val="20"/>
              </w:rPr>
              <w:t xml:space="preserve">Verify commit URL format, embedding dimensions, non-zero outputs, hotkey binding.</w:t>
            </w:r>
          </w:p>
          <w:p>
            <w:pPr>
              <w:spacing w:before="40" w:after="40"/>
            </w:pPr>
            <w:r>
              <w:rPr>
                <w:sz w:val="20"/>
                <w:szCs w:val="20"/>
              </w:rPr>
              <w:t xml:space="preserve">Deploy and verify: HTTP GET your commit URL returns 200. Weight update appears.</w:t>
            </w:r>
          </w:p>
          <w:p>
            <w:pPr>
              <w:spacing w:before="40" w:after="40"/>
            </w:pPr>
            <w:r>
              <w:rPr>
                <w:sz w:val="20"/>
                <w:szCs w:val="20"/>
              </w:rPr>
              <w:t xml:space="preserve">Do not change any model parameters during this phase.</w:t>
            </w:r>
          </w:p>
          <w:p>
            <w:pPr>
              <w:spacing w:before="40" w:after="40"/>
            </w:pPr>
            <w:r>
              <w:rPr>
                <w:sz w:val="20"/>
                <w:szCs w:val="20"/>
              </w:rPr>
              <w:t xml:space="preserve">Exit criterion: 3 consecutive rounds of successful payload delivery, non-zero weights.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Wait for 500+ samples to accumulate (T &gt;= 500 required for salience function).</w:t>
            </w:r>
          </w:p>
          <w:p>
            <w:pPr>
              <w:spacing w:before="40" w:after="40"/>
            </w:pPr>
            <w:r>
              <w:rPr>
                <w:sz w:val="20"/>
                <w:szCs w:val="20"/>
              </w:rPr>
              <w:t xml:space="preserve">Run evaluate_embeddings.py --days 3 to check your early rank.</w:t>
            </w:r>
          </w:p>
          <w:p>
            <w:pPr>
              <w:spacing w:before="40" w:after="40"/>
            </w:pPr>
            <w:r>
              <w:rPr>
                <w:sz w:val="20"/>
                <w:szCs w:val="20"/>
              </w:rPr>
              <w:t xml:space="preserve">Do not expect meaningful salience in the first 2-3 days.</w:t>
            </w:r>
          </w:p>
          <w:p>
            <w:pPr>
              <w:spacing w:before="40" w:after="40"/>
            </w:pPr>
            <w:r>
              <w:rPr>
                <w:sz w:val="20"/>
                <w:szCs w:val="20"/>
              </w:rPr>
              <w:t xml:space="preserve">Record your rank at the end of this phase as the baseline.</w:t>
            </w:r>
          </w:p>
          <w:p>
            <w:pPr>
              <w:spacing w:before="40" w:after="40"/>
            </w:pPr>
            <w:r>
              <w:rPr>
                <w:sz w:val="20"/>
                <w:szCs w:val="20"/>
              </w:rPr>
              <w:t xml:space="preserve">Exit criterion: evaluate_embeddings.py shows a non-zero salience rank.</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Measure directional accuracy: are your embeddings &gt;53-55% correct?</w:t>
            </w:r>
          </w:p>
          <w:p>
            <w:pPr>
              <w:spacing w:before="40" w:after="40"/>
            </w:pPr>
            <w:r>
              <w:rPr>
                <w:sz w:val="20"/>
                <w:szCs w:val="20"/>
              </w:rPr>
              <w:t xml:space="preserve">If below noise floor: improve raw model quality (standard iteration applies).</w:t>
            </w:r>
          </w:p>
          <w:p>
            <w:pPr>
              <w:spacing w:before="40" w:after="40"/>
            </w:pPr>
            <w:r>
              <w:rPr>
                <w:sz w:val="20"/>
                <w:szCs w:val="20"/>
              </w:rPr>
              <w:t xml:space="preserve">If above noise floor: proceed to Phase 4.</w:t>
            </w:r>
          </w:p>
          <w:p>
            <w:pPr>
              <w:spacing w:before="40" w:after="40"/>
            </w:pPr>
            <w:r>
              <w:rPr>
                <w:sz w:val="20"/>
                <w:szCs w:val="20"/>
              </w:rPr>
              <w:t xml:space="preserve">Exit criterion: directional accuracy confirmed above noise floor for 5+ days.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Run evaluate_embeddings.py to diagnose saturation vs quality gap.</w:t>
            </w:r>
          </w:p>
          <w:p>
            <w:pPr>
              <w:spacing w:before="40" w:after="40"/>
            </w:pPr>
            <w:r>
              <w:rPr>
                <w:sz w:val="20"/>
                <w:szCs w:val="20"/>
              </w:rPr>
              <w:t xml:space="preserve">If rank lower than AUC suggests: implement one diversification strategy.</w:t>
            </w:r>
          </w:p>
          <w:p>
            <w:pPr>
              <w:spacing w:before="40" w:after="40"/>
            </w:pPr>
            <w:r>
              <w:rPr>
                <w:sz w:val="20"/>
                <w:szCs w:val="20"/>
              </w:rPr>
              <w:t xml:space="preserve">Test each diversification on evaluate_embeddings.py before deploying.</w:t>
            </w:r>
          </w:p>
          <w:p>
            <w:pPr>
              <w:spacing w:before="40" w:after="40"/>
            </w:pPr>
            <w:r>
              <w:rPr>
                <w:sz w:val="20"/>
                <w:szCs w:val="20"/>
              </w:rPr>
              <w:t xml:space="preserve">Iteration cycle: propose diversification → evaluate locally → deploy → wait 300 blocks → observe weights.</w:t>
            </w:r>
          </w:p>
          <w:p>
            <w:pPr>
              <w:spacing w:before="40" w:after="40"/>
            </w:pPr>
            <w:r>
              <w:rPr>
                <w:sz w:val="20"/>
                <w:szCs w:val="20"/>
              </w:rPr>
              <w:t xml:space="preserve">Exit criterion: evaluate_embeddings.py rank in top 30. Stable salience for 7+ days.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Monitor DataLog for new miner entries with similar strategies.</w:t>
            </w:r>
          </w:p>
          <w:p>
            <w:pPr>
              <w:spacing w:before="40" w:after="40"/>
            </w:pPr>
            <w:r>
              <w:rPr>
                <w:sz w:val="20"/>
                <w:szCs w:val="20"/>
              </w:rPr>
              <w:t xml:space="preserve">Re-run evaluate_embeddings.py weekly even without model changes.</w:t>
            </w:r>
          </w:p>
          <w:p>
            <w:pPr>
              <w:spacing w:before="40" w:after="40"/>
            </w:pPr>
            <w:r>
              <w:rPr>
                <w:sz w:val="20"/>
                <w:szCs w:val="20"/>
              </w:rPr>
              <w:t xml:space="preserve">If rank degrades without model changes: new miner entered with correlated strategy.</w:t>
            </w:r>
          </w:p>
          <w:p>
            <w:pPr>
              <w:spacing w:before="40" w:after="40"/>
            </w:pPr>
            <w:r>
              <w:rPr>
                <w:sz w:val="20"/>
                <w:szCs w:val="20"/>
              </w:rPr>
              <w:t xml:space="preserve">Response: diversify further or intensify on a different signal type.</w:t>
            </w:r>
          </w:p>
          <w:p>
            <w:pPr>
              <w:spacing w:before="40" w:after="40"/>
            </w:pPr>
            <w:r>
              <w:rPr>
                <w:sz w:val="20"/>
                <w:szCs w:val="20"/>
              </w:rPr>
              <w:t xml:space="preserve">Watch config.py for new challenge additions -- first-mover advantage on new assets.</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8.  The DataLog as Replay Buffer</w:t>
      </w:r>
    </w:p>
    <w:p>
      <w:pPr>
        <w:spacing w:before="80" w:after="120"/>
      </w:pPr>
      <w:r>
        <w:t xml:space="preserve">In SN44, the replay buffer was a local store of challenge frames and per-pillar scores that the agent used to validate mutations before deploying. In MANTIS, the DataLog (downloaded via </w:t>
      </w:r>
      <w:r>
        <w:rPr>
          <w:rFonts w:ascii="Courier New" w:cs="Courier New" w:eastAsia="Courier New" w:hAnsi="Courier New"/>
          <w:color w:val="534AB7"/>
          <w:sz w:val="20"/>
          <w:szCs w:val="20"/>
        </w:rPr>
        <w:t xml:space="preserve">DATALOG_ARCHIVE_URL</w:t>
      </w:r>
      <w:r>
        <w:t xml:space="preserve">) serves the same function but with different staleness mechanics.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Aspect</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Detail</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30 days of all miners' decrypted embeddings, per-block price history, and sample indices. This is the training data for the walk-forward salience function. It is the ground truth for evaluating your strategy against the real population.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The archive at DATALOG_ARCHIVE_URL is a snapshot, not a live feed. Its age matters: a 2-week-old DataLog may not reflect recent changes in the miner population. Download a fresh snapshot before every significant evaluate_embeddings.py run.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If the validator resets the DataLog (new DATALOG_ARCHIVE_URL, storage migration, or config change), your local salience estimates become invalid immediately. This is the MANTIS equivalent of a pgt_recipe_hash change in SN44.</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Your own past embeddings are in the DataLog. When you run evaluate_embeddings.py, your new synthetic embeddings are injected ALONGSIDE your existing history. A model change mid-window creates a splice in your history that may briefly confuse the walk-forward evaluator.</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If evaluate_embeddings.py rank degrades without any model change: download a fresh DataLog and re-run. Stale DataLog = stale population model = unreliable rank estimates.</w:t>
            </w:r>
          </w:p>
        </w:tc>
      </w:tr>
    </w:tbl>
    <w:p>
      <w:pPr>
        <w:spacing w:before="0" w:after="200"/>
      </w:pPr>
      <w:r>
        <w:t xml:space="preserve"/>
      </w:r>
    </w:p>
    <w:p>
      <w:pPr>
        <w:pStyle w:val="Heading1"/>
        <w:pBdr>
          <w:bottom w:val="single" w:color="3730A3" w:sz="6" w:space="4"/>
        </w:pBdr>
        <w:spacing w:before="360" w:after="160"/>
      </w:pPr>
      <w:r>
        <w:rPr>
          <w:rFonts w:ascii="Arial" w:cs="Arial" w:eastAsia="Arial" w:hAnsi="Arial"/>
          <w:b/>
          <w:bCs/>
          <w:color w:val="3730A3"/>
          <w:sz w:val="32"/>
          <w:szCs w:val="32"/>
        </w:rPr>
        <w:t xml:space="preserve">9.  Agent Architecture Adaptations for MANTIS</w:t>
      </w:r>
    </w:p>
    <w:p>
      <w:pPr>
        <w:spacing w:before="80" w:after="120"/>
      </w:pPr>
      <w:r>
        <w:t xml:space="preserve">The generic three-loop agent architecture (from the </w:t>
      </w:r>
      <w:r>
        <w:rPr>
          <w:b/>
          <w:bCs/>
        </w:rPr>
        <w:t xml:space="preserve">AI Agent Architecture for SN44</w:t>
      </w:r>
      <w:r>
        <w:t xml:space="preserve"> document) applies to MANTIS with the following specific adaptations:</w:t>
      </w:r>
    </w:p>
    <w:p>
      <w:pPr>
        <w:spacing w:before="0" w:after="120"/>
      </w:pPr>
      <w:r>
        <w:t xml:space="preserve"/>
      </w:r>
    </w:p>
    <w:p>
      <w:pPr>
        <w:pStyle w:val="Heading2"/>
        <w:spacing w:before="280" w:after="120"/>
      </w:pPr>
      <w:r>
        <w:rPr>
          <w:rFonts w:ascii="Arial" w:cs="Arial" w:eastAsia="Arial" w:hAnsi="Arial"/>
          <w:b/>
          <w:bCs/>
          <w:color w:val="2C2C2A"/>
          <w:sz w:val="26"/>
          <w:szCs w:val="26"/>
        </w:rPr>
        <w:t xml:space="preserve">9.1  Triage Protocol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SN44 triage step</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MANTIS adaptation</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5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MANTIS equivalent: commit URL reachability. HTTP GET your commit URL at the start of each fast loop. 404 = payload not delivered. Fix before any model change.</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5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MANTIS equivalent: embedding dimensions vs config.CHALLENGES. Run CHECK 2a from sn123_mantis_scoring_alignment.py. Wrong dims = silently skipped.</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5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Same applies. Minimum 5 weight-update cycles since last payload format change before evaluating.</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5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MANTIS equivalent: DataLog freshness check. When was the DataLog last downloaded? If &gt; 7 days: refresh before running evaluate_embeddings.py.</w:t>
            </w:r>
          </w:p>
        </w:tc>
      </w:tr>
      <w:t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5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MANTIS equivalent: salience rank vs raw AUC comparison. If rank &lt;&lt; AUC: ensemble saturation. If rank ~= AUC: quality gap. Each requires a different response.</w:t>
            </w:r>
          </w:p>
        </w:tc>
      </w:tr>
    </w:tbl>
    <w:p>
      <w:pPr>
        <w:spacing w:before="0" w:after="120"/>
      </w:pPr>
      <w:r>
        <w:t xml:space="preserve"/>
      </w:r>
    </w:p>
    <w:p>
      <w:pPr>
        <w:pStyle w:val="Heading2"/>
        <w:spacing w:before="280" w:after="120"/>
      </w:pPr>
      <w:r>
        <w:rPr>
          <w:rFonts w:ascii="Arial" w:cs="Arial" w:eastAsia="Arial" w:hAnsi="Arial"/>
          <w:b/>
          <w:bCs/>
          <w:color w:val="2C2C2A"/>
          <w:sz w:val="26"/>
          <w:szCs w:val="26"/>
        </w:rPr>
        <w:t xml:space="preserve">9.2  Fast Loop Observables</w:t>
      </w:r>
    </w:p>
    <w:p>
      <w:pPr>
        <w:spacing w:before="80" w:after="120"/>
      </w:pPr>
      <w:r>
        <w:t xml:space="preserve">The SN44 fast loop read per-pillar scores from the public R2 shard log. MANTIS fast loop observables:</w:t>
      </w:r>
    </w:p>
    <w:p>
      <w:pPr>
        <w:spacing w:before="0" w:after="80"/>
      </w:pPr>
      <w:r>
        <w:t xml:space="preserve"/>
      </w:r>
    </w:p>
    <w:p>
      <w:pPr>
        <w:pStyle w:val="ListParagraph"/>
        <w:numPr>
          <w:ilvl w:val="0"/>
          <w:numId w:val="2"/>
        </w:numPr>
        <w:spacing w:before="60" w:after="60"/>
      </w:pPr>
      <w:r>
        <w:rPr>
          <w:b/>
          <w:bCs/>
        </w:rPr>
        <w:t xml:space="preserve">On-chain weights for your UID: </w:t>
      </w:r>
      <w:r>
        <w:rPr>
          <w:rFonts w:ascii="Courier New" w:cs="Courier New" w:eastAsia="Courier New" w:hAnsi="Courier New"/>
          <w:color w:val="534AB7"/>
          <w:sz w:val="20"/>
          <w:szCs w:val="20"/>
        </w:rPr>
        <w:t xml:space="preserve">btcli subnet weights --netuid 123</w:t>
      </w:r>
      <w:r>
        <w:t xml:space="preserve"> -- most direct signal of your current salience rank.</w:t>
      </w:r>
    </w:p>
    <w:p>
      <w:pPr>
        <w:pStyle w:val="ListParagraph"/>
        <w:numPr>
          <w:ilvl w:val="0"/>
          <w:numId w:val="2"/>
        </w:numPr>
        <w:spacing w:before="60" w:after="60"/>
      </w:pPr>
      <w:r>
        <w:rPr>
          <w:b/>
          <w:bCs/>
        </w:rPr>
        <w:t xml:space="preserve">Commit URL reachability: </w:t>
      </w:r>
      <w:r>
        <w:t xml:space="preserve">HTTP GET your commit URL every round. Failure = missed submission.</w:t>
      </w:r>
    </w:p>
    <w:p>
      <w:pPr>
        <w:pStyle w:val="ListParagraph"/>
        <w:numPr>
          <w:ilvl w:val="0"/>
          <w:numId w:val="2"/>
        </w:numPr>
        <w:spacing w:before="60" w:after="60"/>
      </w:pPr>
      <w:r>
        <w:rPr>
          <w:b/>
          <w:bCs/>
        </w:rPr>
        <w:t xml:space="preserve">Payload upload confirmation: </w:t>
      </w:r>
      <w:r>
        <w:t xml:space="preserve">Log R2 upload response code. Silent upload failures are common.</w:t>
      </w:r>
    </w:p>
    <w:p>
      <w:pPr>
        <w:pStyle w:val="ListParagraph"/>
        <w:numPr>
          <w:ilvl w:val="0"/>
          <w:numId w:val="2"/>
        </w:numPr>
        <w:spacing w:before="60" w:after="60"/>
      </w:pPr>
      <w:r>
        <w:rPr>
          <w:b/>
          <w:bCs/>
        </w:rPr>
        <w:t xml:space="preserve">evaluate_embeddings.py rank: </w:t>
      </w:r>
      <w:r>
        <w:t xml:space="preserve">Weekly or after any model change. Not every round -- DataLog download is expensive.</w:t>
      </w:r>
    </w:p>
    <w:p>
      <w:pPr>
        <w:pStyle w:val="ListParagraph"/>
        <w:numPr>
          <w:ilvl w:val="0"/>
          <w:numId w:val="2"/>
        </w:numPr>
        <w:spacing w:before="60" w:after="60"/>
      </w:pPr>
      <w:r>
        <w:rPr>
          <w:b/>
          <w:bCs/>
        </w:rPr>
        <w:t xml:space="preserve">config.py hash check: </w:t>
      </w:r>
      <w:r>
        <w:t xml:space="preserve">CHECK 7 from the alignment tests. Run after every git pull of the MANTIS repo.</w:t>
      </w:r>
    </w:p>
    <w:p>
      <w:pPr>
        <w:spacing w:before="0" w:after="120"/>
      </w:pPr>
      <w:r>
        <w:t xml:space="preserve"/>
      </w:r>
    </w:p>
    <w:p>
      <w:pPr>
        <w:pStyle w:val="Heading2"/>
        <w:spacing w:before="280" w:after="120"/>
      </w:pPr>
      <w:r>
        <w:rPr>
          <w:rFonts w:ascii="Arial" w:cs="Arial" w:eastAsia="Arial" w:hAnsi="Arial"/>
          <w:b/>
          <w:bCs/>
          <w:color w:val="2C2C2A"/>
          <w:sz w:val="26"/>
          <w:szCs w:val="26"/>
        </w:rPr>
        <w:t xml:space="preserve">9.3  The Self-Improving Agent for MANTIS</w:t>
      </w:r>
    </w:p>
    <w:p>
      <w:pPr>
        <w:spacing w:before="80" w:after="120"/>
      </w:pPr>
      <w:r>
        <w:t xml:space="preserve">The four self-improvement loops from the </w:t>
      </w:r>
      <w:r>
        <w:rPr>
          <w:b/>
          <w:bCs/>
        </w:rPr>
        <w:t xml:space="preserve">Self-Improving Agent Architecture</w:t>
      </w:r>
      <w:r>
        <w:t xml:space="preserve"> document apply, with one important difference for Loop 3 (mutation bandit):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Loop</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MANTIS adaptation</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Applies directly. evaluate_embeddings.py is the oracle. Track predicted rank vs actual rank after each model change. Build the calibration dataset over time.</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Applies directly. After Phase 1, commit URL and dimension failures should have near-zero prior. Ensemble saturation diagnosis rises as the miner matures.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CRITICAL CHANGE: reward signal must include a correlation penalty. Reward = actual_salience_delta - correlation_with_top_miners * penalty. Without this, the bandit learns to improve accuracy in the dominant direction, which reduces marginal contribution. The diversification mutations must have explicit positive expected reward in the Q-table.</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Applies directly. DataLog decay rate (equivalent to buffer accuracy decay) transfers between episodes. Per-challenge salience patterns from prior episodes inform priors for the next.</w:t>
            </w:r>
          </w:p>
        </w:tc>
      </w:tr>
    </w:tbl>
    <w:p>
      <w:pPr>
        <w:spacing w:before="0" w:after="200"/>
      </w:pPr>
      <w:r>
        <w:t xml:space="preserve"/>
      </w:r>
    </w:p>
    <w:p>
      <w:r>
        <w:br w:type="page"/>
      </w:r>
    </w:p>
    <w:p>
      <w:pPr>
        <w:pStyle w:val="Heading1"/>
        <w:pBdr>
          <w:bottom w:val="single" w:color="3730A3" w:sz="6" w:space="4"/>
        </w:pBdr>
        <w:spacing w:before="360" w:after="160"/>
      </w:pPr>
      <w:r>
        <w:rPr>
          <w:rFonts w:ascii="Arial" w:cs="Arial" w:eastAsia="Arial" w:hAnsi="Arial"/>
          <w:b/>
          <w:bCs/>
          <w:color w:val="3730A3"/>
          <w:sz w:val="32"/>
          <w:szCs w:val="32"/>
        </w:rPr>
        <w:t xml:space="preserve">10.  Operational Checklist</w:t>
      </w:r>
    </w:p>
    <w:p>
      <w:pPr>
        <w:pStyle w:val="Heading2"/>
        <w:spacing w:before="280" w:after="120"/>
      </w:pPr>
      <w:r>
        <w:rPr>
          <w:rFonts w:ascii="Arial" w:cs="Arial" w:eastAsia="Arial" w:hAnsi="Arial"/>
          <w:b/>
          <w:bCs/>
          <w:color w:val="2C2C2A"/>
          <w:sz w:val="26"/>
          <w:szCs w:val="26"/>
        </w:rPr>
        <w:t xml:space="preserve">Before every submission</w:t>
      </w:r>
    </w:p>
    <w:p>
      <w:pPr>
        <w:pStyle w:val="ListParagraph"/>
        <w:numPr>
          <w:ilvl w:val="0"/>
          <w:numId w:val="2"/>
        </w:numPr>
        <w:spacing w:before="60" w:after="60"/>
      </w:pPr>
      <w:r>
        <w:rPr>
          <w:b/>
          <w:bCs/>
        </w:rPr>
        <w:t xml:space="preserve">Run: </w:t>
      </w:r>
      <w:r>
        <w:rPr>
          <w:rFonts w:ascii="Courier New" w:cs="Courier New" w:eastAsia="Courier New" w:hAnsi="Courier New"/>
          <w:color w:val="534AB7"/>
          <w:sz w:val="20"/>
          <w:szCs w:val="20"/>
        </w:rPr>
        <w:t xml:space="preserve">python sn123_mantis_scoring_alignment.py</w:t>
      </w:r>
      <w:r>
        <w:t xml:space="preserve"> -- all checks pass</w:t>
      </w:r>
    </w:p>
    <w:p>
      <w:pPr>
        <w:pStyle w:val="ListParagraph"/>
        <w:numPr>
          <w:ilvl w:val="0"/>
          <w:numId w:val="2"/>
        </w:numPr>
        <w:spacing w:before="60" w:after="60"/>
      </w:pPr>
      <w:r>
        <w:rPr>
          <w:b/>
          <w:bCs/>
        </w:rPr>
        <w:t xml:space="preserve">Verify embedding dimensions: </w:t>
      </w:r>
      <w:r>
        <w:t xml:space="preserve">len(embeddings[i]) == config.CHALLENGES[i]['dim'] for all i</w:t>
      </w:r>
    </w:p>
    <w:p>
      <w:pPr>
        <w:pStyle w:val="ListParagraph"/>
        <w:numPr>
          <w:ilvl w:val="0"/>
          <w:numId w:val="2"/>
        </w:numPr>
        <w:spacing w:before="60" w:after="60"/>
      </w:pPr>
      <w:r>
        <w:rPr>
          <w:b/>
          <w:bCs/>
        </w:rPr>
        <w:t xml:space="preserve">Verify non-zero: </w:t>
      </w:r>
      <w:r>
        <w:t xml:space="preserve">any(v != 0 for v in embeddings[i]) for all i</w:t>
      </w:r>
    </w:p>
    <w:p>
      <w:pPr>
        <w:pStyle w:val="ListParagraph"/>
        <w:numPr>
          <w:ilvl w:val="0"/>
          <w:numId w:val="2"/>
        </w:numPr>
        <w:spacing w:before="60" w:after="60"/>
      </w:pPr>
      <w:r>
        <w:rPr>
          <w:b/>
          <w:bCs/>
        </w:rPr>
        <w:t xml:space="preserve">Verify values in [-1, 1]: </w:t>
      </w:r>
      <w:r>
        <w:t xml:space="preserve">no clipping needed (clipping = information loss)</w:t>
      </w:r>
    </w:p>
    <w:p>
      <w:pPr>
        <w:pStyle w:val="ListParagraph"/>
        <w:numPr>
          <w:ilvl w:val="0"/>
          <w:numId w:val="2"/>
        </w:numPr>
        <w:spacing w:before="60" w:after="60"/>
      </w:pPr>
      <w:r>
        <w:rPr>
          <w:b/>
          <w:bCs/>
        </w:rPr>
        <w:t xml:space="preserve">Verify hotkey in payload: </w:t>
      </w:r>
      <w:r>
        <w:t xml:space="preserve">payload['hk'] == wallet.hotkey (prevents delayed rejection)</w:t>
      </w:r>
    </w:p>
    <w:p>
      <w:pPr>
        <w:pStyle w:val="ListParagraph"/>
        <w:numPr>
          <w:ilvl w:val="0"/>
          <w:numId w:val="2"/>
        </w:numPr>
        <w:spacing w:before="60" w:after="60"/>
      </w:pPr>
      <w:r>
        <w:rPr>
          <w:b/>
          <w:bCs/>
        </w:rPr>
        <w:t xml:space="preserve">Verify lock_seconds &gt;= 3600: </w:t>
      </w:r>
      <w:r>
        <w:t xml:space="preserve">timelock must be sufficiently future</w:t>
      </w:r>
    </w:p>
    <w:p>
      <w:pPr>
        <w:spacing w:before="0" w:after="80"/>
      </w:pPr>
      <w:r>
        <w:t xml:space="preserve"/>
      </w:r>
    </w:p>
    <w:p>
      <w:pPr>
        <w:pStyle w:val="Heading2"/>
        <w:spacing w:before="280" w:after="120"/>
      </w:pPr>
      <w:r>
        <w:rPr>
          <w:rFonts w:ascii="Arial" w:cs="Arial" w:eastAsia="Arial" w:hAnsi="Arial"/>
          <w:b/>
          <w:bCs/>
          <w:color w:val="2C2C2A"/>
          <w:sz w:val="26"/>
          <w:szCs w:val="26"/>
        </w:rPr>
        <w:t xml:space="preserve">After every submission</w:t>
      </w:r>
    </w:p>
    <w:p>
      <w:pPr>
        <w:pStyle w:val="ListParagraph"/>
        <w:numPr>
          <w:ilvl w:val="0"/>
          <w:numId w:val="2"/>
        </w:numPr>
        <w:spacing w:before="60" w:after="60"/>
      </w:pPr>
      <w:r>
        <w:rPr>
          <w:b/>
          <w:bCs/>
        </w:rPr>
        <w:t xml:space="preserve">HTTP GET your commit URL: </w:t>
      </w:r>
      <w:r>
        <w:t xml:space="preserve">must return 200. Log response code.</w:t>
      </w:r>
    </w:p>
    <w:p>
      <w:pPr>
        <w:pStyle w:val="ListParagraph"/>
        <w:numPr>
          <w:ilvl w:val="0"/>
          <w:numId w:val="2"/>
        </w:numPr>
        <w:spacing w:before="60" w:after="60"/>
      </w:pPr>
      <w:r>
        <w:rPr>
          <w:b/>
          <w:bCs/>
        </w:rPr>
        <w:t xml:space="preserve">Confirm R2 upload: </w:t>
      </w:r>
      <w:r>
        <w:t xml:space="preserve">check R2 bucket for object at your hotkey path</w:t>
      </w:r>
    </w:p>
    <w:p>
      <w:pPr>
        <w:pStyle w:val="ListParagraph"/>
        <w:numPr>
          <w:ilvl w:val="0"/>
          <w:numId w:val="2"/>
        </w:numPr>
        <w:spacing w:before="60" w:after="60"/>
      </w:pPr>
      <w:r>
        <w:rPr>
          <w:b/>
          <w:bCs/>
        </w:rPr>
        <w:t xml:space="preserve">Record round number: </w:t>
      </w:r>
      <w:r>
        <w:t xml:space="preserve">append to registry/progress.txt</w:t>
      </w:r>
    </w:p>
    <w:p>
      <w:pPr>
        <w:spacing w:before="0" w:after="80"/>
      </w:pPr>
      <w:r>
        <w:t xml:space="preserve"/>
      </w:r>
    </w:p>
    <w:p>
      <w:pPr>
        <w:pStyle w:val="Heading2"/>
        <w:spacing w:before="280" w:after="120"/>
      </w:pPr>
      <w:r>
        <w:rPr>
          <w:rFonts w:ascii="Arial" w:cs="Arial" w:eastAsia="Arial" w:hAnsi="Arial"/>
          <w:b/>
          <w:bCs/>
          <w:color w:val="2C2C2A"/>
          <w:sz w:val="26"/>
          <w:szCs w:val="26"/>
        </w:rPr>
        <w:t xml:space="preserve">Weekly</w:t>
      </w:r>
    </w:p>
    <w:p>
      <w:pPr>
        <w:pStyle w:val="ListParagraph"/>
        <w:numPr>
          <w:ilvl w:val="0"/>
          <w:numId w:val="2"/>
        </w:numPr>
        <w:spacing w:before="60" w:after="60"/>
      </w:pPr>
      <w:r>
        <w:rPr>
          <w:b/>
          <w:bCs/>
        </w:rPr>
        <w:t xml:space="preserve">Download fresh DataLog: </w:t>
      </w:r>
      <w:r>
        <w:t xml:space="preserve">refresh from DATALOG_ARCHIVE_URL</w:t>
      </w:r>
    </w:p>
    <w:p>
      <w:pPr>
        <w:pStyle w:val="ListParagraph"/>
        <w:numPr>
          <w:ilvl w:val="0"/>
          <w:numId w:val="2"/>
        </w:numPr>
        <w:spacing w:before="60" w:after="60"/>
      </w:pPr>
      <w:r>
        <w:rPr>
          <w:b/>
          <w:bCs/>
        </w:rPr>
        <w:t xml:space="preserve">Run: </w:t>
      </w:r>
      <w:r>
        <w:rPr>
          <w:rFonts w:ascii="Courier New" w:cs="Courier New" w:eastAsia="Courier New" w:hAnsi="Courier New"/>
          <w:color w:val="534AB7"/>
          <w:sz w:val="20"/>
          <w:szCs w:val="20"/>
        </w:rPr>
        <w:t xml:space="preserve">python evaluate_embeddings.py --generator your_generator.py --days 7</w:t>
      </w:r>
    </w:p>
    <w:p>
      <w:pPr>
        <w:pStyle w:val="ListParagraph"/>
        <w:numPr>
          <w:ilvl w:val="0"/>
          <w:numId w:val="2"/>
        </w:numPr>
        <w:spacing w:before="60" w:after="60"/>
      </w:pPr>
      <w:r>
        <w:rPr>
          <w:b/>
          <w:bCs/>
        </w:rPr>
        <w:t xml:space="preserve">Record rank: </w:t>
      </w:r>
      <w:r>
        <w:t xml:space="preserve">track rank trend over time. Degradation without model change = new correlated miner entered.</w:t>
      </w:r>
    </w:p>
    <w:p>
      <w:pPr>
        <w:pStyle w:val="ListParagraph"/>
        <w:numPr>
          <w:ilvl w:val="0"/>
          <w:numId w:val="2"/>
        </w:numPr>
        <w:spacing w:before="60" w:after="60"/>
      </w:pPr>
      <w:r>
        <w:rPr>
          <w:b/>
          <w:bCs/>
        </w:rPr>
        <w:t xml:space="preserve">Check config.py hash: </w:t>
      </w:r>
      <w:r>
        <w:t xml:space="preserve">git pull MANTIS repo, run CHECK 7</w:t>
      </w:r>
    </w:p>
    <w:p>
      <w:pPr>
        <w:pStyle w:val="ListParagraph"/>
        <w:numPr>
          <w:ilvl w:val="0"/>
          <w:numId w:val="2"/>
        </w:numPr>
        <w:spacing w:before="60" w:after="60"/>
      </w:pPr>
      <w:r>
        <w:rPr>
          <w:b/>
          <w:bCs/>
        </w:rPr>
        <w:t xml:space="preserve">Review top miner activity: </w:t>
      </w:r>
      <w:r>
        <w:t xml:space="preserve">DataLog shows aggregate embedding patterns. If top miners have shifted strategy, your diversification may need updating.</w:t>
      </w:r>
    </w:p>
    <w:p>
      <w:pPr>
        <w:spacing w:before="0" w:after="80"/>
      </w:pPr>
      <w:r>
        <w:t xml:space="preserve"/>
      </w:r>
    </w:p>
    <w:p>
      <w:pPr>
        <w:pStyle w:val="Heading2"/>
        <w:spacing w:before="280" w:after="120"/>
      </w:pPr>
      <w:r>
        <w:rPr>
          <w:rFonts w:ascii="Arial" w:cs="Arial" w:eastAsia="Arial" w:hAnsi="Arial"/>
          <w:b/>
          <w:bCs/>
          <w:color w:val="2C2C2A"/>
          <w:sz w:val="26"/>
          <w:szCs w:val="26"/>
        </w:rPr>
        <w:t xml:space="preserve">Quick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Symptom</w:t>
            </w:r>
          </w:p>
        </w:tc>
        <w:tc>
          <w:tcPr>
            <w:tcW w:type="dxa" w:w="6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Diagnosis</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Check commit URL reachability first. Then check payload format. Then check T &gt;= 500 samples. Then check hotkey binding (delayed rejection).</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Check for DataLog reset (new DATALOG_ARCHIVE_URL). Check for config.py change (dimension update). Check for new miner with correlated strategy.</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Ensemble saturation. Your signal is already in the ensemble. Implement a diversification strategy.</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Quality gap. Still below or near noise floor. Standard model iteration applies -- improve directional accuracy.</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Normal. Yuma Consensus EWMA smoothing applies to all subnets. Wait 5+ weight-update cycles.</w:t>
            </w:r>
          </w:p>
        </w:tc>
      </w:tr>
      <w:tr>
        <w:tc>
          <w:tcPr>
            <w:tcW w:type="dxa" w:w="30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3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DataLog is stale. Your rank estimate uses old population data. Download fresh DataLog and re-run.</w:t>
            </w:r>
          </w:p>
        </w:tc>
      </w:tr>
    </w:tbl>
    <w:p>
      <w:pPr>
        <w:spacing w:before="0" w:after="200"/>
      </w:pPr>
      <w:r>
        <w:t xml:space="preserve"/>
      </w:r>
    </w:p>
    <w:p>
      <w:pPr>
        <w:pStyle w:val="Heading1"/>
        <w:pBdr>
          <w:bottom w:val="single" w:color="3730A3" w:sz="6" w:space="4"/>
        </w:pBdr>
        <w:spacing w:before="360" w:after="160"/>
      </w:pPr>
      <w:r>
        <w:rPr>
          <w:rFonts w:ascii="Arial" w:cs="Arial" w:eastAsia="Arial" w:hAnsi="Arial"/>
          <w:b/>
          <w:bCs/>
          <w:color w:val="3730A3"/>
          <w:sz w:val="32"/>
          <w:szCs w:val="32"/>
        </w:rPr>
        <w:t xml:space="preserve">11.  Key Numbers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Value</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b/>
                <w:bCs/>
                <w:sz w:val="20"/>
                <w:szCs w:val="20"/>
              </w:rPr>
              <w:t xml:space="preserve">Meaning</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Decryption delay (~60 minutes). All failures are revealed here.</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Minimum training window (T &lt; 500 → no salience). ~2-3 days for a new miner to appear in scoring.</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Pre-selection: top 20 miners by AUC are considered for the meta-model at each window.</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Effective earning threshold out of 256 registered. Below this rank, emissions approach zero.</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Noise floor: minimum directional accuracy for positive salience. Below this, embeddings are treated as noise regardless of uniqueness.</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MAX_DAYS: training history window. Older embeddings gradually weight out (recency weighting).</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Elastic-net sparsification: meta-model explicitly prefers diverse, non-redundant signals. Two correlated miners split one miner's salience.</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Recency weight half-life. Recent performance matters ~2x more than performance from 10 windows ago.</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Maximum payload size. Payloads above this are rejected.</w:t>
            </w:r>
          </w:p>
        </w:tc>
      </w:tr>
      <w:tr>
        <w:tc>
          <w:tcPr>
            <w:tcW w:type="dxa" w:w="240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default"/>
            </w:r>
          </w:p>
        </w:tc>
        <w:tc>
          <w:tcPr>
            <w:tcW w:type="dxa" w:w="6960"/>
            <w:tcBorders>
              <w:top w:val="single" w:color="D3D1C7" w:sz="4"/>
              <w:left w:val="single" w:color="D3D1C7" w:sz="4"/>
              <w:bottom w:val="single" w:color="D3D1C7" w:sz="4"/>
              <w:right w:val="single" w:color="D3D1C7" w:sz="4"/>
            </w:tcBorders>
            <w:tcMar>
              <w:top w:type="dxa" w:w="80"/>
              <w:left w:type="dxa" w:w="120"/>
              <w:bottom w:type="dxa" w:w="80"/>
              <w:right w:type="dxa" w:w="120"/>
            </w:tcMar>
          </w:tcPr>
          <w:p>
            <w:pPr>
              <w:spacing w:before="40" w:after="40"/>
            </w:pPr>
            <w:r>
              <w:rPr>
                <w:sz w:val="20"/>
                <w:szCs w:val="20"/>
              </w:rPr>
              <w:t xml:space="preserve">Only valid R2 commit hosts. Any other host is rejected by cycle.py.</w:t>
            </w:r>
          </w:p>
        </w:tc>
      </w:tr>
    </w:tbl>
    <w:p>
      <w:pPr>
        <w:spacing w:before="0"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360"/>
      </w:tabs>
    </w:pPr>
    <w:r>
      <w:rPr>
        <w:color w:val="5F5E5A"/>
        <w:sz w:val="18"/>
        <w:szCs w:val="18"/>
      </w:rPr>
      <w:t xml:space="preserve">Internal Use</w:t>
    </w:r>
    <w:r>
      <w:rPr>
        <w:sz w:val="18"/>
        <w:szCs w:val="18"/>
      </w:rPr>
      <w:t xml:space="preserve">	</w:t>
    </w:r>
    <w:r>
      <w:rPr>
        <w:color w:val="5F5E5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9360"/>
      </w:tabs>
    </w:pPr>
    <w:r>
      <w:rPr>
        <w:color w:val="5F5E5A"/>
        <w:sz w:val="18"/>
        <w:szCs w:val="18"/>
      </w:rPr>
      <w:t xml:space="preserve">SN123 MANTIS  --  Miner Strategy &amp; Iterative Research Findings</w:t>
    </w:r>
    <w:r>
      <w:rPr>
        <w:sz w:val="18"/>
        <w:szCs w:val="18"/>
      </w:rPr>
      <w:t xml:space="preserve">	</w:t>
    </w:r>
    <w:r>
      <w:rPr>
        <w:color w:val="5F5E5A"/>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3730A3"/>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2C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2026-03-29T02:23:09.396Z</dcterms:created>
  <dcterms:modified xsi:type="dcterms:W3CDTF">2026-03-29T02:23:09.396Z</dcterms:modified>
</cp:coreProperties>
</file>

<file path=docProps/custom.xml><?xml version="1.0" encoding="utf-8"?>
<Properties xmlns="http://schemas.openxmlformats.org/officeDocument/2006/custom-properties" xmlns:vt="http://schemas.openxmlformats.org/officeDocument/2006/docPropsVTypes"/>
</file>