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A2128" w:rsidR="000A2128" w:rsidP="50B8254D" w:rsidRDefault="000A2128" w14:paraId="583BB7C1" w14:noSpellErr="1" w14:textId="09C0754B">
      <w:pPr>
        <w:jc w:val="center"/>
        <w:rPr>
          <w:rStyle w:val="Heading1Char"/>
          <w:color w:val="0C3512" w:themeColor="accent3" w:themeShade="80"/>
        </w:rPr>
      </w:pPr>
      <w:r w:rsidRPr="50B8254D" w:rsidR="3EEB244B">
        <w:rPr>
          <w:rStyle w:val="Heading1Char"/>
          <w:color w:val="0C3512" w:themeColor="accent3" w:themeTint="FF" w:themeShade="80"/>
        </w:rPr>
        <w:t xml:space="preserve">Meadow Pathways Wellbeing and Education </w:t>
      </w:r>
      <w:r w:rsidRPr="50B8254D" w:rsidR="595DDC78">
        <w:rPr>
          <w:rStyle w:val="Heading1Char"/>
          <w:color w:val="0C3512" w:themeColor="accent3" w:themeTint="FF" w:themeShade="80"/>
        </w:rPr>
        <w:t>Cornwall (MPWEC)</w:t>
      </w:r>
    </w:p>
    <w:p w:rsidRPr="000A2128" w:rsidR="00DD44D6" w:rsidP="50B8254D" w:rsidRDefault="000A2128" w14:paraId="53D48E0D" w14:noSpellErr="1" w14:textId="662E877E">
      <w:pPr>
        <w:pStyle w:val="Normal"/>
        <w:rPr>
          <w:rStyle w:val="Heading1Char"/>
          <w:b w:val="1"/>
          <w:bCs w:val="1"/>
          <w:color w:val="0C3512" w:themeColor="accent3" w:themeShade="80"/>
          <w:sz w:val="28"/>
          <w:szCs w:val="28"/>
        </w:rPr>
      </w:pPr>
      <w:r w:rsidR="0FE08DB1">
        <w:rPr>
          <w:rStyle w:val="Heading1Char"/>
          <w:b w:val="1"/>
          <w:bCs w:val="1"/>
          <w:color w:val="0C3512" w:themeColor="accent3" w:themeShade="80"/>
          <w:sz w:val="28"/>
          <w:szCs w:val="28"/>
        </w:rPr>
        <w:t xml:space="preserve">                                                                                                                                                                                                                                                                                                                                                                                                                                                                                                                                             </w:t>
      </w:r>
      <w:r w:rsidR="0FE08DB1">
        <w:drawing>
          <wp:anchor distT="0" distB="0" distL="114300" distR="114300" simplePos="0" relativeHeight="251658240" behindDoc="0" locked="0" layoutInCell="1" allowOverlap="1" wp14:anchorId="4CDE2CC2" wp14:editId="314BEC99">
            <wp:simplePos x="0" y="0"/>
            <wp:positionH relativeFrom="column">
              <wp:posOffset>1790700</wp:posOffset>
            </wp:positionH>
            <wp:positionV relativeFrom="paragraph">
              <wp:posOffset>466725</wp:posOffset>
            </wp:positionV>
            <wp:extent cx="2225040" cy="2225040"/>
            <wp:effectExtent l="0" t="0" r="0" b="0"/>
            <wp:wrapNone/>
            <wp:docPr id="1157027893" name="Picture 1" descr="A logo of a learning center&#10;&#10;AI-generated content may be incorrect."/>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9125492" name="Picture 1" descr="A logo of a learning center&#10;&#10;AI-generated content may be incorrect."/>
                    <pic:cNvPicPr/>
                  </pic:nvPicPr>
                  <pic:blipFill>
                    <a:blip xmlns:r="http://schemas.openxmlformats.org/officeDocument/2006/relationships" r:embed="rId4" cstate="print">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page">
              <wp14:pctWidth>0</wp14:pctWidth>
            </wp14:sizeRelH>
            <wp14:sizeRelV relativeFrom="page">
              <wp14:pctHeight>0</wp14:pctHeight>
            </wp14:sizeRelV>
          </wp:anchor>
        </w:drawing>
      </w:r>
      <w:r w:rsidRPr="50B8254D" w:rsidR="0FE08DB1">
        <w:rPr>
          <w:rStyle w:val="Heading1Char"/>
          <w:b w:val="1"/>
          <w:bCs w:val="1"/>
          <w:color w:val="0C3512" w:themeColor="accent3" w:themeTint="FF" w:themeShade="80"/>
          <w:sz w:val="28"/>
          <w:szCs w:val="28"/>
        </w:rPr>
        <w:t xml:space="preserve">                                                                                                                                                                                                                                                                                                                                                                                                                                                                       </w:t>
      </w:r>
    </w:p>
    <w:p w:rsidR="50B8254D" w:rsidP="50B8254D" w:rsidRDefault="50B8254D" w14:paraId="1EEE16B6" w14:textId="2BF77B46">
      <w:pPr>
        <w:rPr>
          <w:b w:val="1"/>
          <w:bCs w:val="1"/>
          <w:color w:val="0C3512" w:themeColor="accent3" w:themeTint="FF" w:themeShade="80"/>
          <w:sz w:val="28"/>
          <w:szCs w:val="28"/>
        </w:rPr>
      </w:pPr>
    </w:p>
    <w:p w:rsidR="50B8254D" w:rsidP="50B8254D" w:rsidRDefault="50B8254D" w14:paraId="55896F5F" w14:textId="083BA78F">
      <w:pPr>
        <w:rPr>
          <w:b w:val="1"/>
          <w:bCs w:val="1"/>
          <w:color w:val="0C3512" w:themeColor="accent3" w:themeTint="FF" w:themeShade="80"/>
          <w:sz w:val="28"/>
          <w:szCs w:val="28"/>
        </w:rPr>
      </w:pPr>
    </w:p>
    <w:p w:rsidR="50B8254D" w:rsidP="50B8254D" w:rsidRDefault="50B8254D" w14:paraId="0DAF19D4" w14:textId="4CA95A08">
      <w:pPr>
        <w:rPr>
          <w:b w:val="1"/>
          <w:bCs w:val="1"/>
          <w:color w:val="0C3512" w:themeColor="accent3" w:themeTint="FF" w:themeShade="80"/>
          <w:sz w:val="28"/>
          <w:szCs w:val="28"/>
        </w:rPr>
      </w:pPr>
    </w:p>
    <w:p w:rsidRPr="000A2128" w:rsidR="00DD44D6" w:rsidP="50B8254D" w:rsidRDefault="00DD44D6" w14:paraId="1C5A7A51" w14:noSpellErr="1" w14:textId="407C68B9">
      <w:pPr>
        <w:jc w:val="center"/>
        <w:rPr>
          <w:sz w:val="28"/>
          <w:szCs w:val="28"/>
        </w:rPr>
      </w:pPr>
      <w:r>
        <w:br/>
      </w:r>
      <w:r>
        <w:br/>
      </w:r>
      <w:r>
        <w:br/>
      </w:r>
      <w:r>
        <w:br/>
      </w:r>
      <w:r w:rsidRPr="584BB14A" w:rsidR="13D051A1">
        <w:rPr>
          <w:rFonts w:ascii="Aptos Display" w:hAnsi="Aptos Display" w:eastAsia="Aptos Display" w:cs="Aptos Display" w:asciiTheme="majorAscii" w:hAnsiTheme="majorAscii" w:eastAsiaTheme="majorAscii" w:cstheme="majorAscii"/>
          <w:b w:val="0"/>
          <w:bCs w:val="0"/>
          <w:color w:val="0C3512" w:themeColor="accent3" w:themeTint="FF" w:themeShade="80"/>
          <w:sz w:val="40"/>
          <w:szCs w:val="40"/>
        </w:rPr>
        <w:t xml:space="preserve">EOTAS </w:t>
      </w:r>
      <w:r>
        <w:br/>
      </w:r>
      <w:r w:rsidRPr="584BB14A" w:rsidR="26B912A0">
        <w:rPr>
          <w:rFonts w:ascii="Aptos Display" w:hAnsi="Aptos Display" w:eastAsia="Aptos Display" w:cs="Aptos Display" w:asciiTheme="majorAscii" w:hAnsiTheme="majorAscii" w:eastAsiaTheme="majorAscii" w:cstheme="majorAscii"/>
          <w:b w:val="0"/>
          <w:bCs w:val="0"/>
          <w:color w:val="0C3512" w:themeColor="accent3" w:themeTint="FF" w:themeShade="80"/>
          <w:sz w:val="40"/>
          <w:szCs w:val="40"/>
        </w:rPr>
        <w:t>HEALTH &amp; SAFETY POLICY</w:t>
      </w:r>
    </w:p>
    <w:p w:rsidR="00DD44D6" w:rsidP="3A080A78" w:rsidRDefault="00DD44D6" w14:paraId="1320F8B1" w14:noSpellErr="1" w14:textId="215E8CFD">
      <w:pPr/>
      <w:r w:rsidR="3A080A78">
        <mc:AlternateContent>
          <mc:Choice Requires="wps">
            <w:drawing>
              <wp:anchor distT="0" distB="0" distL="114300" distR="114300" simplePos="0" relativeHeight="251659264" behindDoc="0" locked="0" layoutInCell="1" allowOverlap="1" wp14:editId="3339EAE6" wp14:anchorId="635D1EB6">
                <wp:simplePos x="0" y="0"/>
                <wp:positionH relativeFrom="column">
                  <wp:posOffset>15240</wp:posOffset>
                </wp:positionH>
                <wp:positionV relativeFrom="paragraph">
                  <wp:posOffset>56515</wp:posOffset>
                </wp:positionV>
                <wp:extent cx="5951220" cy="15240"/>
                <wp:effectExtent l="0" t="0" r="30480" b="22860"/>
                <wp:wrapNone/>
                <wp:docPr id="1632770811" name="Straight Connector 2"/>
                <wp:cNvGraphicFramePr/>
                <a:graphic>
                  <a:graphicData xmlns:a="http://schemas.openxmlformats.org/drawingml/2006/main" uri="http://schemas.microsoft.com/office/word/2010/wordprocessingShape">
                    <wps:wsp xmlns:wps="http://schemas.microsoft.com/office/word/2010/wordprocessingShape">
                      <wps:cNvCnPr/>
                      <wps:spPr>
                        <a:xfrm xmlns:a="http://schemas.openxmlformats.org/drawingml/2006/main">
                          <a:off x="0" y="0"/>
                          <a:ext cx="5951220" cy="15240"/>
                        </a:xfrm>
                        <a:prstGeom xmlns:a="http://schemas.openxmlformats.org/drawingml/2006/main" prst="line">
                          <a:avLst/>
                        </a:prstGeom>
                        <a:ln xmlns:a="http://schemas.openxmlformats.org/drawingml/2006/main">
                          <a:solidFill>
                            <a:schemeClr val="accent3">
                              <a:lumMod val="75000"/>
                            </a:schemeClr>
                          </a:solidFill>
                        </a:ln>
                      </wps:spPr>
                      <wps: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wps:style>
                      <wps:bodyPr/>
                    </wps:wsp>
                  </a:graphicData>
                </a:graphic>
                <wp14:sizeRelH relativeFrom="page">
                  <wp14:pctWidth>0</wp14:pctWidth>
                </wp14:sizeRelH>
                <wp14:sizeRelV relativeFrom="page">
                  <wp14:pctHeight>0</wp14:pctHeight>
                </wp14:sizeRelV>
              </wp:anchor>
            </w:drawing>
          </mc:Choice>
          <mc:Fallback/>
        </mc:AlternateContent>
      </w:r>
    </w:p>
    <w:p w:rsidR="00DD44D6" w:rsidP="584BB14A" w:rsidRDefault="00DD44D6" w14:paraId="43F99080" w14:textId="7A285F13">
      <w:pPr>
        <w:jc w:val="center"/>
        <w:rPr>
          <w:rFonts w:ascii="Aptos" w:hAnsi="Aptos" w:eastAsia="Aptos" w:cs="Aptos"/>
          <w:b w:val="0"/>
          <w:bCs w:val="0"/>
          <w:i w:val="0"/>
          <w:iCs w:val="0"/>
          <w:caps w:val="0"/>
          <w:smallCaps w:val="0"/>
          <w:noProof w:val="0"/>
          <w:color w:val="000000" w:themeColor="text1" w:themeTint="FF" w:themeShade="FF"/>
          <w:sz w:val="22"/>
          <w:szCs w:val="22"/>
          <w:lang w:val="en-GB"/>
        </w:rPr>
      </w:pPr>
      <w:r>
        <w:br/>
      </w:r>
      <w:r w:rsidRPr="584BB14A" w:rsidR="741E4132">
        <w:rPr>
          <w:rFonts w:ascii="Aptos" w:hAnsi="Aptos" w:eastAsia="Aptos" w:cs="Aptos"/>
          <w:b w:val="0"/>
          <w:bCs w:val="0"/>
          <w:i w:val="1"/>
          <w:iCs w:val="1"/>
          <w:caps w:val="0"/>
          <w:smallCaps w:val="0"/>
          <w:noProof w:val="0"/>
          <w:color w:val="000000" w:themeColor="text1" w:themeTint="FF" w:themeShade="FF"/>
          <w:sz w:val="22"/>
          <w:szCs w:val="22"/>
          <w:lang w:val="en-US"/>
        </w:rPr>
        <w:t>Responsibility to update:</w:t>
      </w:r>
      <w:r w:rsidRPr="584BB14A" w:rsidR="741E4132">
        <w:rPr>
          <w:rFonts w:ascii="Aptos" w:hAnsi="Aptos" w:eastAsia="Aptos" w:cs="Aptos"/>
          <w:b w:val="0"/>
          <w:bCs w:val="0"/>
          <w:i w:val="0"/>
          <w:iCs w:val="0"/>
          <w:caps w:val="0"/>
          <w:smallCaps w:val="0"/>
          <w:noProof w:val="0"/>
          <w:color w:val="000000" w:themeColor="text1" w:themeTint="FF" w:themeShade="FF"/>
          <w:sz w:val="22"/>
          <w:szCs w:val="22"/>
          <w:lang w:val="en-US"/>
        </w:rPr>
        <w:t xml:space="preserve"> Zoe Waitz and Michelle Pascoe</w:t>
      </w:r>
    </w:p>
    <w:p w:rsidR="00DD44D6" w:rsidP="584BB14A" w:rsidRDefault="00DD44D6" w14:paraId="6137EA26" w14:textId="4867391A">
      <w:pPr>
        <w:jc w:val="center"/>
      </w:pPr>
      <w:r w:rsidRPr="584BB14A" w:rsidR="741E4132">
        <w:rPr>
          <w:rFonts w:ascii="Aptos" w:hAnsi="Aptos" w:eastAsia="Aptos" w:cs="Aptos"/>
          <w:b w:val="0"/>
          <w:bCs w:val="0"/>
          <w:i w:val="1"/>
          <w:iCs w:val="1"/>
          <w:caps w:val="0"/>
          <w:smallCaps w:val="0"/>
          <w:noProof w:val="0"/>
          <w:color w:val="000000" w:themeColor="text1" w:themeTint="FF" w:themeShade="FF"/>
          <w:sz w:val="22"/>
          <w:szCs w:val="22"/>
          <w:lang w:val="en-US"/>
        </w:rPr>
        <w:t>Applies to:</w:t>
      </w:r>
      <w:r w:rsidRPr="584BB14A" w:rsidR="741E4132">
        <w:rPr>
          <w:rFonts w:ascii="Aptos" w:hAnsi="Aptos" w:eastAsia="Aptos" w:cs="Aptos"/>
          <w:b w:val="0"/>
          <w:bCs w:val="0"/>
          <w:i w:val="0"/>
          <w:iCs w:val="0"/>
          <w:caps w:val="0"/>
          <w:smallCaps w:val="0"/>
          <w:noProof w:val="0"/>
          <w:color w:val="000000" w:themeColor="text1" w:themeTint="FF" w:themeShade="FF"/>
          <w:sz w:val="22"/>
          <w:szCs w:val="22"/>
          <w:lang w:val="en-US"/>
        </w:rPr>
        <w:t xml:space="preserve"> All staff, contractors, volunteers and visiting professionals working with children and young people (CYP) engaged in Meadow Pathways EOTAS packages (including tuition in homes, community venues and online).</w:t>
      </w:r>
      <w:r w:rsidR="741E4132">
        <w:rPr/>
        <w:t xml:space="preserve"> </w:t>
      </w:r>
      <w:r>
        <w:br/>
      </w:r>
    </w:p>
    <w:p w:rsidR="00DD44D6" w:rsidP="00DD44D6" w:rsidRDefault="00DD44D6" w14:paraId="536B38CA" w14:textId="7AB7B033">
      <w:r w:rsidR="00DD44D6">
        <w:drawing>
          <wp:inline wp14:editId="34E02026" wp14:anchorId="29474012">
            <wp:extent cx="5956300" cy="24130"/>
            <wp:effectExtent l="0" t="0" r="0" b="0"/>
            <wp:docPr id="1130298725" name="Picture 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5">
                      <a:extLst>
                        <a:ext uri="{28A0092B-C50C-407E-A947-70E740481C1C}">
                          <a14:useLocalDpi xmlns:a14="http://schemas.microsoft.com/office/drawing/2010/main" val="0"/>
                        </a:ext>
                      </a:extLst>
                    </a:blip>
                    <a:srcRect/>
                    <a:stretch>
                      <a:fillRect/>
                    </a:stretch>
                  </pic:blipFill>
                  <pic:spPr bwMode="auto">
                    <a:xfrm>
                      <a:off x="0" y="0"/>
                      <a:ext cx="5956300" cy="24130"/>
                    </a:xfrm>
                    <a:prstGeom prst="rect">
                      <a:avLst/>
                    </a:prstGeom>
                    <a:noFill/>
                  </pic:spPr>
                </pic:pic>
              </a:graphicData>
            </a:graphic>
          </wp:inline>
        </w:drawing>
      </w:r>
    </w:p>
    <w:p w:rsidRPr="00DD44D6" w:rsidR="00DD44D6" w:rsidP="584BB14A" w:rsidRDefault="00DD44D6" w14:paraId="12E0A1DB" w14:textId="5CC8E083">
      <w:pPr>
        <w:jc w:val="center"/>
      </w:pPr>
      <w:r w:rsidR="170CEF3E">
        <w:rPr/>
        <w:t>Version No: 1</w:t>
      </w:r>
    </w:p>
    <w:p w:rsidRPr="00DD44D6" w:rsidR="00DD44D6" w:rsidP="584BB14A" w:rsidRDefault="00DD44D6" w14:noSpellErr="1" w14:paraId="46988E62" w14:textId="5F57726C">
      <w:pPr>
        <w:jc w:val="center"/>
      </w:pPr>
      <w:r w:rsidR="170CEF3E">
        <w:rPr/>
        <w:t>Date: September 2025</w:t>
      </w:r>
    </w:p>
    <w:p w:rsidRPr="00DD44D6" w:rsidR="00DD44D6" w:rsidP="584BB14A" w:rsidRDefault="00DD44D6" w14:paraId="536E77E5" w14:noSpellErr="1" w14:textId="0844DCA6">
      <w:pPr>
        <w:jc w:val="center"/>
        <w:rPr>
          <w:b w:val="1"/>
          <w:bCs w:val="1"/>
          <w:color w:val="0C3512" w:themeColor="accent3" w:themeShade="80"/>
          <w:u w:val="single"/>
        </w:rPr>
      </w:pPr>
      <w:r w:rsidR="170CEF3E">
        <w:rPr/>
        <w:t>Review Date: September 2026</w:t>
      </w:r>
      <w:r>
        <w:br/>
      </w:r>
      <w:r>
        <w:br/>
      </w:r>
      <w:r>
        <w:br/>
      </w:r>
      <w:r>
        <w:br/>
      </w:r>
      <w:r>
        <w:br/>
      </w:r>
      <w:r>
        <w:br/>
      </w:r>
      <w:r>
        <w:br/>
      </w:r>
      <w:r>
        <w:br/>
      </w:r>
      <w:r w:rsidRPr="584BB14A" w:rsidR="00DD44D6">
        <w:rPr>
          <w:b w:val="1"/>
          <w:bCs w:val="1"/>
          <w:color w:val="0C3512" w:themeColor="accent3" w:themeTint="FF" w:themeShade="80"/>
          <w:u w:val="single"/>
        </w:rPr>
        <w:t>1. POLICY STATEMENT</w:t>
      </w:r>
    </w:p>
    <w:p w:rsidR="00DD44D6" w:rsidP="00DD44D6" w:rsidRDefault="00DD44D6" w14:paraId="4FFA7637" w14:noSpellErr="1" w14:textId="2DB861CF">
      <w:r w:rsidR="00DD44D6">
        <w:rPr/>
        <w:t xml:space="preserve">Meadow Pathways Wellbeing and Education </w:t>
      </w:r>
      <w:r w:rsidR="296021E6">
        <w:rPr/>
        <w:t xml:space="preserve">Cornwall </w:t>
      </w:r>
      <w:r w:rsidR="00DD44D6">
        <w:rPr/>
        <w:t>Ltd is committed to ensuring the health, safety, and welfare of all staff, children, and young people engaged in our EOTAS provision. As our work is delivered in community settings without a fixed base, we recognise the need for robust, flexible safety practices.</w:t>
      </w:r>
    </w:p>
    <w:p w:rsidR="00DD44D6" w:rsidP="00DD44D6" w:rsidRDefault="00DD44D6" w14:paraId="5695F6A5" w14:textId="77777777">
      <w:r>
        <w:t>This policy is informed by:</w:t>
      </w:r>
    </w:p>
    <w:p w:rsidR="00DD44D6" w:rsidP="00DD44D6" w:rsidRDefault="00DD44D6" w14:paraId="5223E98A" w14:textId="77777777">
      <w:r>
        <w:t xml:space="preserve">• </w:t>
      </w:r>
      <w:r>
        <w:tab/>
      </w:r>
      <w:r>
        <w:t>Health and Safety at Work etc. Act 1974</w:t>
      </w:r>
    </w:p>
    <w:p w:rsidR="00DD44D6" w:rsidP="00DD44D6" w:rsidRDefault="00DD44D6" w14:paraId="46C3258E" w14:textId="77777777">
      <w:r>
        <w:t xml:space="preserve">• </w:t>
      </w:r>
      <w:r>
        <w:tab/>
      </w:r>
      <w:r>
        <w:t>Management of Health and Safety at Work Regulations 1999</w:t>
      </w:r>
    </w:p>
    <w:p w:rsidR="00DD44D6" w:rsidP="00DD44D6" w:rsidRDefault="00DD44D6" w14:paraId="47848AEF" w14:textId="77777777">
      <w:r>
        <w:t xml:space="preserve">• </w:t>
      </w:r>
      <w:r>
        <w:tab/>
      </w:r>
      <w:r>
        <w:t>Keeping Children Safe in Education (2023)</w:t>
      </w:r>
    </w:p>
    <w:p w:rsidR="00DD44D6" w:rsidP="00DD44D6" w:rsidRDefault="00DD44D6" w14:paraId="42D2BE34" w14:textId="77777777">
      <w:r>
        <w:t xml:space="preserve">• </w:t>
      </w:r>
      <w:r>
        <w:tab/>
      </w:r>
      <w:r>
        <w:t>Working Together to Safeguard Children (2023)</w:t>
      </w:r>
    </w:p>
    <w:p w:rsidR="00DD44D6" w:rsidP="00DD44D6" w:rsidRDefault="00DD44D6" w14:paraId="29D7A064" w14:textId="77777777">
      <w:r>
        <w:t xml:space="preserve">• </w:t>
      </w:r>
      <w:r>
        <w:tab/>
      </w:r>
      <w:r>
        <w:t>SEND Code of Practice (2015)</w:t>
      </w:r>
    </w:p>
    <w:p w:rsidR="00DD44D6" w:rsidP="00DD44D6" w:rsidRDefault="00DD44D6" w14:paraId="5030EB74" w14:textId="77777777"/>
    <w:p w:rsidRPr="00DD44D6" w:rsidR="00DD44D6" w:rsidP="00DD44D6" w:rsidRDefault="00DD44D6" w14:paraId="7FC593C8" w14:textId="77777777">
      <w:pPr>
        <w:rPr>
          <w:b/>
          <w:bCs/>
          <w:color w:val="0C3512" w:themeColor="accent3" w:themeShade="80"/>
          <w:u w:val="single"/>
        </w:rPr>
      </w:pPr>
      <w:r w:rsidRPr="00DD44D6">
        <w:rPr>
          <w:b/>
          <w:bCs/>
          <w:color w:val="0C3512" w:themeColor="accent3" w:themeShade="80"/>
          <w:u w:val="single"/>
        </w:rPr>
        <w:t>2. SCOPE</w:t>
      </w:r>
    </w:p>
    <w:p w:rsidR="00DD44D6" w:rsidP="00DD44D6" w:rsidRDefault="00DD44D6" w14:paraId="3943D598" w14:noSpellErr="1" w14:textId="5AE26846">
      <w:r w:rsidR="00DD44D6">
        <w:rPr/>
        <w:t>This policy applies to all employees, contractors, and volunteers working in community-based educational settings, including homes, libraries, leisure centres, and other public venues.</w:t>
      </w:r>
    </w:p>
    <w:p w:rsidRPr="00DD44D6" w:rsidR="00DD44D6" w:rsidP="00DD44D6" w:rsidRDefault="00DD44D6" w14:paraId="7A6606C6" w14:textId="77777777">
      <w:pPr>
        <w:rPr>
          <w:b/>
          <w:bCs/>
          <w:color w:val="0C3512" w:themeColor="accent3" w:themeShade="80"/>
          <w:u w:val="single"/>
        </w:rPr>
      </w:pPr>
      <w:r w:rsidRPr="00DD44D6">
        <w:rPr>
          <w:b/>
          <w:bCs/>
          <w:color w:val="0C3512" w:themeColor="accent3" w:themeShade="80"/>
          <w:u w:val="single"/>
        </w:rPr>
        <w:t>3. RESPONSIBILITIES</w:t>
      </w:r>
    </w:p>
    <w:p w:rsidR="00DD44D6" w:rsidP="00DD44D6" w:rsidRDefault="00DD44D6" w14:paraId="371EE2F9" w14:textId="77777777">
      <w:r>
        <w:t>Directors and Leadership:</w:t>
      </w:r>
    </w:p>
    <w:p w:rsidR="00DD44D6" w:rsidP="00DD44D6" w:rsidRDefault="00DD44D6" w14:paraId="36F64CD7" w14:textId="77777777">
      <w:r>
        <w:t xml:space="preserve">• </w:t>
      </w:r>
      <w:r>
        <w:tab/>
      </w:r>
      <w:r>
        <w:t>Ensure compliance with legislation and statutory guidance.</w:t>
      </w:r>
    </w:p>
    <w:p w:rsidR="00DD44D6" w:rsidP="00DD44D6" w:rsidRDefault="00DD44D6" w14:paraId="21EE9A8A" w14:textId="77777777">
      <w:r>
        <w:t xml:space="preserve">• </w:t>
      </w:r>
      <w:r>
        <w:tab/>
      </w:r>
      <w:r>
        <w:t>Provide training, supervision, and resources.</w:t>
      </w:r>
    </w:p>
    <w:p w:rsidR="00DD44D6" w:rsidP="00DD44D6" w:rsidRDefault="00DD44D6" w14:paraId="59AB7014" w14:noSpellErr="1" w14:textId="23352867">
      <w:r w:rsidR="00DD44D6">
        <w:rPr/>
        <w:t xml:space="preserve">• </w:t>
      </w:r>
      <w:r>
        <w:tab/>
      </w:r>
      <w:r w:rsidR="00DD44D6">
        <w:rPr/>
        <w:t>Maintain oversight of safeguarding and health &amp; safety.</w:t>
      </w:r>
      <w:r>
        <w:br/>
      </w:r>
    </w:p>
    <w:p w:rsidRPr="00DD44D6" w:rsidR="00DD44D6" w:rsidP="584BB14A" w:rsidRDefault="00DD44D6" w14:paraId="20F7A834" w14:textId="77777777" w14:noSpellErr="1">
      <w:pPr>
        <w:ind w:firstLine="720"/>
        <w:rPr>
          <w:b w:val="1"/>
          <w:bCs w:val="1"/>
          <w:color w:val="0C3512" w:themeColor="accent3" w:themeShade="80"/>
          <w:u w:val="single"/>
        </w:rPr>
      </w:pPr>
      <w:r w:rsidRPr="584BB14A" w:rsidR="00DD44D6">
        <w:rPr>
          <w:b w:val="1"/>
          <w:bCs w:val="1"/>
          <w:color w:val="0C3512" w:themeColor="accent3" w:themeTint="FF" w:themeShade="80"/>
          <w:u w:val="single"/>
        </w:rPr>
        <w:t>Staff:</w:t>
      </w:r>
    </w:p>
    <w:p w:rsidR="00DD44D6" w:rsidP="00DD44D6" w:rsidRDefault="00DD44D6" w14:paraId="57FC8CCF" w14:textId="77777777">
      <w:r>
        <w:t xml:space="preserve">• </w:t>
      </w:r>
      <w:r>
        <w:tab/>
      </w:r>
      <w:r>
        <w:t>Follow all procedures and safeguarding protocols.</w:t>
      </w:r>
    </w:p>
    <w:p w:rsidR="00DD44D6" w:rsidP="00DD44D6" w:rsidRDefault="00DD44D6" w14:paraId="0EB2CAB4" w14:textId="77777777">
      <w:r>
        <w:t xml:space="preserve">• </w:t>
      </w:r>
      <w:r>
        <w:tab/>
      </w:r>
      <w:r>
        <w:t>Conduct dynamic risk assessments before each session.</w:t>
      </w:r>
    </w:p>
    <w:p w:rsidR="00DD44D6" w:rsidP="00DD44D6" w:rsidRDefault="00DD44D6" w14:paraId="7C170546" w14:textId="77777777">
      <w:r>
        <w:t xml:space="preserve">• </w:t>
      </w:r>
      <w:r>
        <w:tab/>
      </w:r>
      <w:r>
        <w:t>Report hazards, incidents, or concerns promptly.</w:t>
      </w:r>
    </w:p>
    <w:p w:rsidR="00DD44D6" w:rsidP="00DD44D6" w:rsidRDefault="00DD44D6" w14:paraId="1A323CE0" w14:textId="77777777"/>
    <w:p w:rsidRPr="00DD44D6" w:rsidR="00DD44D6" w:rsidP="00DD44D6" w:rsidRDefault="00DD44D6" w14:paraId="14562D54" w14:textId="77777777">
      <w:pPr>
        <w:rPr>
          <w:b/>
          <w:bCs/>
          <w:color w:val="0C3512" w:themeColor="accent3" w:themeShade="80"/>
          <w:u w:val="single"/>
        </w:rPr>
      </w:pPr>
      <w:r w:rsidRPr="00DD44D6">
        <w:rPr>
          <w:b/>
          <w:bCs/>
          <w:color w:val="0C3512" w:themeColor="accent3" w:themeShade="80"/>
          <w:u w:val="single"/>
        </w:rPr>
        <w:t>4. RISK ASSESSMENT</w:t>
      </w:r>
    </w:p>
    <w:p w:rsidR="00DD44D6" w:rsidP="00DD44D6" w:rsidRDefault="00DD44D6" w14:paraId="49159BB9" w14:textId="77777777">
      <w:r>
        <w:t xml:space="preserve">• </w:t>
      </w:r>
      <w:r>
        <w:tab/>
      </w:r>
      <w:r>
        <w:t>Staff must complete a dynamic risk assessment prior to each session.</w:t>
      </w:r>
    </w:p>
    <w:p w:rsidR="00DD44D6" w:rsidP="00DD44D6" w:rsidRDefault="00DD44D6" w14:paraId="5D03E87D" w14:textId="77777777">
      <w:r>
        <w:t xml:space="preserve">• </w:t>
      </w:r>
      <w:r>
        <w:tab/>
      </w:r>
      <w:r>
        <w:t>Assess location, child needs, lone working risks, and environmental factors.</w:t>
      </w:r>
    </w:p>
    <w:p w:rsidR="00DD44D6" w:rsidP="00DD44D6" w:rsidRDefault="00DD44D6" w14:paraId="79FAECE8" w14:textId="77777777">
      <w:r>
        <w:t xml:space="preserve">• </w:t>
      </w:r>
      <w:r>
        <w:tab/>
      </w:r>
      <w:r>
        <w:t>High-risk scenarios must be escalated to the Designated Safeguarding Lead (DSL).</w:t>
      </w:r>
    </w:p>
    <w:p w:rsidR="00DD44D6" w:rsidP="00DD44D6" w:rsidRDefault="00DD44D6" w14:paraId="2A5F76E5" w14:textId="77777777">
      <w:r>
        <w:t xml:space="preserve">• </w:t>
      </w:r>
      <w:r>
        <w:tab/>
      </w:r>
      <w:r>
        <w:t>Risk assessments should be recorded and reviewed regularly.</w:t>
      </w:r>
    </w:p>
    <w:p w:rsidR="00DD44D6" w:rsidP="00DD44D6" w:rsidRDefault="00DD44D6" w14:paraId="2B60F759" w14:textId="77777777" w14:noSpellErr="1"/>
    <w:p w:rsidR="584BB14A" w:rsidRDefault="584BB14A" w14:paraId="36DA6FBA" w14:textId="5872EEED"/>
    <w:p w:rsidRPr="00DD44D6" w:rsidR="00DD44D6" w:rsidP="00DD44D6" w:rsidRDefault="00DD44D6" w14:paraId="41FDE819" w14:textId="77777777">
      <w:pPr>
        <w:rPr>
          <w:b/>
          <w:bCs/>
          <w:color w:val="0C3512" w:themeColor="accent3" w:themeShade="80"/>
          <w:u w:val="single"/>
        </w:rPr>
      </w:pPr>
      <w:r w:rsidRPr="00DD44D6">
        <w:rPr>
          <w:b/>
          <w:bCs/>
          <w:color w:val="0C3512" w:themeColor="accent3" w:themeShade="80"/>
          <w:u w:val="single"/>
        </w:rPr>
        <w:t>5. LONE WORKING</w:t>
      </w:r>
    </w:p>
    <w:p w:rsidR="00DD44D6" w:rsidP="00DD44D6" w:rsidRDefault="00DD44D6" w14:paraId="44BDEDF5" w14:textId="77777777">
      <w:r>
        <w:t>Staff must follow the Lone Working Procedure:</w:t>
      </w:r>
    </w:p>
    <w:p w:rsidR="00DD44D6" w:rsidP="00DD44D6" w:rsidRDefault="00DD44D6" w14:paraId="455EB8E7" w14:textId="77777777">
      <w:r>
        <w:t xml:space="preserve">• </w:t>
      </w:r>
      <w:r>
        <w:tab/>
      </w:r>
      <w:r>
        <w:t>Share location and schedule with line manager.</w:t>
      </w:r>
    </w:p>
    <w:p w:rsidR="00DD44D6" w:rsidP="00DD44D6" w:rsidRDefault="00DD44D6" w14:paraId="5DE85B25" w14:textId="77777777">
      <w:r>
        <w:t xml:space="preserve">• </w:t>
      </w:r>
      <w:r>
        <w:tab/>
      </w:r>
      <w:r>
        <w:t>Maintain regular check-ins.</w:t>
      </w:r>
    </w:p>
    <w:p w:rsidR="00DD44D6" w:rsidP="00DD44D6" w:rsidRDefault="00DD44D6" w14:paraId="35FD837E" w14:textId="77777777">
      <w:r>
        <w:t xml:space="preserve">• </w:t>
      </w:r>
      <w:r>
        <w:tab/>
      </w:r>
      <w:r>
        <w:t>Carry a charged mobile phone.</w:t>
      </w:r>
    </w:p>
    <w:p w:rsidR="00DD44D6" w:rsidP="00DD44D6" w:rsidRDefault="00DD44D6" w14:paraId="59AA4593" w14:textId="77777777">
      <w:r>
        <w:t xml:space="preserve">• </w:t>
      </w:r>
      <w:r>
        <w:tab/>
      </w:r>
      <w:r>
        <w:t>Avoid entering premises alone if safety is uncertain.</w:t>
      </w:r>
    </w:p>
    <w:p w:rsidR="00DD44D6" w:rsidP="00DD44D6" w:rsidRDefault="00DD44D6" w14:paraId="743BF935" w14:textId="77777777"/>
    <w:p w:rsidRPr="00DD44D6" w:rsidR="00DD44D6" w:rsidP="00DD44D6" w:rsidRDefault="00DD44D6" w14:paraId="3BD45A2B" w14:textId="77777777">
      <w:pPr>
        <w:rPr>
          <w:b/>
          <w:bCs/>
          <w:color w:val="0C3512" w:themeColor="accent3" w:themeShade="80"/>
          <w:u w:val="single"/>
        </w:rPr>
      </w:pPr>
      <w:r w:rsidRPr="00DD44D6">
        <w:rPr>
          <w:b/>
          <w:bCs/>
          <w:color w:val="0C3512" w:themeColor="accent3" w:themeShade="80"/>
          <w:u w:val="single"/>
        </w:rPr>
        <w:t>6. SAFEGUARDING</w:t>
      </w:r>
    </w:p>
    <w:p w:rsidR="00DD44D6" w:rsidP="00DD44D6" w:rsidRDefault="00DD44D6" w14:paraId="5C93FD75" w14:textId="77777777">
      <w:r>
        <w:t>All staff must adhere to Keeping Children Safe in Education and Working Together to Safeguard Children.</w:t>
      </w:r>
    </w:p>
    <w:p w:rsidR="00DD44D6" w:rsidP="00DD44D6" w:rsidRDefault="00DD44D6" w14:paraId="346F698A" w14:textId="77777777">
      <w:r>
        <w:t xml:space="preserve">• </w:t>
      </w:r>
      <w:r>
        <w:tab/>
      </w:r>
      <w:r>
        <w:t>Complete safeguarding and child protection training.</w:t>
      </w:r>
    </w:p>
    <w:p w:rsidR="00DD44D6" w:rsidP="00DD44D6" w:rsidRDefault="00DD44D6" w14:paraId="3130AC86" w14:textId="77777777">
      <w:r>
        <w:t xml:space="preserve">• </w:t>
      </w:r>
      <w:r>
        <w:tab/>
      </w:r>
      <w:r>
        <w:t>Report concerns to the DSL immediately.</w:t>
      </w:r>
    </w:p>
    <w:p w:rsidR="00DD44D6" w:rsidP="00DD44D6" w:rsidRDefault="00DD44D6" w14:paraId="33575EE8" w14:textId="77777777">
      <w:r>
        <w:t xml:space="preserve">• </w:t>
      </w:r>
      <w:r>
        <w:tab/>
      </w:r>
      <w:r>
        <w:t>Maintain professional boundaries and confidentiality.</w:t>
      </w:r>
    </w:p>
    <w:p w:rsidR="00DD44D6" w:rsidP="00DD44D6" w:rsidRDefault="00DD44D6" w14:paraId="39E0B609" w14:textId="77777777"/>
    <w:p w:rsidRPr="00DD44D6" w:rsidR="00DD44D6" w:rsidP="00DD44D6" w:rsidRDefault="00DD44D6" w14:paraId="7CB4433E" w14:textId="77777777">
      <w:pPr>
        <w:rPr>
          <w:b/>
          <w:bCs/>
          <w:color w:val="0C3512" w:themeColor="accent3" w:themeShade="80"/>
          <w:u w:val="single"/>
        </w:rPr>
      </w:pPr>
      <w:r w:rsidRPr="00DD44D6">
        <w:rPr>
          <w:b/>
          <w:bCs/>
          <w:color w:val="0C3512" w:themeColor="accent3" w:themeShade="80"/>
          <w:u w:val="single"/>
        </w:rPr>
        <w:t>7. INCIDENT REPORTING</w:t>
      </w:r>
    </w:p>
    <w:p w:rsidR="00DD44D6" w:rsidP="00DD44D6" w:rsidRDefault="00DD44D6" w14:paraId="2A84A8C5" w14:textId="77777777">
      <w:r>
        <w:t xml:space="preserve">• </w:t>
      </w:r>
      <w:r>
        <w:tab/>
      </w:r>
      <w:r>
        <w:t>Log all accidents, near misses, and safeguarding concerns.</w:t>
      </w:r>
    </w:p>
    <w:p w:rsidR="00DD44D6" w:rsidP="00DD44D6" w:rsidRDefault="00DD44D6" w14:paraId="3E4B6229" w14:textId="77777777">
      <w:r>
        <w:t xml:space="preserve">• </w:t>
      </w:r>
      <w:r>
        <w:tab/>
      </w:r>
      <w:r>
        <w:t>Use the Incident Reporting Form.</w:t>
      </w:r>
    </w:p>
    <w:p w:rsidR="00DD44D6" w:rsidP="00DD44D6" w:rsidRDefault="00DD44D6" w14:paraId="6D019B81" w14:textId="77777777">
      <w:r>
        <w:t xml:space="preserve">• </w:t>
      </w:r>
      <w:r>
        <w:tab/>
      </w:r>
      <w:r>
        <w:t>Escalate serious incidents to the DSL and Director within 24 hours.</w:t>
      </w:r>
    </w:p>
    <w:p w:rsidR="00DD44D6" w:rsidP="00DD44D6" w:rsidRDefault="00DD44D6" w14:paraId="71B7912E" w14:textId="77777777"/>
    <w:p w:rsidRPr="00DD44D6" w:rsidR="00DD44D6" w:rsidP="00DD44D6" w:rsidRDefault="00DD44D6" w14:paraId="2A499284" w14:textId="77777777">
      <w:pPr>
        <w:rPr>
          <w:b/>
          <w:bCs/>
          <w:color w:val="0C3512" w:themeColor="accent3" w:themeShade="80"/>
          <w:u w:val="single"/>
        </w:rPr>
      </w:pPr>
      <w:r w:rsidRPr="00DD44D6">
        <w:rPr>
          <w:b/>
          <w:bCs/>
          <w:color w:val="0C3512" w:themeColor="accent3" w:themeShade="80"/>
          <w:u w:val="single"/>
        </w:rPr>
        <w:t>8. TRAINING</w:t>
      </w:r>
    </w:p>
    <w:p w:rsidR="00DD44D6" w:rsidP="00DD44D6" w:rsidRDefault="00DD44D6" w14:paraId="63868EB8" w14:textId="77777777">
      <w:r>
        <w:t>Mandatory training includes:</w:t>
      </w:r>
    </w:p>
    <w:p w:rsidR="00DD44D6" w:rsidP="00DD44D6" w:rsidRDefault="00DD44D6" w14:paraId="3C1E0E99" w14:textId="77777777">
      <w:r>
        <w:t xml:space="preserve">• </w:t>
      </w:r>
      <w:r>
        <w:tab/>
      </w:r>
      <w:r>
        <w:t>Safeguarding and child protection</w:t>
      </w:r>
    </w:p>
    <w:p w:rsidR="00DD44D6" w:rsidP="00DD44D6" w:rsidRDefault="00DD44D6" w14:paraId="6822D0AE" w14:textId="77777777">
      <w:r>
        <w:t xml:space="preserve">• </w:t>
      </w:r>
      <w:r>
        <w:tab/>
      </w:r>
      <w:r>
        <w:t>Lone working and personal safety</w:t>
      </w:r>
    </w:p>
    <w:p w:rsidR="00DD44D6" w:rsidP="00DD44D6" w:rsidRDefault="00DD44D6" w14:paraId="1AAC9FE5" w14:textId="77777777">
      <w:r>
        <w:t xml:space="preserve">• </w:t>
      </w:r>
      <w:r>
        <w:tab/>
      </w:r>
      <w:r>
        <w:t>First aid (where applicable)</w:t>
      </w:r>
    </w:p>
    <w:p w:rsidR="00DD44D6" w:rsidP="00DD44D6" w:rsidRDefault="00DD44D6" w14:paraId="6B7ED141" w14:textId="77777777">
      <w:r>
        <w:t xml:space="preserve">• </w:t>
      </w:r>
      <w:r>
        <w:tab/>
      </w:r>
      <w:r>
        <w:t>Health &amp; safety awareness</w:t>
      </w:r>
    </w:p>
    <w:p w:rsidR="00DD44D6" w:rsidP="00DD44D6" w:rsidRDefault="00DD44D6" w14:paraId="7B2EAC3C" w14:textId="77777777"/>
    <w:p w:rsidRPr="000A2128" w:rsidR="00DD44D6" w:rsidP="00DD44D6" w:rsidRDefault="00DD44D6" w14:paraId="4892834A" w14:textId="77777777">
      <w:pPr>
        <w:rPr>
          <w:b/>
          <w:bCs/>
          <w:color w:val="0C3512" w:themeColor="accent3" w:themeShade="80"/>
          <w:u w:val="single"/>
        </w:rPr>
      </w:pPr>
      <w:r w:rsidRPr="000A2128">
        <w:rPr>
          <w:b/>
          <w:bCs/>
          <w:color w:val="0C3512" w:themeColor="accent3" w:themeShade="80"/>
          <w:u w:val="single"/>
        </w:rPr>
        <w:t>9. REVIEW AND MONITORING</w:t>
      </w:r>
    </w:p>
    <w:p w:rsidR="00DD44D6" w:rsidP="00DD44D6" w:rsidRDefault="00DD44D6" w14:paraId="37C393B6" w14:noSpellErr="1" w14:textId="63282F37">
      <w:r w:rsidR="00DD44D6">
        <w:rPr/>
        <w:t xml:space="preserve">• </w:t>
      </w:r>
      <w:r>
        <w:tab/>
      </w:r>
      <w:r w:rsidR="00DD44D6">
        <w:rPr/>
        <w:t>This policy will be reviewed annually or following any significant incident or legislative</w:t>
      </w:r>
      <w:r w:rsidR="7AFEF9E2">
        <w:rPr/>
        <w:t xml:space="preserve"> </w:t>
      </w:r>
      <w:r>
        <w:tab/>
      </w:r>
      <w:r w:rsidR="00DD44D6">
        <w:rPr/>
        <w:t>change.</w:t>
      </w:r>
    </w:p>
    <w:p w:rsidR="00DD44D6" w:rsidP="00DD44D6" w:rsidRDefault="00DD44D6" w14:paraId="6506812F" w14:textId="77777777">
      <w:r>
        <w:t xml:space="preserve">• </w:t>
      </w:r>
      <w:r>
        <w:tab/>
      </w:r>
      <w:r>
        <w:t>Staff feedback and incident data will inform updates.</w:t>
      </w:r>
    </w:p>
    <w:p w:rsidR="00DD44D6" w:rsidP="00DD44D6" w:rsidRDefault="00DD44D6" w14:paraId="4596E0A2" w14:textId="77777777" w14:noSpellErr="1"/>
    <w:p w:rsidR="584BB14A" w:rsidRDefault="584BB14A" w14:paraId="7102378A" w14:textId="3AB91E06"/>
    <w:p w:rsidR="584BB14A" w:rsidRDefault="584BB14A" w14:paraId="4CDB393A" w14:textId="07E9F122"/>
    <w:p w:rsidRPr="000A2128" w:rsidR="00DD44D6" w:rsidP="00DD44D6" w:rsidRDefault="00DD44D6" w14:paraId="48348AA8" w14:textId="77777777">
      <w:pPr>
        <w:rPr>
          <w:b/>
          <w:bCs/>
          <w:color w:val="0C3512" w:themeColor="accent3" w:themeShade="80"/>
          <w:u w:val="single"/>
        </w:rPr>
      </w:pPr>
      <w:r w:rsidRPr="000A2128">
        <w:rPr>
          <w:b/>
          <w:bCs/>
          <w:color w:val="0C3512" w:themeColor="accent3" w:themeShade="80"/>
          <w:u w:val="single"/>
        </w:rPr>
        <w:t>10. RELATED POLICIES</w:t>
      </w:r>
    </w:p>
    <w:p w:rsidR="00DD44D6" w:rsidP="00DD44D6" w:rsidRDefault="00DD44D6" w14:paraId="22B826C6" w14:textId="77777777">
      <w:r>
        <w:t xml:space="preserve">• </w:t>
      </w:r>
      <w:r>
        <w:tab/>
      </w:r>
      <w:r>
        <w:t>Safeguarding and Child Protection Policy</w:t>
      </w:r>
    </w:p>
    <w:p w:rsidR="00DD44D6" w:rsidP="00DD44D6" w:rsidRDefault="00DD44D6" w14:paraId="0DB4484F" w14:textId="77777777">
      <w:r>
        <w:t xml:space="preserve">• </w:t>
      </w:r>
      <w:r>
        <w:tab/>
      </w:r>
      <w:r>
        <w:t>Lone Working Procedure</w:t>
      </w:r>
    </w:p>
    <w:p w:rsidR="00DD44D6" w:rsidP="00DD44D6" w:rsidRDefault="00DD44D6" w14:paraId="5846B206" w14:textId="77777777">
      <w:r>
        <w:t xml:space="preserve">• </w:t>
      </w:r>
      <w:r>
        <w:tab/>
      </w:r>
      <w:r>
        <w:t>Risk Assessment Protocol</w:t>
      </w:r>
    </w:p>
    <w:p w:rsidR="00DD44D6" w:rsidP="00DD44D6" w:rsidRDefault="00DD44D6" w14:paraId="2B287A48" w14:textId="77777777">
      <w:r>
        <w:t xml:space="preserve">• </w:t>
      </w:r>
      <w:r>
        <w:tab/>
      </w:r>
      <w:r>
        <w:t>Data Protection and Confidentiality Policy</w:t>
      </w:r>
    </w:p>
    <w:p w:rsidR="00DD44D6" w:rsidP="00DD44D6" w:rsidRDefault="00DD44D6" w14:paraId="4AE7D76D" w14:textId="77777777"/>
    <w:p w:rsidR="004338B0" w:rsidP="00DD44D6" w:rsidRDefault="004338B0" w14:paraId="334D709C" w14:textId="42DD06C2"/>
    <w:sectPr w:rsidR="004338B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D6"/>
    <w:rsid w:val="000871E3"/>
    <w:rsid w:val="000A2128"/>
    <w:rsid w:val="00285A10"/>
    <w:rsid w:val="0038109A"/>
    <w:rsid w:val="004338B0"/>
    <w:rsid w:val="00CD7CA2"/>
    <w:rsid w:val="00CF295E"/>
    <w:rsid w:val="00DD44D6"/>
    <w:rsid w:val="00FE4325"/>
    <w:rsid w:val="05B0341D"/>
    <w:rsid w:val="08FF4F45"/>
    <w:rsid w:val="0E1B6ED8"/>
    <w:rsid w:val="0FE08DB1"/>
    <w:rsid w:val="13D051A1"/>
    <w:rsid w:val="170CEF3E"/>
    <w:rsid w:val="19AE5B3A"/>
    <w:rsid w:val="26B912A0"/>
    <w:rsid w:val="28AA312D"/>
    <w:rsid w:val="296021E6"/>
    <w:rsid w:val="3A080A78"/>
    <w:rsid w:val="3EEB244B"/>
    <w:rsid w:val="4393D63C"/>
    <w:rsid w:val="4F4798F7"/>
    <w:rsid w:val="50B8254D"/>
    <w:rsid w:val="584BB14A"/>
    <w:rsid w:val="595DDC78"/>
    <w:rsid w:val="63BDD62B"/>
    <w:rsid w:val="64BDE083"/>
    <w:rsid w:val="6ABBB704"/>
    <w:rsid w:val="741E4132"/>
    <w:rsid w:val="7551B87C"/>
    <w:rsid w:val="7A4293CF"/>
    <w:rsid w:val="7AFEF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CD1E"/>
  <w15:chartTrackingRefBased/>
  <w15:docId w15:val="{EDFA1AC7-A8AE-4548-8EFC-59A9B18A92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44D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4D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4D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D44D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D44D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D44D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D44D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D44D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D44D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D44D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D44D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D44D6"/>
    <w:rPr>
      <w:rFonts w:eastAsiaTheme="majorEastAsia" w:cstheme="majorBidi"/>
      <w:color w:val="272727" w:themeColor="text1" w:themeTint="D8"/>
    </w:rPr>
  </w:style>
  <w:style w:type="paragraph" w:styleId="Title">
    <w:name w:val="Title"/>
    <w:basedOn w:val="Normal"/>
    <w:next w:val="Normal"/>
    <w:link w:val="TitleChar"/>
    <w:uiPriority w:val="10"/>
    <w:qFormat/>
    <w:rsid w:val="00DD44D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D44D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D44D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D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4D6"/>
    <w:pPr>
      <w:spacing w:before="160"/>
      <w:jc w:val="center"/>
    </w:pPr>
    <w:rPr>
      <w:i/>
      <w:iCs/>
      <w:color w:val="404040" w:themeColor="text1" w:themeTint="BF"/>
    </w:rPr>
  </w:style>
  <w:style w:type="character" w:styleId="QuoteChar" w:customStyle="1">
    <w:name w:val="Quote Char"/>
    <w:basedOn w:val="DefaultParagraphFont"/>
    <w:link w:val="Quote"/>
    <w:uiPriority w:val="29"/>
    <w:rsid w:val="00DD44D6"/>
    <w:rPr>
      <w:i/>
      <w:iCs/>
      <w:color w:val="404040" w:themeColor="text1" w:themeTint="BF"/>
    </w:rPr>
  </w:style>
  <w:style w:type="paragraph" w:styleId="ListParagraph">
    <w:name w:val="List Paragraph"/>
    <w:basedOn w:val="Normal"/>
    <w:uiPriority w:val="34"/>
    <w:qFormat/>
    <w:rsid w:val="00DD44D6"/>
    <w:pPr>
      <w:ind w:left="720"/>
      <w:contextualSpacing/>
    </w:pPr>
  </w:style>
  <w:style w:type="character" w:styleId="IntenseEmphasis">
    <w:name w:val="Intense Emphasis"/>
    <w:basedOn w:val="DefaultParagraphFont"/>
    <w:uiPriority w:val="21"/>
    <w:qFormat/>
    <w:rsid w:val="00DD44D6"/>
    <w:rPr>
      <w:i/>
      <w:iCs/>
      <w:color w:val="0F4761" w:themeColor="accent1" w:themeShade="BF"/>
    </w:rPr>
  </w:style>
  <w:style w:type="paragraph" w:styleId="IntenseQuote">
    <w:name w:val="Intense Quote"/>
    <w:basedOn w:val="Normal"/>
    <w:next w:val="Normal"/>
    <w:link w:val="IntenseQuoteChar"/>
    <w:uiPriority w:val="30"/>
    <w:qFormat/>
    <w:rsid w:val="00DD44D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D44D6"/>
    <w:rPr>
      <w:i/>
      <w:iCs/>
      <w:color w:val="0F4761" w:themeColor="accent1" w:themeShade="BF"/>
    </w:rPr>
  </w:style>
  <w:style w:type="character" w:styleId="IntenseReference">
    <w:name w:val="Intense Reference"/>
    <w:basedOn w:val="DefaultParagraphFont"/>
    <w:uiPriority w:val="32"/>
    <w:qFormat/>
    <w:rsid w:val="00DD4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customXml" Target="../customXml/item3.xml" Id="rId10" /><Relationship Type="http://schemas.openxmlformats.org/officeDocument/2006/relationships/image" Target="media/image1.png" Id="rId4" /><Relationship Type="http://schemas.openxmlformats.org/officeDocument/2006/relationships/customXml" Target="../customXml/item2.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851ED1E7-700E-4DD6-8E99-11B7471DB37C}"/>
</file>

<file path=customXml/itemProps2.xml><?xml version="1.0" encoding="utf-8"?>
<ds:datastoreItem xmlns:ds="http://schemas.openxmlformats.org/officeDocument/2006/customXml" ds:itemID="{E3D9D5DF-ABEC-4BE5-ACD7-D21007FE58C8}"/>
</file>

<file path=customXml/itemProps3.xml><?xml version="1.0" encoding="utf-8"?>
<ds:datastoreItem xmlns:ds="http://schemas.openxmlformats.org/officeDocument/2006/customXml" ds:itemID="{E897FC12-1453-4549-B536-9288B6D1A9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Michelle Pascoe</dc:creator>
  <keywords/>
  <dc:description/>
  <lastModifiedBy>Zoe Waitz</lastModifiedBy>
  <revision>7</revision>
  <dcterms:created xsi:type="dcterms:W3CDTF">2025-10-10T09:52:00.0000000Z</dcterms:created>
  <dcterms:modified xsi:type="dcterms:W3CDTF">2025-10-15T12:45:04.3441423Z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y fmtid="{D5CDD505-2E9C-101B-9397-08002B2CF9AE}" pid="3" name="MediaServiceImageTags">
    <vt:lpwstr/>
  </property>
</Properties>
</file>