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624C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74A14ED7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0A745113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75E9A1FF" w14:textId="6B5A8384" w:rsidR="001114A4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  <w:r w:rsidRPr="00E513E1">
        <w:rPr>
          <w:b/>
          <w:bCs/>
          <w:color w:val="156082" w:themeColor="accent1"/>
          <w:sz w:val="40"/>
          <w:szCs w:val="40"/>
        </w:rPr>
        <w:t>Meadow Pathways Wellbeing and Education Cornwall (MPWEC)</w:t>
      </w:r>
    </w:p>
    <w:p w14:paraId="4098E7B5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59CD3D2F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7371F904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05434797" w14:textId="77777777" w:rsidR="00E513E1" w:rsidRP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068406B4" w14:textId="77777777" w:rsidR="00E513E1" w:rsidRPr="00E513E1" w:rsidRDefault="00E513E1" w:rsidP="00E513E1">
      <w:pPr>
        <w:jc w:val="center"/>
        <w:rPr>
          <w:color w:val="156082" w:themeColor="accent1"/>
          <w:sz w:val="40"/>
          <w:szCs w:val="40"/>
        </w:rPr>
      </w:pPr>
    </w:p>
    <w:p w14:paraId="6BA96EA8" w14:textId="77777777" w:rsidR="00E513E1" w:rsidRPr="00E513E1" w:rsidRDefault="00E513E1" w:rsidP="00E513E1">
      <w:pPr>
        <w:jc w:val="center"/>
        <w:rPr>
          <w:color w:val="156082" w:themeColor="accent1"/>
          <w:sz w:val="40"/>
          <w:szCs w:val="40"/>
        </w:rPr>
      </w:pPr>
    </w:p>
    <w:p w14:paraId="4E929800" w14:textId="77777777" w:rsidR="00E513E1" w:rsidRP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2B1FCE1D" w14:textId="199B3A4B" w:rsidR="00E513E1" w:rsidRPr="00E513E1" w:rsidRDefault="00AB20A1" w:rsidP="00E513E1">
      <w:pPr>
        <w:jc w:val="center"/>
        <w:rPr>
          <w:b/>
          <w:bCs/>
          <w:color w:val="156082" w:themeColor="accent1"/>
        </w:rPr>
      </w:pPr>
      <w:r>
        <w:rPr>
          <w:b/>
          <w:bCs/>
          <w:color w:val="156082" w:themeColor="accent1"/>
          <w:sz w:val="40"/>
          <w:szCs w:val="40"/>
        </w:rPr>
        <w:t>Staff Conduct</w:t>
      </w:r>
      <w:r w:rsidR="00CA6A92" w:rsidRPr="00CA6A92">
        <w:rPr>
          <w:b/>
          <w:bCs/>
          <w:color w:val="156082" w:themeColor="accent1"/>
          <w:sz w:val="40"/>
          <w:szCs w:val="40"/>
        </w:rPr>
        <w:t xml:space="preserve"> </w:t>
      </w:r>
      <w:r w:rsidR="00CA6A92" w:rsidRPr="00E513E1">
        <w:rPr>
          <w:b/>
          <w:bCs/>
          <w:color w:val="156082" w:themeColor="accent1"/>
          <w:sz w:val="40"/>
          <w:szCs w:val="40"/>
        </w:rPr>
        <w:t>Policy</w:t>
      </w:r>
      <w:r w:rsidR="00CA6A92">
        <w:rPr>
          <w:b/>
          <w:bCs/>
          <w:color w:val="156082" w:themeColor="accent1"/>
        </w:rPr>
        <w:br/>
      </w:r>
      <w:r w:rsidR="00E513E1" w:rsidRPr="00E513E1">
        <w:rPr>
          <w:b/>
          <w:bCs/>
          <w:color w:val="156082" w:themeColor="accent1"/>
          <w:sz w:val="40"/>
          <w:szCs w:val="40"/>
        </w:rPr>
        <w:t xml:space="preserve">Education other than at School (EOTAS) </w:t>
      </w:r>
      <w:r w:rsidR="00E513E1">
        <w:rPr>
          <w:b/>
          <w:bCs/>
          <w:color w:val="156082" w:themeColor="accent1"/>
        </w:rPr>
        <w:br/>
      </w:r>
    </w:p>
    <w:p w14:paraId="1817923D" w14:textId="68E328BA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i/>
          <w:iCs/>
          <w:color w:val="156082" w:themeColor="accent1"/>
          <w:sz w:val="22"/>
          <w:szCs w:val="22"/>
          <w:lang w:val="en-US"/>
        </w:rPr>
        <w:t>Responsibility to update:</w:t>
      </w: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t xml:space="preserve"> Zoe Waitz and Michelle Pascoe</w:t>
      </w:r>
    </w:p>
    <w:p w14:paraId="5B51E442" w14:textId="093A257D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i/>
          <w:iCs/>
          <w:color w:val="156082" w:themeColor="accent1"/>
          <w:sz w:val="22"/>
          <w:szCs w:val="22"/>
          <w:lang w:val="en-US"/>
        </w:rPr>
        <w:t>Applies to:</w:t>
      </w: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t xml:space="preserve"> All staff, contractors, volunteers and visiting professionals working with children and young people (CYP) engaged in Meadow Pathways EOTAS packages (including tuition in homes, community venues and online).</w:t>
      </w:r>
      <w:r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br/>
      </w:r>
      <w:r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br/>
      </w:r>
    </w:p>
    <w:p w14:paraId="3CBA6292" w14:textId="6ED241B0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color w:val="156082" w:themeColor="accent1"/>
        </w:rPr>
        <w:br/>
      </w: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</w:rPr>
        <w:t>Version No: 1</w:t>
      </w:r>
    </w:p>
    <w:p w14:paraId="55645780" w14:textId="132EF68D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</w:rPr>
        <w:t>Date: September 2025</w:t>
      </w:r>
    </w:p>
    <w:p w14:paraId="057DA8E3" w14:textId="77777777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</w:rPr>
        <w:t>Review Date: September 2026</w:t>
      </w:r>
    </w:p>
    <w:p w14:paraId="67AB37F8" w14:textId="40C4C8B5" w:rsidR="00E513E1" w:rsidRDefault="00E513E1" w:rsidP="00E513E1">
      <w:pPr>
        <w:jc w:val="center"/>
        <w:rPr>
          <w:color w:val="156082" w:themeColor="accent1"/>
        </w:rPr>
      </w:pPr>
    </w:p>
    <w:p w14:paraId="128C7CE1" w14:textId="77777777" w:rsidR="005342F9" w:rsidRDefault="005342F9" w:rsidP="00E513E1">
      <w:pPr>
        <w:jc w:val="center"/>
        <w:rPr>
          <w:color w:val="156082" w:themeColor="accent1"/>
        </w:rPr>
      </w:pPr>
    </w:p>
    <w:p w14:paraId="2E3C81A8" w14:textId="77777777" w:rsidR="005342F9" w:rsidRDefault="005342F9" w:rsidP="00E513E1">
      <w:pPr>
        <w:jc w:val="center"/>
        <w:rPr>
          <w:color w:val="156082" w:themeColor="accent1"/>
        </w:rPr>
      </w:pPr>
    </w:p>
    <w:p w14:paraId="7BF88E8F" w14:textId="75E70198" w:rsidR="00AB20A1" w:rsidRDefault="005342F9" w:rsidP="00AB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342F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lastRenderedPageBreak/>
        <w:t>Introduction</w:t>
      </w:r>
      <w:r w:rsidR="003B369B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br/>
      </w:r>
      <w:r>
        <w:rPr>
          <w:rStyle w:val="normaltextrun"/>
          <w:rFonts w:ascii="Aptos" w:eastAsiaTheme="majorEastAsia" w:hAnsi="Aptos" w:cs="Segoe UI"/>
          <w:sz w:val="22"/>
          <w:szCs w:val="22"/>
        </w:rPr>
        <w:br/>
      </w:r>
      <w:r w:rsid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This Staff Conduct Policy outlines the standards of </w:t>
      </w:r>
      <w:proofErr w:type="spellStart"/>
      <w:r w:rsidR="00AB20A1">
        <w:rPr>
          <w:rStyle w:val="normaltextrun"/>
          <w:rFonts w:ascii="Aptos" w:eastAsiaTheme="majorEastAsia" w:hAnsi="Aptos" w:cs="Segoe UI"/>
          <w:color w:val="000000"/>
          <w:sz w:val="22"/>
          <w:szCs w:val="22"/>
          <w:shd w:val="clear" w:color="auto" w:fill="FFE5E5"/>
          <w:lang w:val="en-US"/>
        </w:rPr>
        <w:t>behaviour</w:t>
      </w:r>
      <w:proofErr w:type="spellEnd"/>
      <w:r w:rsid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 expected of all staff working at Meadow Pathways Cornwall. </w:t>
      </w:r>
      <w:r w:rsidR="00AB20A1"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 w:rsidR="00AB20A1">
        <w:rPr>
          <w:rFonts w:ascii="Aptos" w:hAnsi="Aptos" w:cs="Segoe UI"/>
          <w:sz w:val="22"/>
          <w:szCs w:val="22"/>
        </w:rPr>
        <w:br/>
      </w:r>
      <w:r w:rsid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It is based on statutory guidance including Keeping Children Safe in Education (KCSIE) and Working Together to Safeguard Children. </w:t>
      </w:r>
      <w:r w:rsidR="00AB20A1"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 w:rsidR="00AB20A1">
        <w:rPr>
          <w:rFonts w:ascii="Aptos" w:hAnsi="Aptos" w:cs="Segoe UI"/>
          <w:sz w:val="22"/>
          <w:szCs w:val="22"/>
        </w:rPr>
        <w:br/>
      </w:r>
      <w:r w:rsid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All staff must understand and adhere to this policy to maintain the highest standards of safeguarding, professionalism, and ethical </w:t>
      </w:r>
      <w:proofErr w:type="spellStart"/>
      <w:r w:rsid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behaviour</w:t>
      </w:r>
      <w:proofErr w:type="spellEnd"/>
      <w:r w:rsid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.</w:t>
      </w:r>
      <w:r w:rsidR="00AB20A1"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 w:rsidR="00AB20A1">
        <w:rPr>
          <w:rFonts w:ascii="Aptos" w:hAnsi="Aptos" w:cs="Segoe UI"/>
          <w:sz w:val="22"/>
          <w:szCs w:val="22"/>
        </w:rPr>
        <w:br/>
      </w:r>
      <w:r w:rsidR="00AB20A1">
        <w:rPr>
          <w:rStyle w:val="scxw92071698"/>
          <w:rFonts w:ascii="Cambria" w:eastAsiaTheme="majorEastAsia" w:hAnsi="Cambria" w:cs="Segoe UI"/>
          <w:sz w:val="22"/>
          <w:szCs w:val="22"/>
        </w:rPr>
        <w:t> </w:t>
      </w:r>
      <w:r w:rsidR="00AB20A1">
        <w:rPr>
          <w:rFonts w:ascii="Cambria" w:hAnsi="Cambria" w:cs="Segoe UI"/>
          <w:sz w:val="22"/>
          <w:szCs w:val="22"/>
        </w:rPr>
        <w:br/>
      </w:r>
      <w:r w:rsidR="00AB20A1"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Purpose</w:t>
      </w:r>
      <w:r w:rsidR="00AB20A1"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u w:val="single"/>
        </w:rPr>
        <w:t> </w:t>
      </w:r>
      <w:r w:rsidR="00AB20A1">
        <w:rPr>
          <w:rStyle w:val="eop"/>
          <w:rFonts w:ascii="Calibri" w:eastAsiaTheme="majorEastAsia" w:hAnsi="Calibri" w:cs="Calibri"/>
          <w:color w:val="4F6228"/>
          <w:sz w:val="22"/>
          <w:szCs w:val="22"/>
        </w:rPr>
        <w:br/>
      </w:r>
    </w:p>
    <w:p w14:paraId="72802F92" w14:textId="77777777" w:rsidR="00AB20A1" w:rsidRP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i/>
          <w:iCs/>
          <w:sz w:val="22"/>
          <w:szCs w:val="22"/>
        </w:rPr>
      </w:pPr>
      <w:r w:rsidRPr="00AB20A1">
        <w:rPr>
          <w:rStyle w:val="normaltextrun"/>
          <w:rFonts w:ascii="Aptos" w:eastAsiaTheme="majorEastAsia" w:hAnsi="Aptos" w:cs="Segoe UI"/>
          <w:i/>
          <w:iCs/>
          <w:sz w:val="22"/>
          <w:szCs w:val="22"/>
          <w:lang w:val="en-US"/>
        </w:rPr>
        <w:t>The purpose of this policy is to:</w:t>
      </w:r>
      <w:r w:rsidRPr="00AB20A1">
        <w:rPr>
          <w:rStyle w:val="scxw92071698"/>
          <w:rFonts w:ascii="Aptos" w:eastAsiaTheme="majorEastAsia" w:hAnsi="Aptos" w:cs="Segoe UI"/>
          <w:i/>
          <w:iCs/>
          <w:sz w:val="22"/>
          <w:szCs w:val="22"/>
        </w:rPr>
        <w:t> </w:t>
      </w:r>
    </w:p>
    <w:p w14:paraId="3D660CF2" w14:textId="77777777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</w:p>
    <w:p w14:paraId="122993D1" w14:textId="77777777" w:rsidR="00AB20A1" w:rsidRPr="00AB20A1" w:rsidRDefault="00AB20A1" w:rsidP="00AB20A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scxw92071698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Promote safe and positive relationships between staff and learners.</w:t>
      </w:r>
    </w:p>
    <w:p w14:paraId="1BDE3A96" w14:textId="77777777" w:rsidR="00AB20A1" w:rsidRPr="00AB20A1" w:rsidRDefault="00AB20A1" w:rsidP="00AB20A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Safeguard children and young people from harm.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14219BF5" w14:textId="77777777" w:rsidR="00AB20A1" w:rsidRDefault="00AB20A1" w:rsidP="00AB20A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Uphold Meadow Pathways values of respect, care, and inclusion.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64FABDC0" w14:textId="024E654A" w:rsidR="00AB20A1" w:rsidRPr="00AB20A1" w:rsidRDefault="00AB20A1" w:rsidP="00AB20A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B20A1"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Ensure staff are aware of professional boundaries and responsibilities.</w:t>
      </w:r>
      <w:r w:rsidRPr="00AB20A1"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br/>
      </w:r>
    </w:p>
    <w:p w14:paraId="0981F04D" w14:textId="0DCF4E47" w:rsidR="00AB20A1" w:rsidRPr="00AB20A1" w:rsidRDefault="00AB20A1" w:rsidP="00AB20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  <w:b/>
          <w:bCs/>
          <w:color w:val="156082" w:themeColor="accent1"/>
          <w:sz w:val="22"/>
          <w:szCs w:val="22"/>
          <w:u w:val="single"/>
        </w:rPr>
      </w:pP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Expectations of Staff Conduct</w:t>
      </w:r>
      <w:r w:rsidRPr="00AB20A1">
        <w:rPr>
          <w:rStyle w:val="normaltextrun"/>
          <w:rFonts w:eastAsiaTheme="majorEastAsia"/>
          <w:b/>
          <w:bCs/>
          <w:color w:val="156082" w:themeColor="accent1"/>
          <w:u w:val="single"/>
        </w:rPr>
        <w:t> </w:t>
      </w:r>
      <w:r w:rsidRPr="00AB20A1">
        <w:rPr>
          <w:rStyle w:val="normaltextrun"/>
          <w:rFonts w:eastAsiaTheme="majorEastAsia"/>
          <w:b/>
          <w:bCs/>
          <w:color w:val="156082" w:themeColor="accent1"/>
          <w:u w:val="single"/>
        </w:rPr>
        <w:br/>
      </w:r>
    </w:p>
    <w:p w14:paraId="145B4609" w14:textId="77777777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 w:rsidRPr="00AB20A1">
        <w:rPr>
          <w:rStyle w:val="normaltextrun"/>
          <w:rFonts w:ascii="Aptos" w:eastAsiaTheme="majorEastAsia" w:hAnsi="Aptos" w:cs="Segoe UI"/>
          <w:i/>
          <w:iCs/>
          <w:sz w:val="22"/>
          <w:szCs w:val="22"/>
          <w:lang w:val="en-US"/>
        </w:rPr>
        <w:t>All staff must: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218E3315" w14:textId="77777777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</w:p>
    <w:p w14:paraId="570FC29D" w14:textId="77777777" w:rsidR="00AB20A1" w:rsidRP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Act in the best interests of children at all times.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08C0FAEF" w14:textId="77777777" w:rsidR="00AB20A1" w:rsidRP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Treat all learners with dignity and respect.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7D753D61" w14:textId="77777777" w:rsidR="00AB20A1" w:rsidRP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Report any concerns about a child’s welfare immediately to the Designated Safeguarding Lead (DSL).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58A96B68" w14:textId="77777777" w:rsidR="00AB20A1" w:rsidRP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Maintain appropriate professional boundaries in person and online.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38A70A91" w14:textId="77777777" w:rsidR="00AB20A1" w:rsidRP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Avoid any 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behaviour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 that could be perceived as favoritism or inappropriate.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7A7B4879" w14:textId="77777777" w:rsidR="00AB20A1" w:rsidRP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Communicate with children and families in a respectful, professional manner.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71F4A075" w14:textId="0E0BB858" w:rsidR="00AB20A1" w:rsidRDefault="00AB20A1" w:rsidP="00AB20A1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Ensure all learning and interaction spaces are safe, inclusive and supportive.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br/>
      </w:r>
    </w:p>
    <w:p w14:paraId="58EC6043" w14:textId="50BCAC4D" w:rsidR="00AB20A1" w:rsidRPr="00AB20A1" w:rsidRDefault="00AB20A1" w:rsidP="00AB20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  <w:b/>
          <w:bCs/>
          <w:color w:val="156082" w:themeColor="accent1"/>
          <w:sz w:val="22"/>
          <w:szCs w:val="22"/>
          <w:u w:val="single"/>
        </w:rPr>
      </w:pP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Use of Personal Mobile Phones and Devices</w:t>
      </w:r>
      <w:r w:rsidRPr="00AB20A1">
        <w:rPr>
          <w:rStyle w:val="normaltextrun"/>
          <w:rFonts w:eastAsiaTheme="majorEastAsia"/>
          <w:b/>
          <w:bCs/>
          <w:color w:val="156082" w:themeColor="accent1"/>
          <w:u w:val="single"/>
        </w:rPr>
        <w:t> </w:t>
      </w:r>
    </w:p>
    <w:p w14:paraId="0A386E82" w14:textId="3936A79C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scxw92071698"/>
          <w:rFonts w:ascii="Cambria" w:eastAsiaTheme="majorEastAs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Due to the community-based nature of Meadow Pathways, staff may use personal phones in the course of their work.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scxw92071698"/>
          <w:rFonts w:ascii="Cambria" w:eastAsiaTheme="majorEastAs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 w:rsidRPr="00AB20A1">
        <w:rPr>
          <w:rStyle w:val="normaltextrun"/>
          <w:rFonts w:ascii="Aptos" w:eastAsiaTheme="majorEastAsia" w:hAnsi="Aptos" w:cs="Segoe UI"/>
          <w:i/>
          <w:iCs/>
          <w:sz w:val="22"/>
          <w:szCs w:val="22"/>
          <w:lang w:val="en-US"/>
        </w:rPr>
        <w:t>To protect children and staff: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br/>
      </w:r>
    </w:p>
    <w:p w14:paraId="4D420831" w14:textId="77777777" w:rsidR="00AB20A1" w:rsidRPr="00AB20A1" w:rsidRDefault="00AB20A1" w:rsidP="00AB20A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Personal devices must only be used in line with this policy and for work purposes.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793646B2" w14:textId="77777777" w:rsidR="00AB20A1" w:rsidRPr="00AB20A1" w:rsidRDefault="00AB20A1" w:rsidP="00AB20A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No photographs or recordings of learners are to be taken on personal devices.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297608D9" w14:textId="77777777" w:rsidR="00AB20A1" w:rsidRPr="00AB20A1" w:rsidRDefault="00AB20A1" w:rsidP="00AB20A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Personal devices used must have filtering and appropriate security settings enabled.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0973C419" w14:textId="77777777" w:rsidR="00AB20A1" w:rsidRPr="00AB20A1" w:rsidRDefault="00AB20A1" w:rsidP="00AB20A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Staff must never share personal numbers with learners.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797DB7BB" w14:textId="343FFAA0" w:rsidR="00AB20A1" w:rsidRPr="00AB20A1" w:rsidRDefault="00AB20A1" w:rsidP="00AB20A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Work-related communication must be professional and documented where appropriate.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br/>
      </w:r>
    </w:p>
    <w:p w14:paraId="7F35BD35" w14:textId="05E21F30" w:rsidR="00AB20A1" w:rsidRP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56082" w:themeColor="accent1"/>
          <w:sz w:val="18"/>
          <w:szCs w:val="18"/>
          <w:u w:val="single"/>
        </w:rPr>
      </w:pP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  <w:lang w:val="en-US"/>
        </w:rPr>
        <w:t>Saf</w:t>
      </w: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eguarding Responsibilities</w:t>
      </w:r>
      <w:r w:rsidRPr="00AB20A1">
        <w:rPr>
          <w:rStyle w:val="normaltextrun"/>
          <w:rFonts w:eastAsiaTheme="majorEastAsia"/>
          <w:b/>
          <w:bCs/>
          <w:color w:val="156082" w:themeColor="accent1"/>
          <w:u w:val="single"/>
        </w:rPr>
        <w:t> </w:t>
      </w:r>
    </w:p>
    <w:p w14:paraId="638029D0" w14:textId="77777777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i/>
          <w:iCs/>
          <w:sz w:val="22"/>
          <w:szCs w:val="22"/>
        </w:rPr>
      </w:pPr>
      <w:r>
        <w:rPr>
          <w:rFonts w:ascii="Cambria" w:hAnsi="Cambria" w:cs="Segoe UI"/>
          <w:sz w:val="22"/>
          <w:szCs w:val="22"/>
        </w:rPr>
        <w:br/>
      </w:r>
      <w:r w:rsidRPr="00AB20A1">
        <w:rPr>
          <w:rStyle w:val="normaltextrun"/>
          <w:rFonts w:ascii="Aptos" w:eastAsiaTheme="majorEastAsia" w:hAnsi="Aptos" w:cs="Segoe UI"/>
          <w:i/>
          <w:iCs/>
          <w:sz w:val="22"/>
          <w:szCs w:val="22"/>
          <w:lang w:val="en-US"/>
        </w:rPr>
        <w:t>All staff are responsible for ensuring they:</w:t>
      </w:r>
      <w:r w:rsidRPr="00AB20A1">
        <w:rPr>
          <w:rStyle w:val="scxw92071698"/>
          <w:rFonts w:ascii="Aptos" w:eastAsiaTheme="majorEastAsia" w:hAnsi="Aptos" w:cs="Segoe UI"/>
          <w:i/>
          <w:iCs/>
          <w:sz w:val="22"/>
          <w:szCs w:val="22"/>
        </w:rPr>
        <w:t> </w:t>
      </w:r>
    </w:p>
    <w:p w14:paraId="5D26C4C1" w14:textId="77777777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i/>
          <w:iCs/>
          <w:sz w:val="22"/>
          <w:szCs w:val="22"/>
        </w:rPr>
      </w:pPr>
    </w:p>
    <w:p w14:paraId="1CC15519" w14:textId="77777777" w:rsidR="00AB20A1" w:rsidRPr="00AB20A1" w:rsidRDefault="00AB20A1" w:rsidP="00AB20A1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Understand and follow the latest statutory safeguarding guidance.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670C7ED9" w14:textId="77777777" w:rsidR="00AB20A1" w:rsidRPr="00AB20A1" w:rsidRDefault="00AB20A1" w:rsidP="00AB20A1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 xml:space="preserve"> Complete relevant safeguarding and child protection training annually.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217416E1" w14:textId="77777777" w:rsidR="00AB20A1" w:rsidRPr="00AB20A1" w:rsidRDefault="00AB20A1" w:rsidP="00AB20A1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Report safeguarding concerns without delay to the DSL, Michelle Pascoe.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</w:p>
    <w:p w14:paraId="150B2F92" w14:textId="692CB30D" w:rsidR="00AB20A1" w:rsidRPr="00AB20A1" w:rsidRDefault="00AB20A1" w:rsidP="00AB20A1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lastRenderedPageBreak/>
        <w:t>Cooperate fully with any investigations or reviews regarding staff conduct or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safeguarding.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br/>
      </w:r>
    </w:p>
    <w:p w14:paraId="4BA89669" w14:textId="73D03196" w:rsidR="00AB20A1" w:rsidRP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  <w:lang w:val="en-US"/>
        </w:rPr>
        <w:t>Confidentiality</w:t>
      </w:r>
      <w:r w:rsidRPr="00AB20A1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AB20A1">
        <w:rPr>
          <w:rStyle w:val="eop"/>
          <w:rFonts w:ascii="Aptos" w:eastAsiaTheme="majorEastAsia" w:hAnsi="Aptos" w:cs="Segoe UI"/>
          <w:color w:val="4F6228"/>
          <w:sz w:val="22"/>
          <w:szCs w:val="22"/>
          <w:u w:val="single"/>
        </w:rPr>
        <w:br/>
      </w:r>
    </w:p>
    <w:p w14:paraId="1D9F133D" w14:textId="3A95DD3D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Staff must maintain confidentiality at all times. Information about learners or staff must not be shared unless there is a safeguarding concern or a legal requirement to do so. Conversations or observations about learners must not be discussed outside of work or on social media.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scxw92071698"/>
          <w:rFonts w:ascii="Cambria" w:eastAsiaTheme="majorEastAs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  <w:lang w:val="en-US"/>
        </w:rPr>
        <w:t>Breaches of the Policy</w:t>
      </w:r>
      <w:r w:rsidRPr="00AB20A1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color w:val="4F6228"/>
          <w:sz w:val="22"/>
          <w:szCs w:val="22"/>
        </w:rPr>
        <w:br/>
      </w:r>
    </w:p>
    <w:p w14:paraId="7AB1BD82" w14:textId="0CDABD0D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Breaches of this policy will be taken seriously and may result in disciplinary action. Serious misconduct may lead to suspension or dismissal.</w:t>
      </w:r>
      <w:r>
        <w:rPr>
          <w:rStyle w:val="scxw92071698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scxw92071698"/>
          <w:rFonts w:ascii="Cambria" w:eastAsiaTheme="majorEastAs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 w:rsidRPr="00AB20A1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  <w:lang w:val="en-US"/>
        </w:rPr>
        <w:t>Declaration</w:t>
      </w:r>
      <w:r w:rsidRPr="00AB20A1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</w:p>
    <w:p w14:paraId="0FC026D4" w14:textId="77777777" w:rsidR="00AB20A1" w:rsidRDefault="00AB20A1" w:rsidP="00AB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2071698"/>
          <w:rFonts w:ascii="Cambria" w:eastAsiaTheme="majorEastAsia" w:hAnsi="Cambria" w:cs="Segoe UI"/>
          <w:sz w:val="22"/>
          <w:szCs w:val="22"/>
        </w:rPr>
        <w:t> </w:t>
      </w:r>
      <w:r>
        <w:rPr>
          <w:rFonts w:ascii="Cambria" w:hAnsi="Cambria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sz w:val="22"/>
          <w:szCs w:val="22"/>
          <w:lang w:val="en-US"/>
        </w:rPr>
        <w:t>All staff must read, understand, and sign their agreement to comply with this Staff Conduct Policy. A signed copy will be retained on each employee’s file.</w:t>
      </w:r>
    </w:p>
    <w:p w14:paraId="34BC764B" w14:textId="599E5D91" w:rsidR="001C6749" w:rsidRDefault="001C6749" w:rsidP="009365BA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</w:p>
    <w:p w14:paraId="12A53E14" w14:textId="3D12E9EC" w:rsidR="004C5943" w:rsidRDefault="004C5943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1E44F2" w14:textId="684B48B3" w:rsidR="005342F9" w:rsidRDefault="005342F9" w:rsidP="004C5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41D7F3" w14:textId="77777777" w:rsidR="005342F9" w:rsidRPr="00E513E1" w:rsidRDefault="005342F9" w:rsidP="00E513E1">
      <w:pPr>
        <w:jc w:val="center"/>
        <w:rPr>
          <w:color w:val="156082" w:themeColor="accent1"/>
        </w:rPr>
      </w:pPr>
    </w:p>
    <w:sectPr w:rsidR="005342F9" w:rsidRPr="00E513E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EBE52" w14:textId="77777777" w:rsidR="003A11D1" w:rsidRDefault="003A11D1" w:rsidP="00E513E1">
      <w:pPr>
        <w:spacing w:after="0" w:line="240" w:lineRule="auto"/>
      </w:pPr>
      <w:r>
        <w:separator/>
      </w:r>
    </w:p>
  </w:endnote>
  <w:endnote w:type="continuationSeparator" w:id="0">
    <w:p w14:paraId="24D51875" w14:textId="77777777" w:rsidR="003A11D1" w:rsidRDefault="003A11D1" w:rsidP="00E5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C27A1" w14:textId="0AF4F96B" w:rsidR="00E513E1" w:rsidRPr="00E513E1" w:rsidRDefault="00E513E1">
    <w:pPr>
      <w:pStyle w:val="Footer"/>
      <w:rPr>
        <w:color w:val="156082" w:themeColor="accent1"/>
      </w:rPr>
    </w:pPr>
    <w:r w:rsidRPr="00E513E1">
      <w:rPr>
        <w:color w:val="156082" w:themeColor="accent1"/>
      </w:rPr>
      <w:t xml:space="preserve">MPWEC </w:t>
    </w:r>
    <w:r w:rsidR="00AB20A1">
      <w:rPr>
        <w:color w:val="156082" w:themeColor="accent1"/>
      </w:rPr>
      <w:t>Staff Conduct</w:t>
    </w:r>
    <w:r w:rsidRPr="00E513E1">
      <w:rPr>
        <w:color w:val="156082" w:themeColor="accent1"/>
      </w:rPr>
      <w:t xml:space="preserve"> Policy – September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64EAF" w14:textId="77777777" w:rsidR="003A11D1" w:rsidRDefault="003A11D1" w:rsidP="00E513E1">
      <w:pPr>
        <w:spacing w:after="0" w:line="240" w:lineRule="auto"/>
      </w:pPr>
      <w:r>
        <w:separator/>
      </w:r>
    </w:p>
  </w:footnote>
  <w:footnote w:type="continuationSeparator" w:id="0">
    <w:p w14:paraId="33AD96DA" w14:textId="77777777" w:rsidR="003A11D1" w:rsidRDefault="003A11D1" w:rsidP="00E51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238"/>
    <w:multiLevelType w:val="multilevel"/>
    <w:tmpl w:val="5D8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22E1C"/>
    <w:multiLevelType w:val="hybridMultilevel"/>
    <w:tmpl w:val="5276C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7DF1"/>
    <w:multiLevelType w:val="multilevel"/>
    <w:tmpl w:val="99C8F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837149"/>
    <w:multiLevelType w:val="multilevel"/>
    <w:tmpl w:val="791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44402"/>
    <w:multiLevelType w:val="multilevel"/>
    <w:tmpl w:val="835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A17E43"/>
    <w:multiLevelType w:val="multilevel"/>
    <w:tmpl w:val="6EA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471B6"/>
    <w:multiLevelType w:val="multilevel"/>
    <w:tmpl w:val="67D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D46F3A"/>
    <w:multiLevelType w:val="multilevel"/>
    <w:tmpl w:val="8CB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C383C"/>
    <w:multiLevelType w:val="hybridMultilevel"/>
    <w:tmpl w:val="403C9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431E8"/>
    <w:multiLevelType w:val="multilevel"/>
    <w:tmpl w:val="855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A749F"/>
    <w:multiLevelType w:val="multilevel"/>
    <w:tmpl w:val="895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6D0B7F"/>
    <w:multiLevelType w:val="multilevel"/>
    <w:tmpl w:val="541AC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A0B758B"/>
    <w:multiLevelType w:val="hybridMultilevel"/>
    <w:tmpl w:val="344A7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24F"/>
    <w:multiLevelType w:val="multilevel"/>
    <w:tmpl w:val="92B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45BF5"/>
    <w:multiLevelType w:val="multilevel"/>
    <w:tmpl w:val="43B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76141"/>
    <w:multiLevelType w:val="multilevel"/>
    <w:tmpl w:val="B02E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02324"/>
    <w:multiLevelType w:val="multilevel"/>
    <w:tmpl w:val="A0D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EB5669"/>
    <w:multiLevelType w:val="multilevel"/>
    <w:tmpl w:val="93A2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FF3E6E"/>
    <w:multiLevelType w:val="multilevel"/>
    <w:tmpl w:val="A9F82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4EA557D"/>
    <w:multiLevelType w:val="multilevel"/>
    <w:tmpl w:val="E6F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147D1E"/>
    <w:multiLevelType w:val="multilevel"/>
    <w:tmpl w:val="564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DB476D"/>
    <w:multiLevelType w:val="multilevel"/>
    <w:tmpl w:val="D0A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865482"/>
    <w:multiLevelType w:val="multilevel"/>
    <w:tmpl w:val="98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97C9F"/>
    <w:multiLevelType w:val="hybridMultilevel"/>
    <w:tmpl w:val="407C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E1793"/>
    <w:multiLevelType w:val="multilevel"/>
    <w:tmpl w:val="54E8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C43277"/>
    <w:multiLevelType w:val="multilevel"/>
    <w:tmpl w:val="74F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5B2136"/>
    <w:multiLevelType w:val="multilevel"/>
    <w:tmpl w:val="855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0B7026"/>
    <w:multiLevelType w:val="hybridMultilevel"/>
    <w:tmpl w:val="57280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F02D7"/>
    <w:multiLevelType w:val="multilevel"/>
    <w:tmpl w:val="04C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E75199"/>
    <w:multiLevelType w:val="multilevel"/>
    <w:tmpl w:val="316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3F3C73"/>
    <w:multiLevelType w:val="multilevel"/>
    <w:tmpl w:val="939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E210D5"/>
    <w:multiLevelType w:val="multilevel"/>
    <w:tmpl w:val="CC30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135819"/>
    <w:multiLevelType w:val="hybridMultilevel"/>
    <w:tmpl w:val="1DDCD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4931">
    <w:abstractNumId w:val="28"/>
  </w:num>
  <w:num w:numId="2" w16cid:durableId="616331169">
    <w:abstractNumId w:val="9"/>
  </w:num>
  <w:num w:numId="3" w16cid:durableId="1046098107">
    <w:abstractNumId w:val="7"/>
  </w:num>
  <w:num w:numId="4" w16cid:durableId="384916832">
    <w:abstractNumId w:val="13"/>
  </w:num>
  <w:num w:numId="5" w16cid:durableId="1508474766">
    <w:abstractNumId w:val="22"/>
  </w:num>
  <w:num w:numId="6" w16cid:durableId="152726068">
    <w:abstractNumId w:val="17"/>
  </w:num>
  <w:num w:numId="7" w16cid:durableId="689333951">
    <w:abstractNumId w:val="5"/>
  </w:num>
  <w:num w:numId="8" w16cid:durableId="325323265">
    <w:abstractNumId w:val="3"/>
  </w:num>
  <w:num w:numId="9" w16cid:durableId="2097363483">
    <w:abstractNumId w:val="0"/>
  </w:num>
  <w:num w:numId="10" w16cid:durableId="572542396">
    <w:abstractNumId w:val="24"/>
  </w:num>
  <w:num w:numId="11" w16cid:durableId="770593372">
    <w:abstractNumId w:val="31"/>
  </w:num>
  <w:num w:numId="12" w16cid:durableId="456335912">
    <w:abstractNumId w:val="20"/>
  </w:num>
  <w:num w:numId="13" w16cid:durableId="651301164">
    <w:abstractNumId w:val="6"/>
  </w:num>
  <w:num w:numId="14" w16cid:durableId="975135763">
    <w:abstractNumId w:val="29"/>
  </w:num>
  <w:num w:numId="15" w16cid:durableId="1363676849">
    <w:abstractNumId w:val="30"/>
  </w:num>
  <w:num w:numId="16" w16cid:durableId="814562474">
    <w:abstractNumId w:val="14"/>
  </w:num>
  <w:num w:numId="17" w16cid:durableId="1983384223">
    <w:abstractNumId w:val="2"/>
  </w:num>
  <w:num w:numId="18" w16cid:durableId="560673823">
    <w:abstractNumId w:val="11"/>
  </w:num>
  <w:num w:numId="19" w16cid:durableId="774255614">
    <w:abstractNumId w:val="18"/>
  </w:num>
  <w:num w:numId="20" w16cid:durableId="1997567542">
    <w:abstractNumId w:val="16"/>
  </w:num>
  <w:num w:numId="21" w16cid:durableId="1483153969">
    <w:abstractNumId w:val="19"/>
  </w:num>
  <w:num w:numId="22" w16cid:durableId="1970432073">
    <w:abstractNumId w:val="21"/>
  </w:num>
  <w:num w:numId="23" w16cid:durableId="1185099219">
    <w:abstractNumId w:val="26"/>
  </w:num>
  <w:num w:numId="24" w16cid:durableId="2041779455">
    <w:abstractNumId w:val="15"/>
  </w:num>
  <w:num w:numId="25" w16cid:durableId="1302347452">
    <w:abstractNumId w:val="10"/>
  </w:num>
  <w:num w:numId="26" w16cid:durableId="1657611943">
    <w:abstractNumId w:val="25"/>
  </w:num>
  <w:num w:numId="27" w16cid:durableId="1832019500">
    <w:abstractNumId w:val="4"/>
  </w:num>
  <w:num w:numId="28" w16cid:durableId="1816216386">
    <w:abstractNumId w:val="1"/>
  </w:num>
  <w:num w:numId="29" w16cid:durableId="710686940">
    <w:abstractNumId w:val="32"/>
  </w:num>
  <w:num w:numId="30" w16cid:durableId="100685802">
    <w:abstractNumId w:val="23"/>
  </w:num>
  <w:num w:numId="31" w16cid:durableId="1223371836">
    <w:abstractNumId w:val="8"/>
  </w:num>
  <w:num w:numId="32" w16cid:durableId="1343126300">
    <w:abstractNumId w:val="12"/>
  </w:num>
  <w:num w:numId="33" w16cid:durableId="1302152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E1"/>
    <w:rsid w:val="000A1196"/>
    <w:rsid w:val="001114A4"/>
    <w:rsid w:val="001C6749"/>
    <w:rsid w:val="00336430"/>
    <w:rsid w:val="003A11D1"/>
    <w:rsid w:val="003B369B"/>
    <w:rsid w:val="004375F7"/>
    <w:rsid w:val="004C5943"/>
    <w:rsid w:val="005342F9"/>
    <w:rsid w:val="009365BA"/>
    <w:rsid w:val="00AB20A1"/>
    <w:rsid w:val="00CA6A92"/>
    <w:rsid w:val="00E14DE9"/>
    <w:rsid w:val="00E513E1"/>
    <w:rsid w:val="00E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7175"/>
  <w15:chartTrackingRefBased/>
  <w15:docId w15:val="{18ACBDAB-E3BB-42E8-A479-20F50F8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3E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5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513E1"/>
  </w:style>
  <w:style w:type="character" w:customStyle="1" w:styleId="eop">
    <w:name w:val="eop"/>
    <w:basedOn w:val="DefaultParagraphFont"/>
    <w:rsid w:val="00E513E1"/>
  </w:style>
  <w:style w:type="paragraph" w:styleId="Header">
    <w:name w:val="header"/>
    <w:basedOn w:val="Normal"/>
    <w:link w:val="HeaderChar"/>
    <w:uiPriority w:val="99"/>
    <w:unhideWhenUsed/>
    <w:rsid w:val="00E5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E1"/>
  </w:style>
  <w:style w:type="paragraph" w:styleId="Footer">
    <w:name w:val="footer"/>
    <w:basedOn w:val="Normal"/>
    <w:link w:val="FooterChar"/>
    <w:uiPriority w:val="99"/>
    <w:unhideWhenUsed/>
    <w:rsid w:val="00E5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E1"/>
  </w:style>
  <w:style w:type="character" w:customStyle="1" w:styleId="tabchar">
    <w:name w:val="tabchar"/>
    <w:basedOn w:val="DefaultParagraphFont"/>
    <w:rsid w:val="005342F9"/>
  </w:style>
  <w:style w:type="character" w:customStyle="1" w:styleId="scxw28497593">
    <w:name w:val="scxw28497593"/>
    <w:basedOn w:val="DefaultParagraphFont"/>
    <w:rsid w:val="005342F9"/>
  </w:style>
  <w:style w:type="character" w:customStyle="1" w:styleId="scxw61737349">
    <w:name w:val="scxw61737349"/>
    <w:basedOn w:val="DefaultParagraphFont"/>
    <w:rsid w:val="004C5943"/>
  </w:style>
  <w:style w:type="character" w:customStyle="1" w:styleId="wacimagecontainer">
    <w:name w:val="wacimagecontainer"/>
    <w:basedOn w:val="DefaultParagraphFont"/>
    <w:rsid w:val="001C6749"/>
  </w:style>
  <w:style w:type="character" w:customStyle="1" w:styleId="scxw92071698">
    <w:name w:val="scxw92071698"/>
    <w:basedOn w:val="DefaultParagraphFont"/>
    <w:rsid w:val="00AB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165F897AC9743A97CA48E35ADB62A" ma:contentTypeVersion="10" ma:contentTypeDescription="Create a new document." ma:contentTypeScope="" ma:versionID="387916208fd2813cbcd1f95c595e1916">
  <xsd:schema xmlns:xsd="http://www.w3.org/2001/XMLSchema" xmlns:xs="http://www.w3.org/2001/XMLSchema" xmlns:p="http://schemas.microsoft.com/office/2006/metadata/properties" xmlns:ns2="f1517c99-5671-4830-8583-a0da1da8c29d" xmlns:ns3="033695fb-e41e-4539-a7ec-cd4f8ad65963" targetNamespace="http://schemas.microsoft.com/office/2006/metadata/properties" ma:root="true" ma:fieldsID="c0ed286032a49f49cb2bea539915263f" ns2:_="" ns3:_="">
    <xsd:import namespace="f1517c99-5671-4830-8583-a0da1da8c29d"/>
    <xsd:import namespace="033695fb-e41e-4539-a7ec-cd4f8ad65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c99-5671-4830-8583-a0da1da8c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770e21-d8a9-46e0-b501-6e7bf66c2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695fb-e41e-4539-a7ec-cd4f8ad65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1c57ee-9eaa-4786-9d70-0ccbf6076f2b}" ma:internalName="TaxCatchAll" ma:showField="CatchAllData" ma:web="033695fb-e41e-4539-a7ec-cd4f8ad65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517c99-5671-4830-8583-a0da1da8c29d">
      <Terms xmlns="http://schemas.microsoft.com/office/infopath/2007/PartnerControls"/>
    </lcf76f155ced4ddcb4097134ff3c332f>
    <TaxCatchAll xmlns="033695fb-e41e-4539-a7ec-cd4f8ad65963" xsi:nil="true"/>
  </documentManagement>
</p:properties>
</file>

<file path=customXml/itemProps1.xml><?xml version="1.0" encoding="utf-8"?>
<ds:datastoreItem xmlns:ds="http://schemas.openxmlformats.org/officeDocument/2006/customXml" ds:itemID="{BFA31DE5-A497-4D55-955F-B744CBBC584D}"/>
</file>

<file path=customXml/itemProps2.xml><?xml version="1.0" encoding="utf-8"?>
<ds:datastoreItem xmlns:ds="http://schemas.openxmlformats.org/officeDocument/2006/customXml" ds:itemID="{BF9B96B1-F2B6-49C2-8E4D-113E39B3F311}"/>
</file>

<file path=customXml/itemProps3.xml><?xml version="1.0" encoding="utf-8"?>
<ds:datastoreItem xmlns:ds="http://schemas.openxmlformats.org/officeDocument/2006/customXml" ds:itemID="{6D9C4CA3-6606-400B-AB1F-DFCD410CFD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Waitz</dc:creator>
  <cp:keywords/>
  <dc:description/>
  <cp:lastModifiedBy>Zoe Waitz</cp:lastModifiedBy>
  <cp:revision>2</cp:revision>
  <dcterms:created xsi:type="dcterms:W3CDTF">2025-10-19T15:55:00Z</dcterms:created>
  <dcterms:modified xsi:type="dcterms:W3CDTF">2025-10-19T15:55:00Z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0x010100752165F897AC9743A97CA48E35ADB62A</vt:lpwstr>
  </property>
</Properties>
</file>