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40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Prepared for: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left"/>
        <w:rPr>
          <w:rFonts w:ascii="Arial Narrow" w:cs="Arial Narrow" w:eastAsia="Arial Narrow" w:hAnsi="Arial Narrow"/>
          <w:b w:val="1"/>
          <w:i w:val="0"/>
          <w:smallCaps w:val="0"/>
          <w:strike w:val="0"/>
          <w:color w:val="000000"/>
          <w:sz w:val="40"/>
          <w:szCs w:val="40"/>
          <w:u w:val="none"/>
          <w:shd w:fill="auto" w:val="clear"/>
          <w:vertAlign w:val="baseline"/>
        </w:rPr>
      </w:pPr>
      <w:r w:rsidDel="00000000" w:rsidR="00000000" w:rsidRPr="00000000">
        <w:rPr>
          <w:rFonts w:ascii="Arial Narrow" w:cs="Arial Narrow" w:eastAsia="Arial Narrow" w:hAnsi="Arial Narrow"/>
          <w:b w:val="1"/>
          <w:i w:val="0"/>
          <w:smallCaps w:val="0"/>
          <w:strike w:val="0"/>
          <w:color w:val="1f497d"/>
          <w:sz w:val="40"/>
          <w:szCs w:val="40"/>
          <w:u w:val="none"/>
          <w:shd w:fill="auto" w:val="clear"/>
          <w:vertAlign w:val="baseline"/>
          <w:rtl w:val="0"/>
        </w:rPr>
        <w:t xml:space="preserve">Centers for Medicare &amp; Medicaid Services and Office of the National Coordinator for Health Information Technology</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80" w:before="400" w:line="240" w:lineRule="auto"/>
        <w:ind w:left="0" w:right="0" w:firstLine="0"/>
        <w:jc w:val="left"/>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CMS Alliance to Modernize Healthcare</w:t>
        <w:br w:type="textWrapping"/>
        <w:t xml:space="preserve">Federally Funded Research and Development Center</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Technical Authority for the Unified Clinical Quality </w:t>
        <w:br w:type="textWrapping"/>
        <w:t xml:space="preserve">Improvement Framework</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960" w:before="1080" w:line="240" w:lineRule="auto"/>
        <w:ind w:left="0" w:right="0" w:firstLine="0"/>
        <w:jc w:val="left"/>
        <w:rPr>
          <w:rFonts w:ascii="Arial Narrow" w:cs="Arial Narrow" w:eastAsia="Arial Narrow" w:hAnsi="Arial Narrow"/>
          <w:b w:val="1"/>
          <w:i w:val="0"/>
          <w:smallCaps w:val="0"/>
          <w:strike w:val="0"/>
          <w:color w:val="1f497d"/>
          <w:sz w:val="36"/>
          <w:szCs w:val="36"/>
          <w:u w:val="none"/>
          <w:shd w:fill="auto" w:val="clear"/>
          <w:vertAlign w:val="baseline"/>
        </w:rPr>
      </w:pPr>
      <w:r w:rsidDel="00000000" w:rsidR="00000000" w:rsidRPr="00000000">
        <w:rPr>
          <w:rFonts w:ascii="Arial Narrow" w:cs="Arial Narrow" w:eastAsia="Arial Narrow" w:hAnsi="Arial Narrow"/>
          <w:b w:val="1"/>
          <w:color w:val="1f497d"/>
          <w:sz w:val="46"/>
          <w:szCs w:val="46"/>
          <w:rtl w:val="0"/>
        </w:rPr>
        <w:t xml:space="preserve">Draft - </w:t>
      </w:r>
      <w:r w:rsidDel="00000000" w:rsidR="00000000" w:rsidRPr="00000000">
        <w:rPr>
          <w:rFonts w:ascii="Arial Narrow" w:cs="Arial Narrow" w:eastAsia="Arial Narrow" w:hAnsi="Arial Narrow"/>
          <w:b w:val="1"/>
          <w:i w:val="0"/>
          <w:smallCaps w:val="0"/>
          <w:strike w:val="0"/>
          <w:color w:val="1f497d"/>
          <w:sz w:val="46"/>
          <w:szCs w:val="46"/>
          <w:u w:val="none"/>
          <w:shd w:fill="auto" w:val="clear"/>
          <w:vertAlign w:val="baseline"/>
          <w:rtl w:val="0"/>
        </w:rPr>
        <w:t xml:space="preserve">Bonnie FHIR (Beta) User Guide</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rFonts w:ascii="Arial Narrow" w:cs="Arial Narrow" w:eastAsia="Arial Narrow" w:hAnsi="Arial Narrow"/>
          <w:b w:val="1"/>
          <w:i w:val="0"/>
          <w:smallCaps w:val="0"/>
          <w:strike w:val="0"/>
          <w:color w:val="000000"/>
          <w:sz w:val="32"/>
          <w:szCs w:val="3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2"/>
          <w:szCs w:val="32"/>
          <w:u w:val="none"/>
          <w:shd w:fill="auto" w:val="clear"/>
          <w:vertAlign w:val="baseline"/>
          <w:rtl w:val="0"/>
        </w:rPr>
        <w:t xml:space="preserve">Version </w:t>
      </w:r>
      <w:r w:rsidDel="00000000" w:rsidR="00000000" w:rsidRPr="00000000">
        <w:rPr>
          <w:rFonts w:ascii="Arial Narrow" w:cs="Arial Narrow" w:eastAsia="Arial Narrow" w:hAnsi="Arial Narrow"/>
          <w:b w:val="1"/>
          <w:sz w:val="32"/>
          <w:szCs w:val="32"/>
          <w:rtl w:val="0"/>
        </w:rPr>
        <w:t xml:space="preserve">6.0</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sectPr>
          <w:headerReference r:id="rId8" w:type="default"/>
          <w:footerReference r:id="rId9" w:type="default"/>
          <w:pgSz w:h="15840" w:w="12240" w:orient="portrait"/>
          <w:pgMar w:bottom="1440" w:top="1440" w:left="1440" w:right="1440" w:header="504" w:footer="504"/>
          <w:pgNumType w:start="1"/>
          <w:titlePg w:val="1"/>
        </w:sectPr>
      </w:pPr>
      <w:r w:rsidDel="00000000" w:rsidR="00000000" w:rsidRPr="00000000">
        <w:rPr>
          <w:rFonts w:ascii="Arial Narrow" w:cs="Arial Narrow" w:eastAsia="Arial Narrow" w:hAnsi="Arial Narrow"/>
          <w:b w:val="1"/>
          <w:sz w:val="32"/>
          <w:szCs w:val="32"/>
          <w:rtl w:val="0"/>
        </w:rPr>
        <w:t xml:space="preserve">November 29th, 2020</w:t>
      </w:r>
      <w:r w:rsidDel="00000000" w:rsidR="00000000" w:rsidRPr="00000000">
        <w:rPr>
          <w:rtl w:val="0"/>
        </w:rPr>
      </w:r>
    </w:p>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bookmarkStart w:colFirst="0" w:colLast="0" w:name="_heading=h.30j0zll" w:id="1"/>
      <w:bookmarkEnd w:id="1"/>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Record of Changes</w:t>
      </w:r>
    </w:p>
    <w:tbl>
      <w:tblPr>
        <w:tblStyle w:val="Table1"/>
        <w:tblW w:w="9350.0" w:type="dxa"/>
        <w:jc w:val="left"/>
        <w:tblInd w:w="-5.0" w:type="dxa"/>
        <w:tblBorders>
          <w:top w:color="000080" w:space="0" w:sz="12" w:val="single"/>
          <w:left w:color="000080" w:space="0" w:sz="12" w:val="single"/>
          <w:bottom w:color="000080" w:space="0" w:sz="12" w:val="single"/>
          <w:right w:color="000080" w:space="0" w:sz="12" w:val="single"/>
          <w:insideH w:color="000080" w:space="0" w:sz="4" w:val="single"/>
          <w:insideV w:color="000080" w:space="0" w:sz="4" w:val="single"/>
        </w:tblBorders>
        <w:tblLayout w:type="fixed"/>
        <w:tblLook w:val="0000"/>
      </w:tblPr>
      <w:tblGrid>
        <w:gridCol w:w="1095"/>
        <w:gridCol w:w="2190"/>
        <w:gridCol w:w="2925"/>
        <w:gridCol w:w="3140"/>
        <w:tblGridChange w:id="0">
          <w:tblGrid>
            <w:gridCol w:w="1095"/>
            <w:gridCol w:w="2190"/>
            <w:gridCol w:w="2925"/>
            <w:gridCol w:w="3140"/>
          </w:tblGrid>
        </w:tblGridChange>
      </w:tblGrid>
      <w:tr>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Author / Owner</w:t>
            </w:r>
          </w:p>
        </w:tc>
        <w:tc>
          <w:tcPr>
            <w:tcBorders>
              <w:top w:color="000000" w:space="0" w:sz="4" w:val="single"/>
              <w:left w:color="000000" w:space="0" w:sz="4" w:val="single"/>
              <w:bottom w:color="000000" w:space="0" w:sz="4" w:val="single"/>
              <w:right w:color="000000" w:space="0" w:sz="4" w:val="single"/>
            </w:tcBorders>
            <w:shd w:fill="c6d9f1" w:val="clear"/>
            <w:vAlign w:val="center"/>
          </w:tcPr>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Description of Change</w:t>
            </w:r>
          </w:p>
        </w:tc>
      </w:tr>
      <w:t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pos="4320"/>
              </w:tabs>
              <w:spacing w:after="40" w:before="40" w:line="240"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6.0-Beta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November 29th, 2020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Nicole Hunter / SemanticBits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Updates for Bonnie FHIR (Beta)</w:t>
            </w:r>
          </w:p>
        </w:tc>
      </w:tr>
    </w:tbl>
    <w:p w:rsidR="00000000" w:rsidDel="00000000" w:rsidP="00000000" w:rsidRDefault="00000000" w:rsidRPr="00000000" w14:paraId="00000011">
      <w:pPr>
        <w:pBdr>
          <w:top w:color="000000" w:space="4" w:sz="4" w:val="single"/>
        </w:pBdr>
        <w:tabs>
          <w:tab w:val="center" w:pos="4680"/>
          <w:tab w:val="right" w:pos="9360"/>
        </w:tabs>
        <w:spacing w:before="0" w:lineRule="auto"/>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0" w:type="first"/>
          <w:footerReference r:id="rId11" w:type="first"/>
          <w:type w:val="nextPage"/>
          <w:pgSz w:h="15840" w:w="12240" w:orient="portrait"/>
          <w:pgMar w:bottom="1440" w:top="1440" w:left="1440" w:right="1440" w:header="504" w:footer="504"/>
          <w:pgNumType w:start="1"/>
          <w:titlePg w:val="1"/>
        </w:sectPr>
      </w:pPr>
      <w:r w:rsidDel="00000000" w:rsidR="00000000" w:rsidRPr="00000000">
        <w:rPr>
          <w:rtl w:val="0"/>
        </w:rPr>
      </w:r>
    </w:p>
    <w:p w:rsidR="00000000" w:rsidDel="00000000" w:rsidP="00000000" w:rsidRDefault="00000000" w:rsidRPr="00000000" w14:paraId="00000012">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Description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 Account Creation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New User</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Resetting a Password</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Account Management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Measure Dashboard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a New Measure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1980"/>
              <w:tab w:val="right" w:pos="9360"/>
            </w:tabs>
            <w:spacing w:after="0" w:before="0" w:line="240" w:lineRule="auto"/>
            <w:ind w:left="1627" w:right="0" w:hanging="648"/>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Options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an eCQM</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Synthetic Test Records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Measure Results 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Logic</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a New Test Record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Results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Editing a Test Record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Cloning a Test Record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Test Record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a Measure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Deleting a Measure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Measurement Period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Building a Patient Test Record</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a Synthetic Patient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Building the Patient History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1080"/>
              <w:tab w:val="right" w:pos="9360"/>
            </w:tabs>
            <w:spacing w:after="0" w:before="0" w:line="240" w:lineRule="auto"/>
            <w:ind w:left="936"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Incremental Calculation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hyperlink>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Feedback and Support</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Frequently Asked Questions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120" w:before="20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Acronyms</w:t>
              <w:tab/>
              <w:t xml:space="preserve">33</w:t>
            </w:r>
          </w:hyperlink>
          <w:r w:rsidDel="00000000" w:rsidR="00000000" w:rsidRPr="00000000">
            <w:rPr>
              <w:rtl w:val="0"/>
            </w:rPr>
          </w:r>
        </w:p>
        <w:p w:rsidR="00000000" w:rsidDel="00000000" w:rsidP="00000000" w:rsidRDefault="00000000" w:rsidRPr="00000000" w14:paraId="0000003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bookmarkStart w:colFirst="0" w:colLast="0" w:name="_heading=h.1fob9te" w:id="2"/>
      <w:bookmarkEnd w:id="2"/>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Bonnie Login Page</w:t>
            <w:tab/>
          </w:r>
          <w:r w:rsidDel="00000000" w:rsidR="00000000" w:rsidRPr="00000000">
            <w:rPr>
              <w:rtl w:val="0"/>
            </w:rPr>
            <w:t xml:space="preserve">5</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Account Registration Page</w:t>
            <w:tab/>
          </w:r>
          <w:r w:rsidDel="00000000" w:rsidR="00000000" w:rsidRPr="00000000">
            <w:rPr>
              <w:rtl w:val="0"/>
            </w:rPr>
            <w:t xml:space="preserve">6</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Password Reset Page</w:t>
            <w:tab/>
          </w:r>
          <w:r w:rsidDel="00000000" w:rsidR="00000000" w:rsidRPr="00000000">
            <w:rPr>
              <w:rtl w:val="0"/>
            </w:rPr>
            <w:t xml:space="preserve">6</w:t>
          </w:r>
          <w:r w:rsidDel="00000000" w:rsidR="00000000" w:rsidRPr="00000000">
            <w:fldChar w:fldCharType="begin"/>
            <w:instrText xml:space="preserve"> HYPERLINK \l "_heading=h.35nkun2" </w:instrText>
            <w:fldChar w:fldCharType="separate"/>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Account Management Page</w:t>
            <w:tab/>
          </w:r>
          <w:r w:rsidDel="00000000" w:rsidR="00000000" w:rsidRPr="00000000">
            <w:rPr>
              <w:rtl w:val="0"/>
            </w:rPr>
            <w:t xml:space="preserve">7</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Measure Dashboard View</w:t>
            <w:tab/>
          </w:r>
          <w:r w:rsidDel="00000000" w:rsidR="00000000" w:rsidRPr="00000000">
            <w:rPr>
              <w:rtl w:val="0"/>
            </w:rPr>
            <w:t xml:space="preserve">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New Measure Dialog</w:t>
            <w:tab/>
          </w:r>
          <w:r w:rsidDel="00000000" w:rsidR="00000000" w:rsidRPr="00000000">
            <w:rPr>
              <w:rtl w:val="0"/>
            </w:rPr>
            <w:t xml:space="preserve">9</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Value Set Options – Profile</w:t>
            <w:tab/>
          </w:r>
          <w:r w:rsidDel="00000000" w:rsidR="00000000" w:rsidRPr="00000000">
            <w:rPr>
              <w:color w:val="000000"/>
              <w:u w:val="none"/>
              <w:rtl w:val="0"/>
            </w:rPr>
            <w:t xml:space="preserve">1</w:t>
          </w:r>
          <w:r w:rsidDel="00000000" w:rsidR="00000000" w:rsidRPr="00000000">
            <w:rPr>
              <w:rtl w:val="0"/>
            </w:rPr>
            <w:t xml:space="preserve">0</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Value Set Options - Release</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1</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 Updating Measure Dialog</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2</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 Measure View</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Measure Terminology and Overlapping Value Sets</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6</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Expanded Results View</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8</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13. Logic Calculation Highlight – Passing Results</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8</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14. Logic Calculation Highlight – Expanded Result</w:t>
            <w:tab/>
          </w:r>
          <w:r w:rsidDel="00000000" w:rsidR="00000000" w:rsidRPr="00000000">
            <w:rPr>
              <w:rtl w:val="0"/>
            </w:rPr>
            <w:t xml:space="preserve">19</w:t>
          </w:r>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15. Logic Calculation Highlight – Failing Results</w:t>
            <w:tab/>
          </w:r>
          <w:r w:rsidDel="00000000" w:rsidR="00000000" w:rsidRPr="00000000">
            <w:rPr>
              <w:color w:val="000000"/>
              <w:u w:val="none"/>
              <w:rtl w:val="0"/>
            </w:rPr>
            <w:t xml:space="preserve">2</w:t>
          </w:r>
          <w:r w:rsidDel="00000000" w:rsidR="00000000" w:rsidRPr="00000000">
            <w:rPr>
              <w:rtl w:val="0"/>
            </w:rPr>
            <w:t xml:space="preserve">0</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 Change Measurement Period</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1</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17. Patient Builder View</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2</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18. Continuous Variable Measures Expected Populations</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tl w:val="0"/>
            </w:rPr>
            <w:t xml:space="preserve">4</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20" w:before="120" w:line="240" w:lineRule="auto"/>
            <w:ind w:left="0" w:right="0" w:firstLine="0"/>
            <w:jc w:val="left"/>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19. Building Patient History, Including Edit Clinical Element View</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vertAlign w:val="baseline"/>
              <w:rtl w:val="0"/>
            </w:rPr>
            <w:t xml:space="preserve">5</w:t>
          </w:r>
          <w:r w:rsidDel="00000000" w:rsidR="00000000" w:rsidRPr="00000000">
            <w:fldChar w:fldCharType="begin"/>
            <w:instrText xml:space="preserve"> HYPERLINK \l "_heading=h.1egqt2p"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Heading1"/>
        <w:numPr>
          <w:ilvl w:val="0"/>
          <w:numId w:val="4"/>
        </w:numPr>
        <w:ind w:left="720" w:hanging="720"/>
        <w:rPr/>
      </w:pPr>
      <w:bookmarkStart w:colFirst="0" w:colLast="0" w:name="_heading=h.3znysh7" w:id="3"/>
      <w:bookmarkEnd w:id="3"/>
      <w:r w:rsidDel="00000000" w:rsidR="00000000" w:rsidRPr="00000000">
        <w:fldChar w:fldCharType="end"/>
      </w:r>
      <w:r w:rsidDel="00000000" w:rsidR="00000000" w:rsidRPr="00000000">
        <w:rPr>
          <w:rtl w:val="0"/>
        </w:rPr>
        <w:t xml:space="preserve">Introduction</w:t>
      </w:r>
    </w:p>
    <w:p w:rsidR="00000000" w:rsidDel="00000000" w:rsidP="00000000" w:rsidRDefault="00000000" w:rsidRPr="00000000" w14:paraId="0000004B">
      <w:pPr>
        <w:pStyle w:val="Heading2"/>
        <w:numPr>
          <w:ilvl w:val="1"/>
          <w:numId w:val="4"/>
        </w:numPr>
        <w:spacing w:after="120" w:before="0" w:lineRule="auto"/>
        <w:ind w:left="720" w:hanging="720"/>
        <w:rPr/>
      </w:pPr>
      <w:bookmarkStart w:colFirst="0" w:colLast="0" w:name="_heading=h.2et92p0" w:id="4"/>
      <w:bookmarkEnd w:id="4"/>
      <w:r w:rsidDel="00000000" w:rsidR="00000000" w:rsidRPr="00000000">
        <w:rPr>
          <w:rtl w:val="0"/>
        </w:rPr>
        <w:t xml:space="preserve">Background</w:t>
      </w:r>
    </w:p>
    <w:p w:rsidR="00000000" w:rsidDel="00000000" w:rsidP="00000000" w:rsidRDefault="00000000" w:rsidRPr="00000000" w14:paraId="0000004C">
      <w:pPr>
        <w:rPr/>
      </w:pPr>
      <w:bookmarkStart w:colFirst="0" w:colLast="0" w:name="_heading=h.tyjcwt" w:id="5"/>
      <w:bookmarkEnd w:id="5"/>
      <w:r w:rsidDel="00000000" w:rsidR="00000000" w:rsidRPr="00000000">
        <w:rPr>
          <w:rtl w:val="0"/>
        </w:rPr>
        <w:t xml:space="preserve">Bonnie is a software tool that allows electronic clinical quality measure (eCQM) developers to test and verify the behavior of their eCQM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rsidR="00000000" w:rsidDel="00000000" w:rsidP="00000000" w:rsidRDefault="00000000" w:rsidRPr="00000000" w14:paraId="0000004D">
      <w:pPr>
        <w:rPr/>
      </w:pPr>
      <w:r w:rsidDel="00000000" w:rsidR="00000000" w:rsidRPr="00000000">
        <w:rPr>
          <w:rtl w:val="0"/>
        </w:rPr>
        <w:t xml:space="preserve">Bonnie has been designed to integrate with the nationally recognized data standards the Centers for Medicare &amp; Medicaid Services (CMS) quality reporting programs use for expressing eCQM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rsidR="00000000" w:rsidDel="00000000" w:rsidP="00000000" w:rsidRDefault="00000000" w:rsidRPr="00000000" w14:paraId="0000004E">
      <w:pPr>
        <w:rPr/>
      </w:pPr>
      <w:r w:rsidDel="00000000" w:rsidR="00000000" w:rsidRPr="00000000">
        <w:rPr>
          <w:rtl w:val="0"/>
        </w:rPr>
        <w:t xml:space="preserve">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rsidR="00000000" w:rsidDel="00000000" w:rsidP="00000000" w:rsidRDefault="00000000" w:rsidRPr="00000000" w14:paraId="0000004F">
      <w:pPr>
        <w:rPr/>
      </w:pPr>
      <w:r w:rsidDel="00000000" w:rsidR="00000000" w:rsidRPr="00000000">
        <w:rPr>
          <w:rtl w:val="0"/>
        </w:rPr>
        <w:t xml:space="preserve">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rsidR="00000000" w:rsidDel="00000000" w:rsidP="00000000" w:rsidRDefault="00000000" w:rsidRPr="00000000" w14:paraId="00000050">
      <w:pPr>
        <w:pStyle w:val="Heading2"/>
        <w:numPr>
          <w:ilvl w:val="1"/>
          <w:numId w:val="4"/>
        </w:numPr>
        <w:ind w:left="720" w:hanging="720"/>
        <w:rPr/>
      </w:pPr>
      <w:bookmarkStart w:colFirst="0" w:colLast="0" w:name="_heading=h.3dy6vkm" w:id="6"/>
      <w:bookmarkEnd w:id="6"/>
      <w:r w:rsidDel="00000000" w:rsidR="00000000" w:rsidRPr="00000000">
        <w:rPr>
          <w:rtl w:val="0"/>
        </w:rPr>
        <w:t xml:space="preserve">Purpose</w:t>
      </w:r>
    </w:p>
    <w:p w:rsidR="00000000" w:rsidDel="00000000" w:rsidP="00000000" w:rsidRDefault="00000000" w:rsidRPr="00000000" w14:paraId="00000051">
      <w:pPr>
        <w:rPr/>
      </w:pPr>
      <w:r w:rsidDel="00000000" w:rsidR="00000000" w:rsidRPr="00000000">
        <w:rPr>
          <w:rtl w:val="0"/>
        </w:rPr>
        <w:t xml:space="preserve">The purpose of this document is to describe the functionality of the Bonnie web application that allows measure developers to test and verify the behavior of their eCQM logic. This document provides Bonnie users with step-by-step instructions for testing eCQMs by building synthetic patient records.</w:t>
      </w:r>
    </w:p>
    <w:p w:rsidR="00000000" w:rsidDel="00000000" w:rsidP="00000000" w:rsidRDefault="00000000" w:rsidRPr="00000000" w14:paraId="00000052">
      <w:pPr>
        <w:pStyle w:val="Heading2"/>
        <w:numPr>
          <w:ilvl w:val="1"/>
          <w:numId w:val="4"/>
        </w:numPr>
        <w:ind w:left="720" w:hanging="720"/>
        <w:rPr/>
      </w:pPr>
      <w:bookmarkStart w:colFirst="0" w:colLast="0" w:name="_heading=h.1t3h5sf" w:id="7"/>
      <w:bookmarkEnd w:id="7"/>
      <w:r w:rsidDel="00000000" w:rsidR="00000000" w:rsidRPr="00000000">
        <w:rPr>
          <w:rtl w:val="0"/>
        </w:rPr>
        <w:t xml:space="preserve">Application Description</w:t>
      </w:r>
    </w:p>
    <w:p w:rsidR="00000000" w:rsidDel="00000000" w:rsidP="00000000" w:rsidRDefault="00000000" w:rsidRPr="00000000" w14:paraId="00000053">
      <w:pPr>
        <w:rPr/>
      </w:pPr>
      <w:r w:rsidDel="00000000" w:rsidR="00000000" w:rsidRPr="00000000">
        <w:rPr>
          <w:rtl w:val="0"/>
        </w:rPr>
        <w:t xml:space="preserve">The Bonnie application provides the capability to import measures defined following the </w:t>
      </w:r>
      <w:r w:rsidDel="00000000" w:rsidR="00000000" w:rsidRPr="00000000">
        <w:rPr>
          <w:rtl w:val="0"/>
        </w:rPr>
        <w:t xml:space="preserve">Fast Healthcare Interoperability Resource (FHIR) Quality Measure Implementation Guide</w:t>
      </w:r>
      <w:r w:rsidDel="00000000" w:rsidR="00000000" w:rsidRPr="00000000">
        <w:rPr>
          <w:rtl w:val="0"/>
        </w:rPr>
        <w:t xml:space="preserve"> and Clinical Quality Language (CQL). The FHIR Quality Measure Implementation Guide  specification provides the metadata and the CQL libraries provide the logic for calculating an eCQM. The Bonnie application can load an eCQM containing the FHIR and CQL describing a measure and programmatically convert both into an executable format that allows calculation of the measure directly from the specification.</w:t>
      </w:r>
    </w:p>
    <w:p w:rsidR="00000000" w:rsidDel="00000000" w:rsidP="00000000" w:rsidRDefault="00000000" w:rsidRPr="00000000" w14:paraId="00000054">
      <w:pPr>
        <w:rPr/>
      </w:pPr>
      <w:r w:rsidDel="00000000" w:rsidR="00000000" w:rsidRPr="00000000">
        <w:rPr>
          <w:rtl w:val="0"/>
        </w:rPr>
        <w:t xml:space="preserve">The CMS MAT is the primary source for eCQMs used by the Bonnie application. Measure developers use the MAT to build eCQMs and export those measures as measure bundles containing FHIR and one or more CQL libraries. These measure bundles can be downloaded from the MAT and loaded into the Bonnie user interface for measure testing.</w:t>
      </w:r>
    </w:p>
    <w:p w:rsidR="00000000" w:rsidDel="00000000" w:rsidP="00000000" w:rsidRDefault="00000000" w:rsidRPr="00000000" w14:paraId="00000055">
      <w:pPr>
        <w:rPr/>
      </w:pPr>
      <w:r w:rsidDel="00000000" w:rsidR="00000000" w:rsidRPr="00000000">
        <w:rPr>
          <w:rtl w:val="0"/>
        </w:rPr>
        <w:t xml:space="preserve">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framework, measure developers can more clearly understand the behavior of the measure logic and validate that the measure logic encodes their intent, as well as validate multiple iterations of measure updates against a test deck.</w:t>
      </w:r>
    </w:p>
    <w:p w:rsidR="00000000" w:rsidDel="00000000" w:rsidP="00000000" w:rsidRDefault="00000000" w:rsidRPr="00000000" w14:paraId="00000056">
      <w:pPr>
        <w:rPr/>
        <w:sectPr>
          <w:headerReference r:id="rId12" w:type="first"/>
          <w:footerReference r:id="rId13" w:type="first"/>
          <w:type w:val="nextPage"/>
          <w:pgSz w:h="15840" w:w="12240" w:orient="portrait"/>
          <w:pgMar w:bottom="1440" w:top="1440" w:left="1440" w:right="1440" w:header="504" w:footer="504"/>
        </w:sectPr>
      </w:pPr>
      <w:r w:rsidDel="00000000" w:rsidR="00000000" w:rsidRPr="00000000">
        <w:rPr>
          <w:rtl w:val="0"/>
        </w:rPr>
        <w:t xml:space="preserve">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w:t>
      </w:r>
      <w:r w:rsidDel="00000000" w:rsidR="00000000" w:rsidRPr="00000000">
        <w:rPr>
          <w:rtl w:val="0"/>
        </w:rPr>
      </w:r>
    </w:p>
    <w:p w:rsidR="00000000" w:rsidDel="00000000" w:rsidP="00000000" w:rsidRDefault="00000000" w:rsidRPr="00000000" w14:paraId="00000057">
      <w:pPr>
        <w:pStyle w:val="Heading1"/>
        <w:numPr>
          <w:ilvl w:val="0"/>
          <w:numId w:val="4"/>
        </w:numPr>
        <w:ind w:left="720" w:hanging="720"/>
        <w:rPr/>
      </w:pPr>
      <w:bookmarkStart w:colFirst="0" w:colLast="0" w:name="_heading=h.4d34og8" w:id="8"/>
      <w:bookmarkEnd w:id="8"/>
      <w:r w:rsidDel="00000000" w:rsidR="00000000" w:rsidRPr="00000000">
        <w:rPr>
          <w:rtl w:val="0"/>
        </w:rPr>
        <w:t xml:space="preserve">User Account Creation</w:t>
      </w:r>
    </w:p>
    <w:p w:rsidR="00000000" w:rsidDel="00000000" w:rsidP="00000000" w:rsidRDefault="00000000" w:rsidRPr="00000000" w14:paraId="00000058">
      <w:pPr>
        <w:pStyle w:val="Heading2"/>
        <w:numPr>
          <w:ilvl w:val="1"/>
          <w:numId w:val="4"/>
        </w:numPr>
        <w:ind w:left="720" w:hanging="720"/>
        <w:rPr/>
      </w:pPr>
      <w:bookmarkStart w:colFirst="0" w:colLast="0" w:name="_heading=h.2s8eyo1" w:id="9"/>
      <w:bookmarkEnd w:id="9"/>
      <w:r w:rsidDel="00000000" w:rsidR="00000000" w:rsidRPr="00000000">
        <w:rPr>
          <w:rtl w:val="0"/>
        </w:rPr>
        <w:t xml:space="preserve">Login Page</w:t>
      </w:r>
      <w:r w:rsidDel="00000000" w:rsidR="00000000" w:rsidRPr="00000000">
        <w:rPr>
          <w:rtl w:val="0"/>
        </w:rPr>
      </w:r>
    </w:p>
    <w:p w:rsidR="00000000" w:rsidDel="00000000" w:rsidP="00000000" w:rsidRDefault="00000000" w:rsidRPr="00000000" w14:paraId="00000059">
      <w:pPr>
        <w:spacing w:after="240" w:lineRule="auto"/>
        <w:rPr/>
      </w:pPr>
      <w:r w:rsidDel="00000000" w:rsidR="00000000" w:rsidRPr="00000000">
        <w:rPr>
          <w:rtl w:val="0"/>
        </w:rPr>
        <w:t xml:space="preserve">Users require a valid account to access the Bonnie application. All eCQMs loaded into the Bonnie application and all synthetic test patients are isolated by account. Therefore, users can only view, access, and modify data that they have loaded under their own account. Figure 1 shows the login screen for the Bonnie application. To log in, a user must provide the email address and password for a valid account.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2177710" cy="2816352"/>
            <wp:effectExtent b="0" l="0" r="0" t="0"/>
            <wp:docPr descr="The top of the login page says, &quot;Bonnie, a testing tool for ECQMS.&quot;  Then there are fields for entering an email address and password followed by a login button.  Two links are displayed at the bottom of the page for &quot;forgot password?&quot; and &quot;register.&quot;" id="73" name="image8.png"/>
            <a:graphic>
              <a:graphicData uri="http://schemas.openxmlformats.org/drawingml/2006/picture">
                <pic:pic>
                  <pic:nvPicPr>
                    <pic:cNvPr descr="The top of the login page says, &quot;Bonnie, a testing tool for ECQMS.&quot;  Then there are fields for entering an email address and password followed by a login button.  Two links are displayed at the bottom of the page for &quot;forgot password?&quot; and &quot;register.&quot;" id="0" name="image8.png"/>
                    <pic:cNvPicPr preferRelativeResize="0"/>
                  </pic:nvPicPr>
                  <pic:blipFill>
                    <a:blip r:embed="rId14"/>
                    <a:srcRect b="0" l="0" r="0" t="0"/>
                    <a:stretch>
                      <a:fillRect/>
                    </a:stretch>
                  </pic:blipFill>
                  <pic:spPr>
                    <a:xfrm>
                      <a:off x="0" y="0"/>
                      <a:ext cx="2177710" cy="281635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7dp8vu" w:id="10"/>
      <w:bookmarkEnd w:id="1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 Bonnie Login Page</w:t>
      </w:r>
    </w:p>
    <w:p w:rsidR="00000000" w:rsidDel="00000000" w:rsidP="00000000" w:rsidRDefault="00000000" w:rsidRPr="00000000" w14:paraId="0000005C">
      <w:pPr>
        <w:pStyle w:val="Heading2"/>
        <w:numPr>
          <w:ilvl w:val="1"/>
          <w:numId w:val="4"/>
        </w:numPr>
        <w:ind w:left="720" w:hanging="720"/>
        <w:rPr/>
      </w:pPr>
      <w:bookmarkStart w:colFirst="0" w:colLast="0" w:name="_heading=h.3rdcrjn" w:id="11"/>
      <w:bookmarkEnd w:id="11"/>
      <w:r w:rsidDel="00000000" w:rsidR="00000000" w:rsidRPr="00000000">
        <w:rPr>
          <w:rtl w:val="0"/>
        </w:rPr>
        <w:t xml:space="preserve">Creating a New User</w:t>
      </w:r>
    </w:p>
    <w:p w:rsidR="00000000" w:rsidDel="00000000" w:rsidP="00000000" w:rsidRDefault="00000000" w:rsidRPr="00000000" w14:paraId="0000005D">
      <w:pPr>
        <w:spacing w:after="240" w:lineRule="auto"/>
        <w:rPr/>
      </w:pPr>
      <w:r w:rsidDel="00000000" w:rsidR="00000000" w:rsidRPr="00000000">
        <w:rPr>
          <w:rtl w:val="0"/>
        </w:rPr>
        <w:t xml:space="preserve">A user can create a new account by clicking the “register” link on the login page. The register link brings the user to the account creation page shown in Figure 2. A user can create a new account by filling out the fields in the registration form and clicking the “REGISTER” button. </w:t>
      </w:r>
      <w:r w:rsidDel="00000000" w:rsidR="00000000" w:rsidRPr="00000000">
        <w:rPr>
          <w:rtl w:val="0"/>
        </w:rPr>
        <w:t xml:space="preserve">Once an account has been created, your account will then go to approval. You will receive an email from the bonnie help desk asking for some additional information and then the account can be approved. After the users account has been approved the user can log in to the Bonnie application with the email address and password specified as part of account creation.</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759579" cy="2852928"/>
            <wp:effectExtent b="0" l="0" r="0" t="0"/>
            <wp:docPr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id="75" name="image15.png"/>
            <a:graphic>
              <a:graphicData uri="http://schemas.openxmlformats.org/drawingml/2006/picture">
                <pic:pic>
                  <pic:nvPicPr>
                    <pic:cNvPr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id="0" name="image15.png"/>
                    <pic:cNvPicPr preferRelativeResize="0"/>
                  </pic:nvPicPr>
                  <pic:blipFill>
                    <a:blip r:embed="rId15"/>
                    <a:srcRect b="0" l="0" r="0" t="0"/>
                    <a:stretch>
                      <a:fillRect/>
                    </a:stretch>
                  </pic:blipFill>
                  <pic:spPr>
                    <a:xfrm>
                      <a:off x="0" y="0"/>
                      <a:ext cx="4759579" cy="285292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6in1rg" w:id="12"/>
      <w:bookmarkEnd w:id="12"/>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2. Account Registration Page</w:t>
      </w:r>
    </w:p>
    <w:p w:rsidR="00000000" w:rsidDel="00000000" w:rsidP="00000000" w:rsidRDefault="00000000" w:rsidRPr="00000000" w14:paraId="00000060">
      <w:pPr>
        <w:pStyle w:val="Heading2"/>
        <w:numPr>
          <w:ilvl w:val="1"/>
          <w:numId w:val="4"/>
        </w:numPr>
        <w:ind w:left="720" w:hanging="720"/>
        <w:rPr/>
      </w:pPr>
      <w:bookmarkStart w:colFirst="0" w:colLast="0" w:name="_heading=h.lnxbz9" w:id="13"/>
      <w:bookmarkEnd w:id="13"/>
      <w:r w:rsidDel="00000000" w:rsidR="00000000" w:rsidRPr="00000000">
        <w:rPr>
          <w:rtl w:val="0"/>
        </w:rPr>
        <w:t xml:space="preserve">Resetting a Password</w:t>
      </w:r>
    </w:p>
    <w:p w:rsidR="00000000" w:rsidDel="00000000" w:rsidP="00000000" w:rsidRDefault="00000000" w:rsidRPr="00000000" w14:paraId="00000061">
      <w:pPr>
        <w:spacing w:after="240" w:lineRule="auto"/>
        <w:rPr/>
      </w:pPr>
      <w:r w:rsidDel="00000000" w:rsidR="00000000" w:rsidRPr="00000000">
        <w:rPr>
          <w:rtl w:val="0"/>
        </w:rPr>
        <w:t xml:space="preserve">If a user forgets a password or an account is locked, the user can reset the password using the password reset page shown in Figure 3. This page is accessed from the “forgot password?” link on the login page (Figure 1). On the password reset page, the user provides the email address associated with the account and then presses the “Send” button. This action sends an email to the registered email address for the account to facilitate resetting the user’s account password.</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2902329" cy="2852928"/>
            <wp:effectExtent b="0" l="0" r="0" t="0"/>
            <wp:docPr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id="74" name="image16.png"/>
            <a:graphic>
              <a:graphicData uri="http://schemas.openxmlformats.org/drawingml/2006/picture">
                <pic:pic>
                  <pic:nvPicPr>
                    <pic:cNvPr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id="0" name="image16.png"/>
                    <pic:cNvPicPr preferRelativeResize="0"/>
                  </pic:nvPicPr>
                  <pic:blipFill>
                    <a:blip r:embed="rId16"/>
                    <a:srcRect b="0" l="0" r="0" t="0"/>
                    <a:stretch>
                      <a:fillRect/>
                    </a:stretch>
                  </pic:blipFill>
                  <pic:spPr>
                    <a:xfrm>
                      <a:off x="0" y="0"/>
                      <a:ext cx="2902329" cy="285292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3. Password Reset Page</w:t>
      </w:r>
    </w:p>
    <w:p w:rsidR="00000000" w:rsidDel="00000000" w:rsidP="00000000" w:rsidRDefault="00000000" w:rsidRPr="00000000" w14:paraId="00000064">
      <w:pPr>
        <w:pStyle w:val="Heading2"/>
        <w:numPr>
          <w:ilvl w:val="1"/>
          <w:numId w:val="4"/>
        </w:numPr>
        <w:ind w:left="720" w:hanging="720"/>
        <w:rPr/>
      </w:pPr>
      <w:bookmarkStart w:colFirst="0" w:colLast="0" w:name="_heading=h.1ksv4uv" w:id="15"/>
      <w:bookmarkEnd w:id="15"/>
      <w:r w:rsidDel="00000000" w:rsidR="00000000" w:rsidRPr="00000000">
        <w:rPr>
          <w:rtl w:val="0"/>
        </w:rPr>
        <w:t xml:space="preserve">Account Management</w:t>
      </w:r>
    </w:p>
    <w:p w:rsidR="00000000" w:rsidDel="00000000" w:rsidP="00000000" w:rsidRDefault="00000000" w:rsidRPr="00000000" w14:paraId="00000065">
      <w:pPr>
        <w:spacing w:after="240" w:lineRule="auto"/>
        <w:rPr/>
      </w:pPr>
      <w:r w:rsidDel="00000000" w:rsidR="00000000" w:rsidRPr="00000000">
        <w:rPr>
          <w:rtl w:val="0"/>
        </w:rPr>
        <w:t xml:space="preserve">After logging into the application, the user can change the information associated with the account by accessing the account management page shown in Figure 4. The account management page can be opened by clicking the “Account” link in the application header shown at the top of Figure 4. From this page, users can change the information provided during the registration process and select a new password for their account.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436754" cy="2146328"/>
            <wp:effectExtent b="0" l="0" r="0" t="0"/>
            <wp:docPr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id="76" name="image17.png"/>
            <a:graphic>
              <a:graphicData uri="http://schemas.openxmlformats.org/drawingml/2006/picture">
                <pic:pic>
                  <pic:nvPicPr>
                    <pic:cNvPr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id="0" name="image17.png"/>
                    <pic:cNvPicPr preferRelativeResize="0"/>
                  </pic:nvPicPr>
                  <pic:blipFill>
                    <a:blip r:embed="rId17"/>
                    <a:srcRect b="0" l="0" r="0" t="0"/>
                    <a:stretch>
                      <a:fillRect/>
                    </a:stretch>
                  </pic:blipFill>
                  <pic:spPr>
                    <a:xfrm>
                      <a:off x="0" y="0"/>
                      <a:ext cx="4436754" cy="21463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sectPr>
          <w:headerReference r:id="rId18" w:type="first"/>
          <w:type w:val="nextPage"/>
          <w:pgSz w:h="15840" w:w="12240" w:orient="portrait"/>
          <w:pgMar w:bottom="1440" w:top="1440" w:left="1440" w:right="1440" w:header="504" w:footer="504"/>
        </w:sectPr>
      </w:pPr>
      <w:bookmarkStart w:colFirst="0" w:colLast="0" w:name="_heading=h.44sinio" w:id="16"/>
      <w:bookmarkEnd w:id="16"/>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4. Account Management Page</w:t>
      </w:r>
    </w:p>
    <w:p w:rsidR="00000000" w:rsidDel="00000000" w:rsidP="00000000" w:rsidRDefault="00000000" w:rsidRPr="00000000" w14:paraId="00000068">
      <w:pPr>
        <w:pStyle w:val="Heading1"/>
        <w:numPr>
          <w:ilvl w:val="0"/>
          <w:numId w:val="4"/>
        </w:numPr>
        <w:ind w:left="720" w:hanging="720"/>
        <w:rPr/>
      </w:pPr>
      <w:bookmarkStart w:colFirst="0" w:colLast="0" w:name="_heading=h.2jxsxqh" w:id="17"/>
      <w:bookmarkEnd w:id="17"/>
      <w:r w:rsidDel="00000000" w:rsidR="00000000" w:rsidRPr="00000000">
        <w:rPr>
          <w:rtl w:val="0"/>
        </w:rPr>
        <w:t xml:space="preserve">Measure Dashboard</w:t>
      </w:r>
    </w:p>
    <w:p w:rsidR="00000000" w:rsidDel="00000000" w:rsidP="00000000" w:rsidRDefault="00000000" w:rsidRPr="00000000" w14:paraId="00000069">
      <w:pPr>
        <w:pStyle w:val="Heading2"/>
        <w:numPr>
          <w:ilvl w:val="1"/>
          <w:numId w:val="4"/>
        </w:numPr>
        <w:ind w:left="720" w:hanging="720"/>
        <w:rPr/>
      </w:pPr>
      <w:bookmarkStart w:colFirst="0" w:colLast="0" w:name="_heading=h.z337ya" w:id="18"/>
      <w:bookmarkEnd w:id="18"/>
      <w:r w:rsidDel="00000000" w:rsidR="00000000" w:rsidRPr="00000000">
        <w:rPr>
          <w:rtl w:val="0"/>
        </w:rPr>
        <w:t xml:space="preserve">Overview</w:t>
      </w:r>
    </w:p>
    <w:p w:rsidR="00000000" w:rsidDel="00000000" w:rsidP="00000000" w:rsidRDefault="00000000" w:rsidRPr="00000000" w14:paraId="0000006A">
      <w:pPr>
        <w:spacing w:after="240" w:lineRule="auto"/>
        <w:rPr/>
      </w:pPr>
      <w:r w:rsidDel="00000000" w:rsidR="00000000" w:rsidRPr="00000000">
        <w:rPr>
          <w:rtl w:val="0"/>
        </w:rPr>
        <w:t xml:space="preserve">The Measure Dashboard page, as shown in Figure 5, is the initial page presented to users when they log into the application. The Measure Dashboard shows the calculation status of each eCQM loaded into the system. The calculation status shows how many patient records have been built for the measure, whether the measure is currently passing or failing, and how many patients are passing or failing for each measure.</w:t>
      </w:r>
    </w:p>
    <w:p w:rsidR="00000000" w:rsidDel="00000000" w:rsidP="00000000" w:rsidRDefault="00000000" w:rsidRPr="00000000" w14:paraId="0000006B">
      <w:pPr>
        <w:spacing w:after="240" w:lineRule="auto"/>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318066"/>
                <wp:effectExtent b="0" l="0" r="0" t="0"/>
                <wp:docPr id="68" name=""/>
                <a:graphic>
                  <a:graphicData uri="http://schemas.microsoft.com/office/word/2010/wordprocessingGroup">
                    <wpg:wgp>
                      <wpg:cNvGrpSpPr/>
                      <wpg:grpSpPr>
                        <a:xfrm>
                          <a:off x="46450" y="152400"/>
                          <a:ext cx="5943600" cy="3318066"/>
                          <a:chOff x="46450" y="152400"/>
                          <a:chExt cx="7421149" cy="4134933"/>
                        </a:xfrm>
                      </wpg:grpSpPr>
                      <pic:pic>
                        <pic:nvPicPr>
                          <pic:cNvPr id="89" name="Shape 89"/>
                          <pic:cNvPicPr preferRelativeResize="0"/>
                        </pic:nvPicPr>
                        <pic:blipFill>
                          <a:blip r:embed="rId19">
                            <a:alphaModFix/>
                          </a:blip>
                          <a:stretch>
                            <a:fillRect/>
                          </a:stretch>
                        </pic:blipFill>
                        <pic:spPr>
                          <a:xfrm>
                            <a:off x="152400" y="152400"/>
                            <a:ext cx="7315199" cy="4134933"/>
                          </a:xfrm>
                          <a:prstGeom prst="rect">
                            <a:avLst/>
                          </a:prstGeom>
                          <a:noFill/>
                          <a:ln>
                            <a:noFill/>
                          </a:ln>
                        </pic:spPr>
                      </pic:pic>
                      <wpg:grpSp>
                        <wpg:cNvGrpSpPr/>
                        <wpg:grpSpPr>
                          <a:xfrm>
                            <a:off x="3970125" y="196053"/>
                            <a:ext cx="352800" cy="382397"/>
                            <a:chOff x="3970125" y="196053"/>
                            <a:chExt cx="352800" cy="382397"/>
                          </a:xfrm>
                        </wpg:grpSpPr>
                        <wps:wsp>
                          <wps:cNvSpPr/>
                          <wps:cNvPr id="91" name="Shape 91"/>
                          <wps:spPr>
                            <a:xfrm>
                              <a:off x="3970125" y="235250"/>
                              <a:ext cx="352800" cy="343200"/>
                            </a:xfrm>
                            <a:prstGeom prst="ellipse">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3181475" y="995428"/>
                            <a:ext cx="352800" cy="382397"/>
                            <a:chOff x="3970125" y="196053"/>
                            <a:chExt cx="352800" cy="382397"/>
                          </a:xfrm>
                        </wpg:grpSpPr>
                        <wps:wsp>
                          <wps:cNvSpPr/>
                          <wps:cNvPr id="94" name="Shape 9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4559225" y="726303"/>
                            <a:ext cx="352800" cy="382397"/>
                            <a:chOff x="3970125" y="196053"/>
                            <a:chExt cx="352800" cy="382397"/>
                          </a:xfrm>
                        </wpg:grpSpPr>
                        <wps:wsp>
                          <wps:cNvSpPr/>
                          <wps:cNvPr id="97" name="Shape 9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5446825" y="726303"/>
                            <a:ext cx="352800" cy="382397"/>
                            <a:chOff x="3970125" y="196053"/>
                            <a:chExt cx="352800" cy="382397"/>
                          </a:xfrm>
                        </wpg:grpSpPr>
                        <wps:wsp>
                          <wps:cNvSpPr/>
                          <wps:cNvPr id="100" name="Shape 10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6334425" y="726303"/>
                            <a:ext cx="352800" cy="382397"/>
                            <a:chOff x="3970125" y="196053"/>
                            <a:chExt cx="352800" cy="382397"/>
                          </a:xfrm>
                        </wpg:grpSpPr>
                        <wps:wsp>
                          <wps:cNvSpPr/>
                          <wps:cNvPr id="103" name="Shape 10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46450" y="1448178"/>
                            <a:ext cx="352800" cy="382397"/>
                            <a:chOff x="3970125" y="196053"/>
                            <a:chExt cx="352800" cy="382397"/>
                          </a:xfrm>
                        </wpg:grpSpPr>
                        <wps:wsp>
                          <wps:cNvSpPr/>
                          <wps:cNvPr id="106" name="Shape 10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630150" y="1963278"/>
                            <a:ext cx="352800" cy="382397"/>
                            <a:chOff x="3970125" y="196053"/>
                            <a:chExt cx="352800" cy="382397"/>
                          </a:xfrm>
                        </wpg:grpSpPr>
                        <wps:wsp>
                          <wps:cNvSpPr/>
                          <wps:cNvPr id="109" name="Shape 10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0" name="Shape 11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3457200" y="1963278"/>
                            <a:ext cx="352800" cy="382397"/>
                            <a:chOff x="3970125" y="196053"/>
                            <a:chExt cx="352800" cy="382397"/>
                          </a:xfrm>
                        </wpg:grpSpPr>
                        <wps:wsp>
                          <wps:cNvSpPr/>
                          <wps:cNvPr id="112" name="Shape 11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grpSp>
                        <wpg:cNvGrpSpPr/>
                        <wpg:grpSpPr>
                          <a:xfrm>
                            <a:off x="4167620" y="1428573"/>
                            <a:ext cx="352800" cy="382397"/>
                            <a:chOff x="3970125" y="196053"/>
                            <a:chExt cx="352800" cy="382397"/>
                          </a:xfrm>
                        </wpg:grpSpPr>
                        <wps:wsp>
                          <wps:cNvSpPr/>
                          <wps:cNvPr id="115" name="Shape 11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6" name="Shape 11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9</w:t>
                                </w:r>
                              </w:p>
                            </w:txbxContent>
                          </wps:txbx>
                          <wps:bodyPr anchorCtr="0" anchor="t" bIns="91425" lIns="91425" spcFirstLastPara="1" rIns="91425" wrap="square" tIns="91425">
                            <a:noAutofit/>
                          </wps:bodyPr>
                        </wps:wsp>
                      </wpg:grpSp>
                      <wpg:grpSp>
                        <wpg:cNvGrpSpPr/>
                        <wpg:grpSpPr>
                          <a:xfrm>
                            <a:off x="6469037" y="1580875"/>
                            <a:ext cx="481200" cy="382400"/>
                            <a:chOff x="3950487" y="196050"/>
                            <a:chExt cx="481200" cy="382400"/>
                          </a:xfrm>
                        </wpg:grpSpPr>
                        <wps:wsp>
                          <wps:cNvSpPr/>
                          <wps:cNvPr id="118" name="Shape 11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3950487" y="196050"/>
                              <a:ext cx="4812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10</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318066"/>
                <wp:effectExtent b="0" l="0" r="0" t="0"/>
                <wp:docPr id="68" name="image7.png"/>
                <a:graphic>
                  <a:graphicData uri="http://schemas.openxmlformats.org/drawingml/2006/picture">
                    <pic:pic>
                      <pic:nvPicPr>
                        <pic:cNvPr id="0" name="image7.png"/>
                        <pic:cNvPicPr preferRelativeResize="0"/>
                      </pic:nvPicPr>
                      <pic:blipFill>
                        <a:blip r:embed="rId20"/>
                        <a:srcRect/>
                        <a:stretch>
                          <a:fillRect/>
                        </a:stretch>
                      </pic:blipFill>
                      <pic:spPr>
                        <a:xfrm>
                          <a:off x="0" y="0"/>
                          <a:ext cx="5943600" cy="33180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y810tw" w:id="19"/>
      <w:bookmarkEnd w:id="19"/>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5. Measure Dashboard View</w:t>
      </w:r>
    </w:p>
    <w:p w:rsidR="00000000" w:rsidDel="00000000" w:rsidP="00000000" w:rsidRDefault="00000000" w:rsidRPr="00000000" w14:paraId="0000006D">
      <w:pPr>
        <w:rPr/>
      </w:pPr>
      <w:r w:rsidDel="00000000" w:rsidR="00000000" w:rsidRPr="00000000">
        <w:rPr>
          <w:rtl w:val="0"/>
        </w:rPr>
        <w:t xml:space="preserve">The Measure Dashboard View employs the following user interface (UI) elements (indicated by their item numbers in Figure 5):</w:t>
      </w:r>
    </w:p>
    <w:p w:rsidR="00000000" w:rsidDel="00000000" w:rsidP="00000000" w:rsidRDefault="00000000" w:rsidRPr="00000000" w14:paraId="0000006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 – Allows the user to navigate to different parts of the application, access account information, send a support email (Contact), and log out of the application.</w:t>
      </w:r>
      <w:r w:rsidDel="00000000" w:rsidR="00000000" w:rsidRPr="00000000">
        <w:rPr>
          <w:rtl w:val="0"/>
        </w:rPr>
      </w:r>
    </w:p>
    <w:p w:rsidR="00000000" w:rsidDel="00000000" w:rsidP="00000000" w:rsidRDefault="00000000" w:rsidRPr="00000000" w14:paraId="0000006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Button – Allows the user to upload a new eCQM.</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Column – Displays the percentage of passing patients for the eCQM.</w:t>
      </w:r>
      <w:r w:rsidDel="00000000" w:rsidR="00000000" w:rsidRPr="00000000">
        <w:rPr>
          <w:rtl w:val="0"/>
        </w:rPr>
      </w:r>
    </w:p>
    <w:p w:rsidR="00000000" w:rsidDel="00000000" w:rsidP="00000000" w:rsidRDefault="00000000" w:rsidRPr="00000000" w14:paraId="0000007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Status Column – Displays the status of the eCQM (New, Pass, Fail).</w:t>
      </w:r>
      <w:r w:rsidDel="00000000" w:rsidR="00000000" w:rsidRPr="00000000">
        <w:rPr>
          <w:rtl w:val="0"/>
        </w:rPr>
      </w:r>
    </w:p>
    <w:p w:rsidR="00000000" w:rsidDel="00000000" w:rsidP="00000000" w:rsidRDefault="00000000" w:rsidRPr="00000000" w14:paraId="0000007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Patient Column – Displays the number of patients passing out of the total number of patients.</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Title – Displays the title for the eCQM and allows navigation to the Measure Dashboard View.</w:t>
      </w:r>
      <w:r w:rsidDel="00000000" w:rsidR="00000000" w:rsidRPr="00000000">
        <w:rPr>
          <w:rtl w:val="0"/>
        </w:rPr>
      </w:r>
    </w:p>
    <w:p w:rsidR="00000000" w:rsidDel="00000000" w:rsidP="00000000" w:rsidRDefault="00000000" w:rsidRPr="00000000" w14:paraId="0000007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Subpopulation and stratification titles – Displays the titles for subpopulations or stratifications of an eCQM.</w:t>
      </w:r>
      <w:r w:rsidDel="00000000" w:rsidR="00000000" w:rsidRPr="00000000">
        <w:rPr>
          <w:rtl w:val="0"/>
        </w:rPr>
      </w:r>
    </w:p>
    <w:p w:rsidR="00000000" w:rsidDel="00000000" w:rsidP="00000000" w:rsidRDefault="00000000" w:rsidRPr="00000000" w14:paraId="0000007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Title Button – Allows the user to rename a subpopulation or stratification.</w:t>
      </w:r>
      <w:r w:rsidDel="00000000" w:rsidR="00000000" w:rsidRPr="00000000">
        <w:rPr>
          <w:rtl w:val="0"/>
        </w:rPr>
      </w:r>
    </w:p>
    <w:p w:rsidR="00000000" w:rsidDel="00000000" w:rsidP="00000000" w:rsidRDefault="00000000" w:rsidRPr="00000000" w14:paraId="0000007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Button – Allows the user to update a previously loaded eCQM.</w:t>
      </w:r>
      <w:r w:rsidDel="00000000" w:rsidR="00000000" w:rsidRPr="00000000">
        <w:rPr>
          <w:rtl w:val="0"/>
        </w:rPr>
      </w:r>
    </w:p>
    <w:p w:rsidR="00000000" w:rsidDel="00000000" w:rsidP="00000000" w:rsidRDefault="00000000" w:rsidRPr="00000000" w14:paraId="0000007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Patient Button – Allows the user to start building a new patient for an eCQM.</w:t>
      </w:r>
      <w:r w:rsidDel="00000000" w:rsidR="00000000" w:rsidRPr="00000000">
        <w:rPr>
          <w:rtl w:val="0"/>
        </w:rPr>
      </w:r>
    </w:p>
    <w:p w:rsidR="00000000" w:rsidDel="00000000" w:rsidP="00000000" w:rsidRDefault="00000000" w:rsidRPr="00000000" w14:paraId="00000078">
      <w:pPr>
        <w:pStyle w:val="Heading2"/>
        <w:numPr>
          <w:ilvl w:val="1"/>
          <w:numId w:val="4"/>
        </w:numPr>
        <w:ind w:left="720" w:hanging="720"/>
        <w:rPr/>
      </w:pPr>
      <w:bookmarkStart w:colFirst="0" w:colLast="0" w:name="_heading=h.4i7ojhp" w:id="20"/>
      <w:bookmarkEnd w:id="20"/>
      <w:r w:rsidDel="00000000" w:rsidR="00000000" w:rsidRPr="00000000">
        <w:rPr>
          <w:rtl w:val="0"/>
        </w:rPr>
        <w:t xml:space="preserve">Loading a New Measure</w:t>
      </w:r>
    </w:p>
    <w:p w:rsidR="00000000" w:rsidDel="00000000" w:rsidP="00000000" w:rsidRDefault="00000000" w:rsidRPr="00000000" w14:paraId="00000079">
      <w:pPr>
        <w:rPr/>
      </w:pPr>
      <w:r w:rsidDel="00000000" w:rsidR="00000000" w:rsidRPr="00000000">
        <w:rPr>
          <w:rtl w:val="0"/>
        </w:rPr>
        <w:t xml:space="preserve">When users log into the system for the first time, no eCQMs will be associated with the account. The user’s first step is to load an eCQM into the account to begin testing the eCQM with the Bonnie application. The New Measure dialog, as shown in Figure 6, prompts the user to upload an eCQM.</w:t>
      </w:r>
    </w:p>
    <w:p w:rsidR="00000000" w:rsidDel="00000000" w:rsidP="00000000" w:rsidRDefault="00000000" w:rsidRPr="00000000" w14:paraId="0000007A">
      <w:pPr>
        <w:spacing w:after="240" w:lineRule="auto"/>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t xml:space="preserve">The user may either upload an eCQM now or close this display and upload an eCQM later. After one or more eCQMs have been uploaded, this page displays the current set of eCQMs loaded into the system along with the subpopulations and stratifications associated with the eCQMs. The Measure Dashboard allows users to navigate to the details of individual eCQMs, upload a new eCQM, or update the definition of an existing eCQM. To upload a new eCQM, click the “Upload” button (item </w:t>
      </w:r>
      <w:r w:rsidDel="00000000" w:rsidR="00000000" w:rsidRPr="00000000">
        <w:rPr>
          <w:rFonts w:ascii="Times New Roman" w:cs="Times New Roman" w:eastAsia="Times New Roman" w:hAnsi="Times New Roman"/>
          <w:b w:val="0"/>
          <w:i w:val="0"/>
          <w:color w:val="000000"/>
          <w:rtl w:val="0"/>
        </w:rPr>
        <w:t xml:space="preserve">#3 in </w:t>
      </w:r>
      <w:r w:rsidDel="00000000" w:rsidR="00000000" w:rsidRPr="00000000">
        <w:rPr>
          <w:rtl w:val="0"/>
        </w:rPr>
        <w:t xml:space="preserve">Figure 5) on the Measure Dashboard, which opens the New Measure Dialog shown in Figure 6.</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749300</wp:posOffset>
                </wp:positionH>
                <wp:positionV relativeFrom="paragraph">
                  <wp:posOffset>1447800</wp:posOffset>
                </wp:positionV>
                <wp:extent cx="4271963" cy="3526963"/>
                <wp:effectExtent b="0" l="0" r="0" t="0"/>
                <wp:wrapTopAndBottom distB="114300" distT="114300"/>
                <wp:docPr id="72" name=""/>
                <a:graphic>
                  <a:graphicData uri="http://schemas.microsoft.com/office/word/2010/wordprocessingGroup">
                    <wpg:wgp>
                      <wpg:cNvGrpSpPr/>
                      <wpg:grpSpPr>
                        <a:xfrm>
                          <a:off x="3184465" y="2010711"/>
                          <a:ext cx="4271963" cy="3526963"/>
                          <a:chOff x="3184465" y="2010711"/>
                          <a:chExt cx="4297517" cy="3538578"/>
                        </a:xfrm>
                      </wpg:grpSpPr>
                      <wpg:grpSp>
                        <wpg:cNvGrpSpPr/>
                        <wpg:grpSpPr>
                          <a:xfrm>
                            <a:off x="3184465" y="2010711"/>
                            <a:ext cx="4297517" cy="3538578"/>
                            <a:chOff x="431477" y="152400"/>
                            <a:chExt cx="6566860" cy="5410200"/>
                          </a:xfrm>
                        </wpg:grpSpPr>
                        <wps:wsp>
                          <wps:cNvSpPr/>
                          <wps:cNvPr id="196" name="Shape 196"/>
                          <wps:spPr>
                            <a:xfrm>
                              <a:off x="470525" y="152400"/>
                              <a:ext cx="6527800" cy="541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7" name="Shape 197"/>
                            <pic:cNvPicPr preferRelativeResize="0"/>
                          </pic:nvPicPr>
                          <pic:blipFill rotWithShape="1">
                            <a:blip r:embed="rId21">
                              <a:alphaModFix/>
                            </a:blip>
                            <a:srcRect b="0" l="0" r="0" t="0"/>
                            <a:stretch/>
                          </pic:blipFill>
                          <pic:spPr>
                            <a:xfrm>
                              <a:off x="621675" y="152400"/>
                              <a:ext cx="6376662" cy="5410200"/>
                            </a:xfrm>
                            <a:prstGeom prst="rect">
                              <a:avLst/>
                            </a:prstGeom>
                            <a:noFill/>
                            <a:ln cap="flat" cmpd="sng" w="28575">
                              <a:solidFill>
                                <a:srgbClr val="000000"/>
                              </a:solidFill>
                              <a:prstDash val="solid"/>
                              <a:round/>
                              <a:headEnd len="sm" w="sm" type="none"/>
                              <a:tailEnd len="sm" w="sm" type="none"/>
                            </a:ln>
                          </pic:spPr>
                        </pic:pic>
                        <wpg:grpSp>
                          <wpg:cNvGrpSpPr/>
                          <wpg:grpSpPr>
                            <a:xfrm>
                              <a:off x="439751" y="707066"/>
                              <a:ext cx="452274" cy="537984"/>
                              <a:chOff x="439751" y="707066"/>
                              <a:chExt cx="452274" cy="537984"/>
                            </a:xfrm>
                          </wpg:grpSpPr>
                          <wps:wsp>
                            <wps:cNvSpPr/>
                            <wps:cNvPr id="199" name="Shape 199"/>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439751" y="707066"/>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1</w:t>
                                  </w:r>
                                </w:p>
                              </w:txbxContent>
                            </wps:txbx>
                            <wps:bodyPr anchorCtr="0" anchor="t" bIns="91425" lIns="91425" spcFirstLastPara="1" rIns="91425" wrap="square" tIns="91425">
                              <a:noAutofit/>
                            </wps:bodyPr>
                          </wps:wsp>
                        </wpg:grpSp>
                        <wpg:grpSp>
                          <wpg:cNvGrpSpPr/>
                          <wpg:grpSpPr>
                            <a:xfrm>
                              <a:off x="439757" y="1310379"/>
                              <a:ext cx="452268" cy="537996"/>
                              <a:chOff x="439757" y="707054"/>
                              <a:chExt cx="452268" cy="537996"/>
                            </a:xfrm>
                          </wpg:grpSpPr>
                          <wps:wsp>
                            <wps:cNvSpPr/>
                            <wps:cNvPr id="202" name="Shape 202"/>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439757" y="707054"/>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2</w:t>
                                  </w:r>
                                </w:p>
                              </w:txbxContent>
                            </wps:txbx>
                            <wps:bodyPr anchorCtr="0" anchor="t" bIns="91425" lIns="91425" spcFirstLastPara="1" rIns="91425" wrap="square" tIns="91425">
                              <a:noAutofit/>
                            </wps:bodyPr>
                          </wps:wsp>
                        </wpg:grpSp>
                        <wpg:grpSp>
                          <wpg:cNvGrpSpPr/>
                          <wpg:grpSpPr>
                            <a:xfrm>
                              <a:off x="452264" y="1926217"/>
                              <a:ext cx="439761" cy="525483"/>
                              <a:chOff x="452264" y="719567"/>
                              <a:chExt cx="439761" cy="525483"/>
                            </a:xfrm>
                          </wpg:grpSpPr>
                          <wps:wsp>
                            <wps:cNvSpPr/>
                            <wps:cNvPr id="205" name="Shape 205"/>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452264"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3</w:t>
                                  </w:r>
                                </w:p>
                              </w:txbxContent>
                            </wps:txbx>
                            <wps:bodyPr anchorCtr="0" anchor="t" bIns="91425" lIns="91425" spcFirstLastPara="1" rIns="91425" wrap="square" tIns="91425">
                              <a:noAutofit/>
                            </wps:bodyPr>
                          </wps:wsp>
                        </wpg:grpSp>
                        <wpg:grpSp>
                          <wpg:cNvGrpSpPr/>
                          <wpg:grpSpPr>
                            <a:xfrm>
                              <a:off x="431477" y="3243970"/>
                              <a:ext cx="460548" cy="546280"/>
                              <a:chOff x="431477" y="698770"/>
                              <a:chExt cx="460548" cy="546280"/>
                            </a:xfrm>
                          </wpg:grpSpPr>
                          <wps:wsp>
                            <wps:cNvSpPr/>
                            <wps:cNvPr id="208" name="Shape 208"/>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431477" y="698770"/>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4</w:t>
                                  </w:r>
                                </w:p>
                              </w:txbxContent>
                            </wps:txbx>
                            <wps:bodyPr anchorCtr="0" anchor="t" bIns="91425" lIns="91425" spcFirstLastPara="1" rIns="91425" wrap="square" tIns="91425">
                              <a:noAutofit/>
                            </wps:bodyPr>
                          </wps:wsp>
                        </wpg:grpSp>
                        <wpg:grpSp>
                          <wpg:cNvGrpSpPr/>
                          <wpg:grpSpPr>
                            <a:xfrm>
                              <a:off x="452264" y="3749245"/>
                              <a:ext cx="439761" cy="546280"/>
                              <a:chOff x="452264" y="698770"/>
                              <a:chExt cx="439761" cy="546280"/>
                            </a:xfrm>
                          </wpg:grpSpPr>
                          <wps:wsp>
                            <wps:cNvSpPr/>
                            <wps:cNvPr id="211" name="Shape 211"/>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452264" y="698770"/>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5</w:t>
                                  </w:r>
                                </w:p>
                              </w:txbxContent>
                            </wps:txbx>
                            <wps:bodyPr anchorCtr="0" anchor="t" bIns="91425" lIns="91425" spcFirstLastPara="1" rIns="91425" wrap="square" tIns="91425">
                              <a:noAutofit/>
                            </wps:bodyPr>
                          </wps:wsp>
                        </wpg:grpSp>
                        <wpg:grpSp>
                          <wpg:cNvGrpSpPr/>
                          <wpg:grpSpPr>
                            <a:xfrm>
                              <a:off x="1785202" y="4108692"/>
                              <a:ext cx="460548" cy="525483"/>
                              <a:chOff x="431477" y="719567"/>
                              <a:chExt cx="460548" cy="525483"/>
                            </a:xfrm>
                          </wpg:grpSpPr>
                          <wps:wsp>
                            <wps:cNvSpPr/>
                            <wps:cNvPr id="214" name="Shape 214"/>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431477"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6</w:t>
                                  </w:r>
                                </w:p>
                              </w:txbxContent>
                            </wps:txbx>
                            <wps:bodyPr anchorCtr="0" anchor="t" bIns="91425" lIns="91425" spcFirstLastPara="1" rIns="91425" wrap="square" tIns="91425">
                              <a:noAutofit/>
                            </wps:bodyPr>
                          </wps:wsp>
                        </wpg:grpSp>
                        <wpg:grpSp>
                          <wpg:cNvGrpSpPr/>
                          <wpg:grpSpPr>
                            <a:xfrm>
                              <a:off x="5570700" y="4433117"/>
                              <a:ext cx="421500" cy="525483"/>
                              <a:chOff x="470525" y="719567"/>
                              <a:chExt cx="421500" cy="525483"/>
                            </a:xfrm>
                          </wpg:grpSpPr>
                          <wps:wsp>
                            <wps:cNvSpPr/>
                            <wps:cNvPr id="217" name="Shape 217"/>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473051"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7</w:t>
                                  </w:r>
                                </w:p>
                              </w:txbxContent>
                            </wps:txbx>
                            <wps:bodyPr anchorCtr="0" anchor="t" bIns="91425" lIns="91425" spcFirstLastPara="1" rIns="91425" wrap="square" tIns="91425">
                              <a:noAutofit/>
                            </wps:bodyPr>
                          </wps:wsp>
                        </wpg:grpSp>
                        <wpg:grpSp>
                          <wpg:cNvGrpSpPr/>
                          <wpg:grpSpPr>
                            <a:xfrm>
                              <a:off x="6312589" y="4433117"/>
                              <a:ext cx="439761" cy="525483"/>
                              <a:chOff x="452264" y="719567"/>
                              <a:chExt cx="439761" cy="525483"/>
                            </a:xfrm>
                          </wpg:grpSpPr>
                          <wps:wsp>
                            <wps:cNvSpPr/>
                            <wps:cNvPr id="220" name="Shape 220"/>
                            <wps:spPr>
                              <a:xfrm>
                                <a:off x="470525" y="872450"/>
                                <a:ext cx="421500" cy="372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452264" y="719567"/>
                                <a:ext cx="3333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6"/>
                                      <w:vertAlign w:val="baseline"/>
                                    </w:rPr>
                                    <w:t xml:space="preserve">8</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749300</wp:posOffset>
                </wp:positionH>
                <wp:positionV relativeFrom="paragraph">
                  <wp:posOffset>1447800</wp:posOffset>
                </wp:positionV>
                <wp:extent cx="4271963" cy="3526963"/>
                <wp:effectExtent b="0" l="0" r="0" t="0"/>
                <wp:wrapTopAndBottom distB="114300" distT="114300"/>
                <wp:docPr id="72"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4271963" cy="3526963"/>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xcytpi" w:id="21"/>
      <w:bookmarkEnd w:id="21"/>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6. New Measure Dialog</w:t>
      </w:r>
    </w:p>
    <w:p w:rsidR="00000000" w:rsidDel="00000000" w:rsidP="00000000" w:rsidRDefault="00000000" w:rsidRPr="00000000" w14:paraId="0000007C">
      <w:pPr>
        <w:rPr/>
      </w:pPr>
      <w:r w:rsidDel="00000000" w:rsidR="00000000" w:rsidRPr="00000000">
        <w:rPr>
          <w:rtl w:val="0"/>
        </w:rPr>
        <w:t xml:space="preserve">After clicking the “Upload” button, the user needs to fill out the information requested from the New Measure Dialog. These fields are outlined below and are indicated by their corresponding item numbers in Figure 6.</w:t>
      </w:r>
    </w:p>
    <w:p w:rsidR="00000000" w:rsidDel="00000000" w:rsidP="00000000" w:rsidRDefault="00000000" w:rsidRPr="00000000" w14:paraId="0000007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 Opens a file browser enabling the user to select a MAT measure package to upload into Bonnie.</w:t>
      </w:r>
      <w:r w:rsidDel="00000000" w:rsidR="00000000" w:rsidRPr="00000000">
        <w:rPr>
          <w:rtl w:val="0"/>
        </w:rPr>
      </w:r>
    </w:p>
    <w:p w:rsidR="00000000" w:rsidDel="00000000" w:rsidP="00000000" w:rsidRDefault="00000000" w:rsidRPr="00000000" w14:paraId="0000007E">
      <w:pPr>
        <w:numPr>
          <w:ilvl w:val="0"/>
          <w:numId w:val="8"/>
        </w:numPr>
        <w:spacing w:after="0" w:before="120" w:line="276" w:lineRule="auto"/>
        <w:ind w:left="720" w:hanging="360"/>
        <w:rPr>
          <w:sz w:val="18"/>
          <w:szCs w:val="18"/>
        </w:rPr>
      </w:pPr>
      <w:r w:rsidDel="00000000" w:rsidR="00000000" w:rsidRPr="00000000">
        <w:rPr>
          <w:rtl w:val="0"/>
        </w:rPr>
        <w:t xml:space="preserve">VSAC API Key – Field for entering the user’s VSAC API key to enable Bonnie to load the value sets included within the eCQM. You can find your API key by going to</w:t>
      </w:r>
      <w:r w:rsidDel="00000000" w:rsidR="00000000" w:rsidRPr="00000000">
        <w:rPr>
          <w:sz w:val="18"/>
          <w:szCs w:val="18"/>
          <w:rtl w:val="0"/>
        </w:rPr>
        <w:t xml:space="preserve"> </w:t>
      </w:r>
      <w:hyperlink r:id="rId23">
        <w:r w:rsidDel="00000000" w:rsidR="00000000" w:rsidRPr="00000000">
          <w:rPr>
            <w:color w:val="124f92"/>
            <w:u w:val="single"/>
            <w:rtl w:val="0"/>
          </w:rPr>
          <w:t xml:space="preserve">https://uts.nlm.nih.gov/</w:t>
        </w:r>
      </w:hyperlink>
      <w:r w:rsidDel="00000000" w:rsidR="00000000" w:rsidRPr="00000000">
        <w:rPr>
          <w:rtl w:val="0"/>
        </w:rPr>
        <w:t xml:space="preserve">, signing in to your UTS account, and clicking “</w:t>
      </w:r>
      <w:r w:rsidDel="00000000" w:rsidR="00000000" w:rsidRPr="00000000">
        <w:rPr>
          <w:b w:val="1"/>
          <w:rtl w:val="0"/>
        </w:rPr>
        <w:t xml:space="preserve">My Profile.</w:t>
      </w:r>
      <w:r w:rsidDel="00000000" w:rsidR="00000000" w:rsidRPr="00000000">
        <w:rPr>
          <w:rtl w:val="0"/>
        </w:rPr>
        <w:t xml:space="preserve">” If you do not already have an API key, you can generate one by clicking “</w:t>
      </w:r>
      <w:r w:rsidDel="00000000" w:rsidR="00000000" w:rsidRPr="00000000">
        <w:rPr>
          <w:b w:val="1"/>
          <w:rtl w:val="0"/>
        </w:rPr>
        <w:t xml:space="preserve">Edit Profile</w:t>
      </w:r>
      <w:r w:rsidDel="00000000" w:rsidR="00000000" w:rsidRPr="00000000">
        <w:rPr>
          <w:rtl w:val="0"/>
        </w:rPr>
        <w:t xml:space="preserve">” then checking the box that says “</w:t>
      </w:r>
      <w:r w:rsidDel="00000000" w:rsidR="00000000" w:rsidRPr="00000000">
        <w:rPr>
          <w:b w:val="1"/>
          <w:rtl w:val="0"/>
        </w:rPr>
        <w:t xml:space="preserve">Generate new API Key</w:t>
      </w:r>
      <w:r w:rsidDel="00000000" w:rsidR="00000000" w:rsidRPr="00000000">
        <w:rPr>
          <w:rtl w:val="0"/>
        </w:rPr>
        <w:t xml:space="preserve">” then clicking “</w:t>
      </w:r>
      <w:r w:rsidDel="00000000" w:rsidR="00000000" w:rsidRPr="00000000">
        <w:rPr>
          <w:b w:val="1"/>
          <w:rtl w:val="0"/>
        </w:rPr>
        <w:t xml:space="preserve">Save Profile.</w:t>
      </w:r>
      <w:r w:rsidDel="00000000" w:rsidR="00000000" w:rsidRPr="00000000">
        <w:rPr>
          <w:sz w:val="18"/>
          <w:szCs w:val="18"/>
          <w:rtl w:val="0"/>
        </w:rPr>
        <w:t xml:space="preserve">”</w:t>
      </w:r>
    </w:p>
    <w:p w:rsidR="00000000" w:rsidDel="00000000" w:rsidP="00000000" w:rsidRDefault="00000000" w:rsidRPr="00000000" w14:paraId="0000007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Options – Options to define which value sets should be downloaded from VSAC. More information about these options is included in subsection 3.2.1.</w:t>
      </w:r>
      <w:r w:rsidDel="00000000" w:rsidR="00000000" w:rsidRPr="00000000">
        <w:rPr>
          <w:rtl w:val="0"/>
        </w:rPr>
      </w:r>
    </w:p>
    <w:p w:rsidR="00000000" w:rsidDel="00000000" w:rsidP="00000000" w:rsidRDefault="00000000" w:rsidRPr="00000000" w14:paraId="0000008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Option to define if the eCQM is an Eligible Professional/Eligible Clinician or Eligible Hospital/Critical Access Hospital eCQM.</w:t>
      </w:r>
      <w:r w:rsidDel="00000000" w:rsidR="00000000" w:rsidRPr="00000000">
        <w:rPr>
          <w:rtl w:val="0"/>
        </w:rPr>
      </w:r>
    </w:p>
    <w:p w:rsidR="00000000" w:rsidDel="00000000" w:rsidP="00000000" w:rsidRDefault="00000000" w:rsidRPr="00000000" w14:paraId="0000008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Calculation – Option to define if the eCQM is a Patient-based eCQM or an Episode of Care-based eCQM.</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Supplemental Data Element Calculations – Option to define if supplemental data elements should be included in calculations and displayed in the supplemental data element section in the eCQM 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Please note that in Beta SDE calculations will not function properly.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 – Closes the New Measure Dialog without uploading the eCQM.</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 Uploads the specified eCQM using the selected options.</w:t>
      </w:r>
      <w:r w:rsidDel="00000000" w:rsidR="00000000" w:rsidRPr="00000000">
        <w:rPr>
          <w:rtl w:val="0"/>
        </w:rPr>
      </w:r>
    </w:p>
    <w:p w:rsidR="00000000" w:rsidDel="00000000" w:rsidP="00000000" w:rsidRDefault="00000000" w:rsidRPr="00000000" w14:paraId="00000085">
      <w:pPr>
        <w:spacing w:after="240" w:lineRule="auto"/>
        <w:rPr/>
      </w:pPr>
      <w:r w:rsidDel="00000000" w:rsidR="00000000" w:rsidRPr="00000000">
        <w:rPr>
          <w:rtl w:val="0"/>
        </w:rPr>
        <w:t xml:space="preserve">The action of clicking the “Load” button in the New Measure Dialog uploads the eCQM to the application for processing. Once eCQM loading is complete, the application directs the user to the Measure Dashboard (Figure 5) with the new measure available. </w:t>
      </w:r>
    </w:p>
    <w:p w:rsidR="00000000" w:rsidDel="00000000" w:rsidP="00000000" w:rsidRDefault="00000000" w:rsidRPr="00000000" w14:paraId="00000086">
      <w:pPr>
        <w:pStyle w:val="Heading3"/>
        <w:numPr>
          <w:ilvl w:val="2"/>
          <w:numId w:val="4"/>
        </w:numPr>
        <w:tabs>
          <w:tab w:val="left" w:pos="900"/>
          <w:tab w:val="left" w:pos="900"/>
        </w:tabs>
        <w:ind w:left="936" w:hanging="936"/>
        <w:rPr/>
      </w:pPr>
      <w:bookmarkStart w:colFirst="0" w:colLast="0" w:name="_heading=h.1ci93xb" w:id="22"/>
      <w:bookmarkEnd w:id="22"/>
      <w:r w:rsidDel="00000000" w:rsidR="00000000" w:rsidRPr="00000000">
        <w:rPr>
          <w:rtl w:val="0"/>
        </w:rPr>
        <w:t xml:space="preserve">Value Set Options</w:t>
      </w:r>
    </w:p>
    <w:p w:rsidR="00000000" w:rsidDel="00000000" w:rsidP="00000000" w:rsidRDefault="00000000" w:rsidRPr="00000000" w14:paraId="00000087">
      <w:pPr>
        <w:spacing w:after="240" w:lineRule="auto"/>
        <w:rPr/>
      </w:pPr>
      <w:r w:rsidDel="00000000" w:rsidR="00000000" w:rsidRPr="00000000">
        <w:rPr>
          <w:rtl w:val="0"/>
        </w:rPr>
        <w:t xml:space="preserve">Bonnie allows users to download value sets associated with an eCQM based on either a VSAC profile or VSAC release. Bonnie also allows users to download draft value sets (if “Profile” is selected) and/or override their selections with value set versions specified within the CQL logic itself as shown in Figure 7.</w:t>
      </w:r>
    </w:p>
    <w:p w:rsidR="00000000" w:rsidDel="00000000" w:rsidP="00000000" w:rsidRDefault="00000000" w:rsidRPr="00000000" w14:paraId="00000088">
      <w:pPr>
        <w:spacing w:after="240" w:lineRule="auto"/>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1483997"/>
                <wp:effectExtent b="0" l="0" r="0" t="0"/>
                <wp:docPr id="69" name=""/>
                <a:graphic>
                  <a:graphicData uri="http://schemas.microsoft.com/office/word/2010/wordprocessingGroup">
                    <wpg:wgp>
                      <wpg:cNvGrpSpPr/>
                      <wpg:grpSpPr>
                        <a:xfrm>
                          <a:off x="152400" y="3"/>
                          <a:ext cx="5943600" cy="1483997"/>
                          <a:chOff x="152400" y="3"/>
                          <a:chExt cx="7422450" cy="1849032"/>
                        </a:xfrm>
                      </wpg:grpSpPr>
                      <pic:pic>
                        <pic:nvPicPr>
                          <pic:cNvPr id="120" name="Shape 120"/>
                          <pic:cNvPicPr preferRelativeResize="0"/>
                        </pic:nvPicPr>
                        <pic:blipFill>
                          <a:blip r:embed="rId24">
                            <a:alphaModFix/>
                          </a:blip>
                          <a:stretch>
                            <a:fillRect/>
                          </a:stretch>
                        </pic:blipFill>
                        <pic:spPr>
                          <a:xfrm>
                            <a:off x="152400" y="152400"/>
                            <a:ext cx="7315201" cy="1696635"/>
                          </a:xfrm>
                          <a:prstGeom prst="rect">
                            <a:avLst/>
                          </a:prstGeom>
                          <a:noFill/>
                          <a:ln>
                            <a:noFill/>
                          </a:ln>
                        </pic:spPr>
                      </pic:pic>
                      <wpg:grpSp>
                        <wpg:cNvGrpSpPr/>
                        <wpg:grpSpPr>
                          <a:xfrm>
                            <a:off x="1475800" y="3"/>
                            <a:ext cx="352800" cy="382397"/>
                            <a:chOff x="3970125" y="196053"/>
                            <a:chExt cx="352800" cy="382397"/>
                          </a:xfrm>
                        </wpg:grpSpPr>
                        <wps:wsp>
                          <wps:cNvSpPr/>
                          <wps:cNvPr id="122" name="Shape 12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1402725" y="863553"/>
                            <a:ext cx="352800" cy="382397"/>
                            <a:chOff x="3970125" y="196053"/>
                            <a:chExt cx="352800" cy="382397"/>
                          </a:xfrm>
                        </wpg:grpSpPr>
                        <wps:wsp>
                          <wps:cNvSpPr/>
                          <wps:cNvPr id="125" name="Shape 12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1402725" y="1319853"/>
                            <a:ext cx="352800" cy="382397"/>
                            <a:chOff x="3970125" y="196053"/>
                            <a:chExt cx="352800" cy="382397"/>
                          </a:xfrm>
                        </wpg:grpSpPr>
                        <wps:wsp>
                          <wps:cNvSpPr/>
                          <wps:cNvPr id="128" name="Shape 12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6157975" y="1169753"/>
                            <a:ext cx="352800" cy="382397"/>
                            <a:chOff x="3970125" y="196053"/>
                            <a:chExt cx="352800" cy="382397"/>
                          </a:xfrm>
                        </wpg:grpSpPr>
                        <wps:wsp>
                          <wps:cNvSpPr/>
                          <wps:cNvPr id="131" name="Shape 13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7222050" y="1036478"/>
                            <a:ext cx="352800" cy="382397"/>
                            <a:chOff x="3970125" y="196053"/>
                            <a:chExt cx="352800" cy="382397"/>
                          </a:xfrm>
                        </wpg:grpSpPr>
                        <wps:wsp>
                          <wps:cNvSpPr/>
                          <wps:cNvPr id="134" name="Shape 13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5" name="Shape 13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1483997"/>
                <wp:effectExtent b="0" l="0" r="0" t="0"/>
                <wp:docPr id="69"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5943600" cy="14839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whwml4" w:id="23"/>
      <w:bookmarkEnd w:id="23"/>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7. Value Set Options – Profile</w:t>
      </w:r>
    </w:p>
    <w:p w:rsidR="00000000" w:rsidDel="00000000" w:rsidP="00000000" w:rsidRDefault="00000000" w:rsidRPr="00000000" w14:paraId="0000008A">
      <w:pPr>
        <w:rPr/>
      </w:pPr>
      <w:r w:rsidDel="00000000" w:rsidR="00000000" w:rsidRPr="00000000">
        <w:rPr>
          <w:rtl w:val="0"/>
        </w:rPr>
        <w:t xml:space="preserve">Figure 7 shows the Value Set Options section (item #3 in Figure 6) with the default selections. The default selections are “Profile” with the “Latest eCQM” profile selected and “Draft” checked. These default selections have the same behavior as the default selections in Bonnie v2.0. The UI elements included when “Profile” is selected are as follows:</w:t>
      </w:r>
    </w:p>
    <w:p w:rsidR="00000000" w:rsidDel="00000000" w:rsidP="00000000" w:rsidRDefault="00000000" w:rsidRPr="00000000" w14:paraId="0000008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 When Profile is selected, Bonnie queries the Value Set Authority Center (VSAC) for value sets calculated by an expansion profile. Expansion profiles are instructions for calculating value set content based on specific code system versions and retired legacy codes.</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 dropdown selector – Allows the user to select an expansion profile to use for retrieving value sets. The default selection is “Latest eCQM &lt;&lt;{profile}&gt;&gt;” where {profile} is the VSAC profile referenced by “Latest eCQM”. In this screen shot, the referenced profile is “eCQM Update 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the display shows “Latest eCQM &lt;&lt;eCQM Update 20</w:t>
      </w:r>
      <w:r w:rsidDel="00000000" w:rsidR="00000000" w:rsidRPr="00000000">
        <w:rPr>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-05-0</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&gt;&gt;”.</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 options with eCQM-defined versions – It is possible for an eCQM to contain value set versions within the CQL itself. This option allows the user to override the selected option to use the eCQM-defined value set versions. If this option is selected and a version for a value set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within the measure, then Bonnie will use the selected profile to retrieve the appropriate value set version.</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Draft – When this option is selected, Bonnie will retrieve the draft value set expansions for the selected expansion profile. Note that if the user selects draft and is not an assigned author or steward group member for one or more of the value sets included in the measure, the measure upload will fail. Draft is selected by default.</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90">
      <w:pPr>
        <w:keepNext w:val="1"/>
        <w:keepLines w:val="1"/>
        <w:rPr/>
      </w:pPr>
      <w:r w:rsidDel="00000000" w:rsidR="00000000" w:rsidRPr="00000000">
        <w:rPr>
          <w:rtl w:val="0"/>
        </w:rPr>
        <w:t xml:space="preserve">Figure 8 shows the Value Set Options section (item #3 in Figure 6) with “Release” selected.</w:t>
      </w:r>
    </w:p>
    <w:p w:rsidR="00000000" w:rsidDel="00000000" w:rsidP="00000000" w:rsidRDefault="00000000" w:rsidRPr="00000000" w14:paraId="00000091">
      <w:pPr>
        <w:keepNext w:val="1"/>
        <w:keepLines w:val="1"/>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1598729"/>
                <wp:effectExtent b="0" l="0" r="0" t="0"/>
                <wp:docPr id="66" name=""/>
                <a:graphic>
                  <a:graphicData uri="http://schemas.microsoft.com/office/word/2010/wordprocessingGroup">
                    <wpg:wgp>
                      <wpg:cNvGrpSpPr/>
                      <wpg:grpSpPr>
                        <a:xfrm>
                          <a:off x="152400" y="27178"/>
                          <a:ext cx="5943600" cy="1598729"/>
                          <a:chOff x="152400" y="27178"/>
                          <a:chExt cx="7383225" cy="1974257"/>
                        </a:xfrm>
                      </wpg:grpSpPr>
                      <pic:pic>
                        <pic:nvPicPr>
                          <pic:cNvPr id="57" name="Shape 57"/>
                          <pic:cNvPicPr preferRelativeResize="0"/>
                        </pic:nvPicPr>
                        <pic:blipFill>
                          <a:blip r:embed="rId26">
                            <a:alphaModFix/>
                          </a:blip>
                          <a:stretch>
                            <a:fillRect/>
                          </a:stretch>
                        </pic:blipFill>
                        <pic:spPr>
                          <a:xfrm>
                            <a:off x="152400" y="304800"/>
                            <a:ext cx="7315201" cy="1696635"/>
                          </a:xfrm>
                          <a:prstGeom prst="rect">
                            <a:avLst/>
                          </a:prstGeom>
                          <a:noFill/>
                          <a:ln>
                            <a:noFill/>
                          </a:ln>
                        </pic:spPr>
                      </pic:pic>
                      <wpg:grpSp>
                        <wpg:cNvGrpSpPr/>
                        <wpg:grpSpPr>
                          <a:xfrm>
                            <a:off x="4458075" y="27178"/>
                            <a:ext cx="352800" cy="382397"/>
                            <a:chOff x="3970125" y="196053"/>
                            <a:chExt cx="352800" cy="382397"/>
                          </a:xfrm>
                        </wpg:grpSpPr>
                        <wps:wsp>
                          <wps:cNvSpPr/>
                          <wps:cNvPr id="59" name="Shape 5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1402750" y="1015053"/>
                            <a:ext cx="352800" cy="382397"/>
                            <a:chOff x="3970125" y="196053"/>
                            <a:chExt cx="352800" cy="382397"/>
                          </a:xfrm>
                        </wpg:grpSpPr>
                        <wps:wsp>
                          <wps:cNvSpPr/>
                          <wps:cNvPr id="62" name="Shape 6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6221225" y="1015053"/>
                            <a:ext cx="352800" cy="382397"/>
                            <a:chOff x="3970125" y="196053"/>
                            <a:chExt cx="352800" cy="382397"/>
                          </a:xfrm>
                        </wpg:grpSpPr>
                        <wps:wsp>
                          <wps:cNvSpPr/>
                          <wps:cNvPr id="65" name="Shape 6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1402750" y="1486503"/>
                            <a:ext cx="352800" cy="382397"/>
                            <a:chOff x="3970125" y="196053"/>
                            <a:chExt cx="352800" cy="382397"/>
                          </a:xfrm>
                        </wpg:grpSpPr>
                        <wps:wsp>
                          <wps:cNvSpPr/>
                          <wps:cNvPr id="68" name="Shape 6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7182825" y="1168378"/>
                            <a:ext cx="352800" cy="382397"/>
                            <a:chOff x="3970125" y="196053"/>
                            <a:chExt cx="352800" cy="382397"/>
                          </a:xfrm>
                        </wpg:grpSpPr>
                        <wps:wsp>
                          <wps:cNvSpPr/>
                          <wps:cNvPr id="71" name="Shape 7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1598729"/>
                <wp:effectExtent b="0" l="0" r="0" t="0"/>
                <wp:docPr id="66" name="image4.png"/>
                <a:graphic>
                  <a:graphicData uri="http://schemas.openxmlformats.org/drawingml/2006/picture">
                    <pic:pic>
                      <pic:nvPicPr>
                        <pic:cNvPr id="0" name="image4.png"/>
                        <pic:cNvPicPr preferRelativeResize="0"/>
                      </pic:nvPicPr>
                      <pic:blipFill>
                        <a:blip r:embed="rId27"/>
                        <a:srcRect/>
                        <a:stretch>
                          <a:fillRect/>
                        </a:stretch>
                      </pic:blipFill>
                      <pic:spPr>
                        <a:xfrm>
                          <a:off x="0" y="0"/>
                          <a:ext cx="5943600" cy="15987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bn6wsx" w:id="24"/>
      <w:bookmarkEnd w:id="24"/>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8. Value Set Options - Release</w:t>
      </w:r>
    </w:p>
    <w:p w:rsidR="00000000" w:rsidDel="00000000" w:rsidP="00000000" w:rsidRDefault="00000000" w:rsidRPr="00000000" w14:paraId="00000093">
      <w:pPr>
        <w:rPr/>
      </w:pPr>
      <w:r w:rsidDel="00000000" w:rsidR="00000000" w:rsidRPr="00000000">
        <w:rPr>
          <w:rtl w:val="0"/>
        </w:rPr>
        <w:t xml:space="preserve">The UI elements included when “Release” is selected are as follows:</w:t>
      </w:r>
    </w:p>
    <w:p w:rsidR="00000000" w:rsidDel="00000000" w:rsidP="00000000" w:rsidRDefault="00000000" w:rsidRPr="00000000" w14:paraId="0000009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 When Release is selected, Bonnie queries VSAC for the published value sets associated with the specified release.</w:t>
      </w:r>
      <w:r w:rsidDel="00000000" w:rsidR="00000000" w:rsidRPr="00000000">
        <w:rPr>
          <w:rtl w:val="0"/>
        </w:rPr>
      </w:r>
    </w:p>
    <w:p w:rsidR="00000000" w:rsidDel="00000000" w:rsidP="00000000" w:rsidRDefault="00000000" w:rsidRPr="00000000" w14:paraId="0000009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dropdown selector – Allows the user to select the program that includes the release they would like to use.</w:t>
      </w:r>
      <w:r w:rsidDel="00000000" w:rsidR="00000000" w:rsidRPr="00000000">
        <w:rPr>
          <w:rtl w:val="0"/>
        </w:rPr>
      </w:r>
    </w:p>
    <w:p w:rsidR="00000000" w:rsidDel="00000000" w:rsidP="00000000" w:rsidRDefault="00000000" w:rsidRPr="00000000" w14:paraId="0000009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Release dropdown selector – Allows the user to select the appropriate release.</w:t>
      </w:r>
      <w:r w:rsidDel="00000000" w:rsidR="00000000" w:rsidRPr="00000000">
        <w:rPr>
          <w:rtl w:val="0"/>
        </w:rPr>
      </w:r>
    </w:p>
    <w:p w:rsidR="00000000" w:rsidDel="00000000" w:rsidP="00000000" w:rsidRDefault="00000000" w:rsidRPr="00000000" w14:paraId="0000009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Override options with measure-defined versions – It is possible for an eCQM to contain value set versions within the CQL itself. This option allows the user to override the selected option to use the measure-defined value set versions. If this option is selected and a version for a value set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defined within the eCQM, then Bonnie will use the selected release to retrieve the appropriate value set version.</w:t>
      </w:r>
      <w:r w:rsidDel="00000000" w:rsidR="00000000" w:rsidRPr="00000000">
        <w:rPr>
          <w:rtl w:val="0"/>
        </w:rPr>
      </w:r>
    </w:p>
    <w:p w:rsidR="00000000" w:rsidDel="00000000" w:rsidP="00000000" w:rsidRDefault="00000000" w:rsidRPr="00000000" w14:paraId="0000009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buttons – Contains additional information regarding the value set options.</w:t>
      </w:r>
      <w:r w:rsidDel="00000000" w:rsidR="00000000" w:rsidRPr="00000000">
        <w:rPr>
          <w:rtl w:val="0"/>
        </w:rPr>
      </w:r>
    </w:p>
    <w:p w:rsidR="00000000" w:rsidDel="00000000" w:rsidP="00000000" w:rsidRDefault="00000000" w:rsidRPr="00000000" w14:paraId="00000099">
      <w:pPr>
        <w:pStyle w:val="Heading2"/>
        <w:numPr>
          <w:ilvl w:val="1"/>
          <w:numId w:val="4"/>
        </w:numPr>
        <w:ind w:left="720" w:hanging="720"/>
        <w:rPr/>
      </w:pPr>
      <w:bookmarkStart w:colFirst="0" w:colLast="0" w:name="_heading=h.qsh70q" w:id="25"/>
      <w:bookmarkEnd w:id="25"/>
      <w:r w:rsidDel="00000000" w:rsidR="00000000" w:rsidRPr="00000000">
        <w:rPr>
          <w:rtl w:val="0"/>
        </w:rPr>
        <w:t xml:space="preserve">Updating an eCQM</w:t>
      </w:r>
    </w:p>
    <w:p w:rsidR="00000000" w:rsidDel="00000000" w:rsidP="00000000" w:rsidRDefault="00000000" w:rsidRPr="00000000" w14:paraId="0000009A">
      <w:pPr>
        <w:rPr/>
      </w:pPr>
      <w:r w:rsidDel="00000000" w:rsidR="00000000" w:rsidRPr="00000000">
        <w:rPr>
          <w:rtl w:val="0"/>
        </w:rPr>
        <w:t xml:space="preserve">Once the eCQM has been loaded, the testing process may identify issues with the eCQM. When issues are identified, the logic must be updated in the MAT to resolve these issues. Alternatively, the measure could be updated in the MAT as part of an Annual Update. After an eCQM has been updated in the MAT, it may be necessary to update that eCQM in Bonnie for testing. To update an eCQM, follow these steps:</w:t>
      </w:r>
    </w:p>
    <w:p w:rsidR="00000000" w:rsidDel="00000000" w:rsidP="00000000" w:rsidRDefault="00000000" w:rsidRPr="00000000" w14:paraId="0000009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“Update” button (item #10 in Figure 5) on the Measure Dashboard, which displays the “Update Measure” dialog as shown in Figure 9.</w:t>
      </w:r>
      <w:r w:rsidDel="00000000" w:rsidR="00000000" w:rsidRPr="00000000">
        <w:rPr>
          <w:rtl w:val="0"/>
        </w:rPr>
      </w:r>
    </w:p>
    <w:p w:rsidR="00000000" w:rsidDel="00000000" w:rsidP="00000000" w:rsidRDefault="00000000" w:rsidRPr="00000000" w14:paraId="000000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 new MAT export zip with the updated eCQM definition.</w:t>
      </w:r>
      <w:r w:rsidDel="00000000" w:rsidR="00000000" w:rsidRPr="00000000">
        <w:rPr>
          <w:rtl w:val="0"/>
        </w:rPr>
      </w:r>
    </w:p>
    <w:p w:rsidR="00000000" w:rsidDel="00000000" w:rsidP="00000000" w:rsidRDefault="00000000" w:rsidRPr="00000000" w14:paraId="000000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“Load” button to load the new version of the eCQM.</w:t>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rPr>
        <w:drawing>
          <wp:inline distB="114300" distT="114300" distL="114300" distR="114300">
            <wp:extent cx="3048000" cy="2451133"/>
            <wp:effectExtent b="0" l="0" r="0" t="0"/>
            <wp:docPr id="7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048000" cy="245113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as4poj" w:id="26"/>
      <w:bookmarkEnd w:id="26"/>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9. Updating Measure Dialog</w:t>
      </w:r>
    </w:p>
    <w:p w:rsidR="00000000" w:rsidDel="00000000" w:rsidP="00000000" w:rsidRDefault="00000000" w:rsidRPr="00000000" w14:paraId="000000A0">
      <w:pPr>
        <w:pStyle w:val="Heading2"/>
        <w:numPr>
          <w:ilvl w:val="1"/>
          <w:numId w:val="4"/>
        </w:numPr>
        <w:ind w:left="720" w:hanging="720"/>
        <w:rPr/>
      </w:pPr>
      <w:bookmarkStart w:colFirst="0" w:colLast="0" w:name="_heading=h.1pxezwc" w:id="27"/>
      <w:bookmarkEnd w:id="27"/>
      <w:r w:rsidDel="00000000" w:rsidR="00000000" w:rsidRPr="00000000">
        <w:rPr>
          <w:rtl w:val="0"/>
        </w:rPr>
        <w:t xml:space="preserve">Creating Synthetic Test Records</w:t>
      </w:r>
    </w:p>
    <w:p w:rsidR="00000000" w:rsidDel="00000000" w:rsidP="00000000" w:rsidRDefault="00000000" w:rsidRPr="00000000" w14:paraId="000000A1">
      <w:pPr>
        <w:rPr>
          <w:i w:val="1"/>
        </w:rPr>
      </w:pPr>
      <w:r w:rsidDel="00000000" w:rsidR="00000000" w:rsidRPr="00000000">
        <w:rPr>
          <w:rtl w:val="0"/>
        </w:rPr>
        <w:t xml:space="preserve">Once a set of eCQMs has been loaded into the Bonnie application, users can start building test patients for the eCQMs. To build a test patient from the Measure Dashboard (Figure 5), click the “Add Patient” button (item </w:t>
      </w:r>
      <w:r w:rsidDel="00000000" w:rsidR="00000000" w:rsidRPr="00000000">
        <w:rPr>
          <w:rFonts w:ascii="Times New Roman" w:cs="Times New Roman" w:eastAsia="Times New Roman" w:hAnsi="Times New Roman"/>
          <w:b w:val="0"/>
          <w:i w:val="0"/>
          <w:color w:val="000000"/>
          <w:rtl w:val="0"/>
        </w:rPr>
        <w:t xml:space="preserve">#12</w:t>
      </w:r>
      <w:r w:rsidDel="00000000" w:rsidR="00000000" w:rsidRPr="00000000">
        <w:rPr>
          <w:rtl w:val="0"/>
        </w:rPr>
        <w:t xml:space="preserve">). This action opens the patient builder screen as shown in </w:t>
      </w:r>
      <w:r w:rsidDel="00000000" w:rsidR="00000000" w:rsidRPr="00000000">
        <w:rPr>
          <w:rtl w:val="0"/>
        </w:rPr>
        <w:t xml:space="preserve">Figure 17</w:t>
      </w:r>
      <w:r w:rsidDel="00000000" w:rsidR="00000000" w:rsidRPr="00000000">
        <w:rPr>
          <w:rtl w:val="0"/>
        </w:rPr>
        <w:t xml:space="preserve">. For more information, please refer to Section 5, </w:t>
      </w:r>
      <w:r w:rsidDel="00000000" w:rsidR="00000000" w:rsidRPr="00000000">
        <w:rPr>
          <w:i w:val="1"/>
          <w:rtl w:val="0"/>
        </w:rPr>
        <w:t xml:space="preserve">Building a Patient Test Record.</w:t>
      </w:r>
    </w:p>
    <w:p w:rsidR="00000000" w:rsidDel="00000000" w:rsidP="00000000" w:rsidRDefault="00000000" w:rsidRPr="00000000" w14:paraId="000000A2">
      <w:pPr>
        <w:rPr/>
        <w:sectPr>
          <w:type w:val="nextPage"/>
          <w:pgSz w:h="15840" w:w="12240" w:orient="portrait"/>
          <w:pgMar w:bottom="1440" w:top="1440" w:left="1440" w:right="1440" w:header="504" w:footer="504"/>
        </w:sectPr>
      </w:pPr>
      <w:r w:rsidDel="00000000" w:rsidR="00000000" w:rsidRPr="00000000">
        <w:rPr>
          <w:rtl w:val="0"/>
        </w:rPr>
        <w:t xml:space="preserve">After the user creates synthetic test patients for eCQMs, the Measure Dashboard displays summary calculation results of the patients associated with each eCQM loaded by the user (Figure 5). As shown in Figure 5, UI elements numbered</w:t>
      </w:r>
      <w:r w:rsidDel="00000000" w:rsidR="00000000" w:rsidRPr="00000000">
        <w:rPr>
          <w:rFonts w:ascii="Times New Roman" w:cs="Times New Roman" w:eastAsia="Times New Roman" w:hAnsi="Times New Roman"/>
          <w:b w:val="0"/>
          <w:i w:val="0"/>
          <w:color w:val="000000"/>
          <w:rtl w:val="0"/>
        </w:rPr>
        <w:t xml:space="preserve"> </w:t>
      </w:r>
      <w:r w:rsidDel="00000000" w:rsidR="00000000" w:rsidRPr="00000000">
        <w:rPr>
          <w:rtl w:val="0"/>
        </w:rPr>
        <w:t xml:space="preserve">4, 5, and 6</w:t>
      </w:r>
      <w:r w:rsidDel="00000000" w:rsidR="00000000" w:rsidRPr="00000000">
        <w:rPr>
          <w:rFonts w:ascii="Times New Roman" w:cs="Times New Roman" w:eastAsia="Times New Roman" w:hAnsi="Times New Roman"/>
          <w:b w:val="0"/>
          <w:i w:val="0"/>
          <w:color w:val="000000"/>
          <w:rtl w:val="0"/>
        </w:rPr>
        <w:t xml:space="preserve"> </w:t>
      </w:r>
      <w:r w:rsidDel="00000000" w:rsidR="00000000" w:rsidRPr="00000000">
        <w:rPr>
          <w:rtl w:val="0"/>
        </w:rPr>
        <w:t xml:space="preserve">on the Measure Dashboard provide the summary results for each eCQM. In the “Expected” column (item </w:t>
      </w:r>
      <w:r w:rsidDel="00000000" w:rsidR="00000000" w:rsidRPr="00000000">
        <w:rPr>
          <w:rFonts w:ascii="Times New Roman" w:cs="Times New Roman" w:eastAsia="Times New Roman" w:hAnsi="Times New Roman"/>
          <w:b w:val="0"/>
          <w:i w:val="0"/>
          <w:color w:val="000000"/>
          <w:rtl w:val="0"/>
        </w:rPr>
        <w:t xml:space="preserve">#5</w:t>
      </w:r>
      <w:r w:rsidDel="00000000" w:rsidR="00000000" w:rsidRPr="00000000">
        <w:rPr>
          <w:rtl w:val="0"/>
        </w:rPr>
        <w:t xml:space="preserve">), the UI displays the percentage of patients associated with the eCQM whose calculated values meet the expectations set for the patient. The “Status” column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5) indicates the current state of the measure—whether it is passing, failing, or new. An eCQM is in the passing state if all associated patients are meeting expectations. If one or more patients are not meeting expectations, then the eCQM is in a failing state. Any eCQM is in the new state when there are no patients associated with it. Finally, the “Test Patients” column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6) displays the number of passing patients over the total number of patients as a fraction. The measure view, as represented in </w:t>
      </w:r>
      <w:r w:rsidDel="00000000" w:rsidR="00000000" w:rsidRPr="00000000">
        <w:rPr>
          <w:rtl w:val="0"/>
        </w:rPr>
        <w:t xml:space="preserve">Figure 10</w:t>
      </w:r>
      <w:r w:rsidDel="00000000" w:rsidR="00000000" w:rsidRPr="00000000">
        <w:rPr>
          <w:rtl w:val="0"/>
        </w:rPr>
        <w:t xml:space="preserve"> in Section 4, shows more detailed results for an eCQM.</w:t>
      </w:r>
    </w:p>
    <w:p w:rsidR="00000000" w:rsidDel="00000000" w:rsidP="00000000" w:rsidRDefault="00000000" w:rsidRPr="00000000" w14:paraId="000000A3">
      <w:pPr>
        <w:pStyle w:val="Heading1"/>
        <w:numPr>
          <w:ilvl w:val="0"/>
          <w:numId w:val="4"/>
        </w:numPr>
        <w:ind w:left="720" w:hanging="720"/>
        <w:rPr/>
      </w:pPr>
      <w:bookmarkStart w:colFirst="0" w:colLast="0" w:name="_heading=h.49x2ik5" w:id="28"/>
      <w:bookmarkEnd w:id="28"/>
      <w:r w:rsidDel="00000000" w:rsidR="00000000" w:rsidRPr="00000000">
        <w:rPr>
          <w:rtl w:val="0"/>
        </w:rPr>
        <w:t xml:space="preserve">Measure Results View</w:t>
      </w:r>
    </w:p>
    <w:p w:rsidR="00000000" w:rsidDel="00000000" w:rsidP="00000000" w:rsidRDefault="00000000" w:rsidRPr="00000000" w14:paraId="000000A4">
      <w:pPr>
        <w:pStyle w:val="Heading2"/>
        <w:numPr>
          <w:ilvl w:val="1"/>
          <w:numId w:val="4"/>
        </w:numPr>
        <w:ind w:left="720" w:hanging="720"/>
        <w:rPr/>
      </w:pPr>
      <w:bookmarkStart w:colFirst="0" w:colLast="0" w:name="_heading=h.2p2csry" w:id="29"/>
      <w:bookmarkEnd w:id="29"/>
      <w:r w:rsidDel="00000000" w:rsidR="00000000" w:rsidRPr="00000000">
        <w:rPr>
          <w:rtl w:val="0"/>
        </w:rPr>
        <w:t xml:space="preserve">Overview</w:t>
      </w:r>
    </w:p>
    <w:p w:rsidR="00000000" w:rsidDel="00000000" w:rsidP="00000000" w:rsidRDefault="00000000" w:rsidRPr="00000000" w14:paraId="000000A5">
      <w:pPr>
        <w:rPr/>
      </w:pPr>
      <w:r w:rsidDel="00000000" w:rsidR="00000000" w:rsidRPr="00000000">
        <w:rPr>
          <w:rtl w:val="0"/>
        </w:rPr>
        <w:t xml:space="preserve">As shown in Figure 10, the Measure View page displays the detailed information, associated patients, and calculation results for a single eCQM. In this view, users can add new patients to an eCQM, update an eCQM, and delete an eCQM. To access the Measure View, click on the “Measure Title” link (item </w:t>
      </w:r>
      <w:r w:rsidDel="00000000" w:rsidR="00000000" w:rsidRPr="00000000">
        <w:rPr>
          <w:rFonts w:ascii="Times New Roman" w:cs="Times New Roman" w:eastAsia="Times New Roman" w:hAnsi="Times New Roman"/>
          <w:b w:val="0"/>
          <w:i w:val="0"/>
          <w:color w:val="000000"/>
          <w:rtl w:val="0"/>
        </w:rPr>
        <w:t xml:space="preserve">#7</w:t>
      </w:r>
      <w:r w:rsidDel="00000000" w:rsidR="00000000" w:rsidRPr="00000000">
        <w:rPr>
          <w:rtl w:val="0"/>
        </w:rPr>
        <w:t xml:space="preserve">) on the Measure Dashboard, as shown in Figure 5.</w:t>
      </w:r>
    </w:p>
    <w:p w:rsidR="00000000" w:rsidDel="00000000" w:rsidP="00000000" w:rsidRDefault="00000000" w:rsidRPr="00000000" w14:paraId="000000A6">
      <w:pPr>
        <w:rPr/>
      </w:pPr>
      <w:r w:rsidDel="00000000" w:rsidR="00000000" w:rsidRPr="00000000">
        <w:rPr>
          <w:rtl w:val="0"/>
        </w:rPr>
        <w:t xml:space="preserve">The Measure View page presents the title and description of the eCQM, the logic for the eCQM, and a measure complexity indicator. The page lists the current set of test patients associated with the eCQM in the column on the right-hand side of the page. This column displays the summary calculation results for the patient test deck associated with the eCQM along with the list of patients and the individual calculation results for each. This page also shows the results of calculation for a single patient along with an overlay of the calculation results on the eCQM logic.</w:t>
      </w:r>
    </w:p>
    <w:p w:rsidR="00000000" w:rsidDel="00000000" w:rsidP="00000000" w:rsidRDefault="00000000" w:rsidRPr="00000000" w14:paraId="000000A7">
      <w:pPr>
        <w:rPr/>
      </w:pPr>
      <w:r w:rsidDel="00000000" w:rsidR="00000000" w:rsidRPr="00000000">
        <w:rPr>
          <w:rtl w:val="0"/>
        </w:rPr>
        <w:t xml:space="preserve">The following UI elements appear at the top of the Measure View page (indicated by their item numbers in Figure 10):</w:t>
      </w:r>
    </w:p>
    <w:p w:rsidR="00000000" w:rsidDel="00000000" w:rsidP="00000000" w:rsidRDefault="00000000" w:rsidRPr="00000000" w14:paraId="000000A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Title – Displays the title and description of the eCQM.</w:t>
      </w:r>
      <w:r w:rsidDel="00000000" w:rsidR="00000000" w:rsidRPr="00000000">
        <w:rPr>
          <w:rtl w:val="0"/>
        </w:rPr>
      </w:r>
    </w:p>
    <w:p w:rsidR="00000000" w:rsidDel="00000000" w:rsidP="00000000" w:rsidRDefault="00000000" w:rsidRPr="00000000" w14:paraId="000000A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Measurement Period – Displays the current Measurement Period and allows the user to update the Measurement Period.</w:t>
      </w:r>
      <w:r w:rsidDel="00000000" w:rsidR="00000000" w:rsidRPr="00000000">
        <w:rPr>
          <w:rtl w:val="0"/>
        </w:rPr>
      </w:r>
    </w:p>
    <w:p w:rsidR="00000000" w:rsidDel="00000000" w:rsidP="00000000" w:rsidRDefault="00000000" w:rsidRPr="00000000" w14:paraId="000000A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Actions – Allows the user to delete or update an eCQM definition.</w:t>
      </w:r>
      <w:r w:rsidDel="00000000" w:rsidR="00000000" w:rsidRPr="00000000">
        <w:rPr>
          <w:rtl w:val="0"/>
        </w:rPr>
      </w:r>
    </w:p>
    <w:p w:rsidR="00000000" w:rsidDel="00000000" w:rsidP="00000000" w:rsidRDefault="00000000" w:rsidRPr="00000000" w14:paraId="000000A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Subpopulations or Stratifications – Allows access to different subpopulations or stratifications in the eCQM.</w:t>
      </w:r>
      <w:r w:rsidDel="00000000" w:rsidR="00000000" w:rsidRPr="00000000">
        <w:rPr>
          <w:rtl w:val="0"/>
        </w:rPr>
      </w:r>
    </w:p>
    <w:p w:rsidR="00000000" w:rsidDel="00000000" w:rsidP="00000000" w:rsidRDefault="00000000" w:rsidRPr="00000000" w14:paraId="000000A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Logic – Displays a representation of the logic for the eCQM.</w:t>
      </w:r>
      <w:r w:rsidDel="00000000" w:rsidR="00000000" w:rsidRPr="00000000">
        <w:rPr>
          <w:rtl w:val="0"/>
        </w:rPr>
      </w:r>
    </w:p>
    <w:p w:rsidR="00000000" w:rsidDel="00000000" w:rsidP="00000000" w:rsidRDefault="00000000" w:rsidRPr="00000000" w14:paraId="000000A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Highlighted With Coverage – Displays the logic for the eCQM, highlighting which lines of the eCQM are covered by the test patients.</w:t>
      </w:r>
      <w:r w:rsidDel="00000000" w:rsidR="00000000" w:rsidRPr="00000000">
        <w:rPr>
          <w:rtl w:val="0"/>
        </w:rPr>
      </w:r>
    </w:p>
    <w:p w:rsidR="00000000" w:rsidDel="00000000" w:rsidP="00000000" w:rsidRDefault="00000000" w:rsidRPr="00000000" w14:paraId="000000A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Actions – Allows the user to export patient records as QRDA or Excel.</w:t>
      </w:r>
      <w:r w:rsidDel="00000000" w:rsidR="00000000" w:rsidRPr="00000000">
        <w:rPr>
          <w:rtl w:val="0"/>
        </w:rPr>
      </w:r>
    </w:p>
    <w:p w:rsidR="00000000" w:rsidDel="00000000" w:rsidP="00000000" w:rsidRDefault="00000000" w:rsidRPr="00000000" w14:paraId="000000A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Percent Successful – Displays the percent of patients currently meeting expectations for the eCQM.</w:t>
      </w:r>
      <w:r w:rsidDel="00000000" w:rsidR="00000000" w:rsidRPr="00000000">
        <w:rPr>
          <w:rtl w:val="0"/>
        </w:rPr>
      </w:r>
    </w:p>
    <w:p w:rsidR="00000000" w:rsidDel="00000000" w:rsidP="00000000" w:rsidRDefault="00000000" w:rsidRPr="00000000" w14:paraId="000000B0">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Patients Passing Count – Displays the current number of patients meeting expectations over the total number of patients in the test deck for the eCQM.</w:t>
      </w:r>
      <w:r w:rsidDel="00000000" w:rsidR="00000000" w:rsidRPr="00000000">
        <w:rPr>
          <w:rtl w:val="0"/>
        </w:rPr>
      </w:r>
    </w:p>
    <w:p w:rsidR="00000000" w:rsidDel="00000000" w:rsidP="00000000" w:rsidRDefault="00000000" w:rsidRPr="00000000" w14:paraId="000000B1">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Coverage – Displays the percentage of the measure logic that </w:t>
      </w:r>
      <w:r w:rsidDel="00000000" w:rsidR="00000000" w:rsidRPr="00000000">
        <w:rPr>
          <w:rtl w:val="0"/>
        </w:rPr>
        <w:t xml:space="preserve">has been evaluated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true for the patient test deck. This measure provides a method for determining how much of the logic has been tested.</w:t>
      </w:r>
      <w:r w:rsidDel="00000000" w:rsidR="00000000" w:rsidRPr="00000000">
        <w:rPr>
          <w:rtl w:val="0"/>
        </w:rPr>
      </w:r>
    </w:p>
    <w:p w:rsidR="00000000" w:rsidDel="00000000" w:rsidP="00000000" w:rsidRDefault="00000000" w:rsidRPr="00000000" w14:paraId="000000B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Patient – Allows the addition of a new patient to the test deck for this eCQM.</w:t>
      </w:r>
      <w:r w:rsidDel="00000000" w:rsidR="00000000" w:rsidRPr="00000000">
        <w:rPr>
          <w:rtl w:val="0"/>
        </w:rPr>
      </w:r>
    </w:p>
    <w:p w:rsidR="00000000" w:rsidDel="00000000" w:rsidP="00000000" w:rsidRDefault="00000000" w:rsidRPr="00000000" w14:paraId="000000B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Failing Patient – Displays an example of a patient that is not currently meeting expectations for the eCQM.</w:t>
      </w:r>
      <w:r w:rsidDel="00000000" w:rsidR="00000000" w:rsidRPr="00000000">
        <w:rPr>
          <w:rtl w:val="0"/>
        </w:rPr>
      </w:r>
    </w:p>
    <w:p w:rsidR="00000000" w:rsidDel="00000000" w:rsidP="00000000" w:rsidRDefault="00000000" w:rsidRPr="00000000" w14:paraId="000000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Passing Patient – Displays an example of a patient that is meeting expectations.</w:t>
      </w:r>
      <w:r w:rsidDel="00000000" w:rsidR="00000000" w:rsidRPr="00000000">
        <w:rPr>
          <w:rtl w:val="0"/>
        </w:rPr>
      </w:r>
    </w:p>
    <w:p w:rsidR="00000000" w:rsidDel="00000000" w:rsidP="00000000" w:rsidRDefault="00000000" w:rsidRPr="00000000" w14:paraId="000000B5">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Name – Displays the name given to the patient.</w:t>
      </w:r>
      <w:r w:rsidDel="00000000" w:rsidR="00000000" w:rsidRPr="00000000">
        <w:rPr>
          <w:rtl w:val="0"/>
        </w:rPr>
      </w:r>
    </w:p>
    <w:p w:rsidR="00000000" w:rsidDel="00000000" w:rsidP="00000000" w:rsidRDefault="00000000" w:rsidRPr="00000000" w14:paraId="000000B6">
      <w:pPr>
        <w:keepNext w:val="1"/>
        <w:keepLines w:val="1"/>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Status – Displays PASS or FAIL to indicate if the patient is meeting expectations.</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 Patient Results Button – Displays the calculation details of a patient. This display will show the expected and actual values for the patient against the eCQM.</w:t>
      </w:r>
      <w:r w:rsidDel="00000000" w:rsidR="00000000" w:rsidRPr="00000000">
        <w:rPr>
          <w:rtl w:val="0"/>
        </w:rPr>
      </w:r>
    </w:p>
    <w:p w:rsidR="00000000" w:rsidDel="00000000" w:rsidP="00000000" w:rsidRDefault="00000000" w:rsidRPr="00000000" w14:paraId="000000B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Result – If a patient has been selected with the Expand Patient Results Button, this displays the result of the logic evaluated on the selected patient.</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All Results – If a patient has been selected with the Expand Patient Results Button, this displays the result of each eCQM logic block evaluated on the selected patient.</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28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790010"/>
                <wp:effectExtent b="0" l="0" r="0" t="0"/>
                <wp:docPr id="65" name=""/>
                <a:graphic>
                  <a:graphicData uri="http://schemas.microsoft.com/office/word/2010/wordprocessingGroup">
                    <wpg:wgp>
                      <wpg:cNvGrpSpPr/>
                      <wpg:grpSpPr>
                        <a:xfrm>
                          <a:off x="152400" y="152400"/>
                          <a:ext cx="5943600" cy="3790010"/>
                          <a:chOff x="152400" y="152400"/>
                          <a:chExt cx="7315203" cy="4660963"/>
                        </a:xfrm>
                      </wpg:grpSpPr>
                      <pic:pic>
                        <pic:nvPicPr>
                          <pic:cNvPr id="2" name="Shape 2"/>
                          <pic:cNvPicPr preferRelativeResize="0"/>
                        </pic:nvPicPr>
                        <pic:blipFill>
                          <a:blip r:embed="rId29">
                            <a:alphaModFix/>
                          </a:blip>
                          <a:stretch>
                            <a:fillRect/>
                          </a:stretch>
                        </pic:blipFill>
                        <pic:spPr>
                          <a:xfrm>
                            <a:off x="152400" y="152400"/>
                            <a:ext cx="7315203" cy="4660963"/>
                          </a:xfrm>
                          <a:prstGeom prst="rect">
                            <a:avLst/>
                          </a:prstGeom>
                          <a:noFill/>
                          <a:ln>
                            <a:noFill/>
                          </a:ln>
                        </pic:spPr>
                      </pic:pic>
                      <wpg:grpSp>
                        <wpg:cNvGrpSpPr/>
                        <wpg:grpSpPr>
                          <a:xfrm>
                            <a:off x="936650" y="870228"/>
                            <a:ext cx="352800" cy="382397"/>
                            <a:chOff x="3970125" y="196053"/>
                            <a:chExt cx="352800" cy="382397"/>
                          </a:xfrm>
                        </wpg:grpSpPr>
                        <wps:wsp>
                          <wps:cNvSpPr/>
                          <wps:cNvPr id="4" name="Shape 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5953450" y="870228"/>
                            <a:ext cx="352800" cy="382397"/>
                            <a:chOff x="3970125" y="196053"/>
                            <a:chExt cx="352800" cy="382397"/>
                          </a:xfrm>
                        </wpg:grpSpPr>
                        <wps:wsp>
                          <wps:cNvSpPr/>
                          <wps:cNvPr id="7" name="Shape 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4135500" y="1273045"/>
                            <a:ext cx="352800" cy="382397"/>
                            <a:chOff x="3970125" y="196053"/>
                            <a:chExt cx="352800" cy="382397"/>
                          </a:xfrm>
                        </wpg:grpSpPr>
                        <wps:wsp>
                          <wps:cNvSpPr/>
                          <wps:cNvPr id="10" name="Shape 1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3689925" y="2317473"/>
                            <a:ext cx="352800" cy="382397"/>
                            <a:chOff x="3970125" y="196053"/>
                            <a:chExt cx="352800" cy="382397"/>
                          </a:xfrm>
                        </wpg:grpSpPr>
                        <wps:wsp>
                          <wps:cNvSpPr/>
                          <wps:cNvPr id="13" name="Shape 1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3682614" y="2960023"/>
                            <a:ext cx="352800" cy="382397"/>
                            <a:chOff x="3970125" y="196053"/>
                            <a:chExt cx="352800" cy="382397"/>
                          </a:xfrm>
                        </wpg:grpSpPr>
                        <wps:wsp>
                          <wps:cNvSpPr/>
                          <wps:cNvPr id="16" name="Shape 1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720625" y="3365378"/>
                            <a:ext cx="352800" cy="382397"/>
                            <a:chOff x="3970125" y="196053"/>
                            <a:chExt cx="352800" cy="382397"/>
                          </a:xfrm>
                        </wpg:grpSpPr>
                        <wps:wsp>
                          <wps:cNvSpPr/>
                          <wps:cNvPr id="19" name="Shape 1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6401775" y="1273053"/>
                            <a:ext cx="352800" cy="382397"/>
                            <a:chOff x="3970125" y="196053"/>
                            <a:chExt cx="352800" cy="382397"/>
                          </a:xfrm>
                        </wpg:grpSpPr>
                        <wps:wsp>
                          <wps:cNvSpPr/>
                          <wps:cNvPr id="22" name="Shape 2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4681825" y="1691948"/>
                            <a:ext cx="352800" cy="382397"/>
                            <a:chOff x="3970125" y="196053"/>
                            <a:chExt cx="352800" cy="382397"/>
                          </a:xfrm>
                        </wpg:grpSpPr>
                        <wps:wsp>
                          <wps:cNvSpPr/>
                          <wps:cNvPr id="25" name="Shape 2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grpSp>
                        <wpg:cNvGrpSpPr/>
                        <wpg:grpSpPr>
                          <a:xfrm>
                            <a:off x="6147800" y="1935078"/>
                            <a:ext cx="352800" cy="382397"/>
                            <a:chOff x="3970125" y="196053"/>
                            <a:chExt cx="352800" cy="382397"/>
                          </a:xfrm>
                        </wpg:grpSpPr>
                        <wps:wsp>
                          <wps:cNvSpPr/>
                          <wps:cNvPr id="28" name="Shape 2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9</w:t>
                                </w:r>
                              </w:p>
                            </w:txbxContent>
                          </wps:txbx>
                          <wps:bodyPr anchorCtr="0" anchor="t" bIns="91425" lIns="91425" spcFirstLastPara="1" rIns="91425" wrap="square" tIns="91425">
                            <a:noAutofit/>
                          </wps:bodyPr>
                        </wps:wsp>
                      </wpg:grpSp>
                      <wpg:grpSp>
                        <wpg:cNvGrpSpPr/>
                        <wpg:grpSpPr>
                          <a:xfrm>
                            <a:off x="4655950" y="2222200"/>
                            <a:ext cx="447300" cy="382400"/>
                            <a:chOff x="3950481" y="196050"/>
                            <a:chExt cx="447300" cy="382400"/>
                          </a:xfrm>
                        </wpg:grpSpPr>
                        <wps:wsp>
                          <wps:cNvSpPr/>
                          <wps:cNvPr id="31" name="Shape 3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10</w:t>
                                </w:r>
                              </w:p>
                            </w:txbxContent>
                          </wps:txbx>
                          <wps:bodyPr anchorCtr="0" anchor="t" bIns="91425" lIns="91425" spcFirstLastPara="1" rIns="91425" wrap="square" tIns="91425">
                            <a:noAutofit/>
                          </wps:bodyPr>
                        </wps:wsp>
                      </wpg:grpSp>
                      <wpg:grpSp>
                        <wpg:cNvGrpSpPr/>
                        <wpg:grpSpPr>
                          <a:xfrm>
                            <a:off x="6942706" y="1691950"/>
                            <a:ext cx="447300" cy="382400"/>
                            <a:chOff x="3950481" y="196050"/>
                            <a:chExt cx="447300" cy="382400"/>
                          </a:xfrm>
                        </wpg:grpSpPr>
                        <wps:wsp>
                          <wps:cNvSpPr/>
                          <wps:cNvPr id="34" name="Shape 3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11</w:t>
                                </w:r>
                              </w:p>
                            </w:txbxContent>
                          </wps:txbx>
                          <wps:bodyPr anchorCtr="0" anchor="t" bIns="91425" lIns="91425" spcFirstLastPara="1" rIns="91425" wrap="square" tIns="91425">
                            <a:noAutofit/>
                          </wps:bodyPr>
                        </wps:wsp>
                      </wpg:grpSp>
                      <wpg:grpSp>
                        <wpg:cNvGrpSpPr/>
                        <wpg:grpSpPr>
                          <a:xfrm>
                            <a:off x="4606936" y="2828092"/>
                            <a:ext cx="447300" cy="382400"/>
                            <a:chOff x="3950481" y="196050"/>
                            <a:chExt cx="447300" cy="382400"/>
                          </a:xfrm>
                        </wpg:grpSpPr>
                        <wps:wsp>
                          <wps:cNvSpPr/>
                          <wps:cNvPr id="37" name="Shape 3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12</w:t>
                                </w:r>
                              </w:p>
                            </w:txbxContent>
                          </wps:txbx>
                          <wps:bodyPr anchorCtr="0" anchor="t" bIns="91425" lIns="91425" spcFirstLastPara="1" rIns="91425" wrap="square" tIns="91425">
                            <a:noAutofit/>
                          </wps:bodyPr>
                        </wps:wsp>
                      </wpg:grpSp>
                      <wpg:grpSp>
                        <wpg:cNvGrpSpPr/>
                        <wpg:grpSpPr>
                          <a:xfrm>
                            <a:off x="4606942" y="3365381"/>
                            <a:ext cx="447300" cy="382400"/>
                            <a:chOff x="3950481" y="196050"/>
                            <a:chExt cx="447300" cy="382400"/>
                          </a:xfrm>
                        </wpg:grpSpPr>
                        <wps:wsp>
                          <wps:cNvSpPr/>
                          <wps:cNvPr id="40" name="Shape 4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13</w:t>
                                </w:r>
                              </w:p>
                            </w:txbxContent>
                          </wps:txbx>
                          <wps:bodyPr anchorCtr="0" anchor="t" bIns="91425" lIns="91425" spcFirstLastPara="1" rIns="91425" wrap="square" tIns="91425">
                            <a:noAutofit/>
                          </wps:bodyPr>
                        </wps:wsp>
                      </wpg:grpSp>
                      <wpg:grpSp>
                        <wpg:cNvGrpSpPr/>
                        <wpg:grpSpPr>
                          <a:xfrm>
                            <a:off x="5458956" y="3606222"/>
                            <a:ext cx="447300" cy="382400"/>
                            <a:chOff x="3950481" y="196050"/>
                            <a:chExt cx="447300" cy="382400"/>
                          </a:xfrm>
                        </wpg:grpSpPr>
                        <wps:wsp>
                          <wps:cNvSpPr/>
                          <wps:cNvPr id="43" name="Shape 4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14</w:t>
                                </w:r>
                              </w:p>
                            </w:txbxContent>
                          </wps:txbx>
                          <wps:bodyPr anchorCtr="0" anchor="t" bIns="91425" lIns="91425" spcFirstLastPara="1" rIns="91425" wrap="square" tIns="91425">
                            <a:noAutofit/>
                          </wps:bodyPr>
                        </wps:wsp>
                      </wpg:grpSp>
                      <wpg:grpSp>
                        <wpg:cNvGrpSpPr/>
                        <wpg:grpSpPr>
                          <a:xfrm>
                            <a:off x="6444581" y="3606225"/>
                            <a:ext cx="447300" cy="382400"/>
                            <a:chOff x="3950481" y="196050"/>
                            <a:chExt cx="447300" cy="382400"/>
                          </a:xfrm>
                        </wpg:grpSpPr>
                        <wps:wsp>
                          <wps:cNvSpPr/>
                          <wps:cNvPr id="46" name="Shape 4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15</w:t>
                                </w:r>
                              </w:p>
                            </w:txbxContent>
                          </wps:txbx>
                          <wps:bodyPr anchorCtr="0" anchor="t" bIns="91425" lIns="91425" spcFirstLastPara="1" rIns="91425" wrap="square" tIns="91425">
                            <a:noAutofit/>
                          </wps:bodyPr>
                        </wps:wsp>
                      </wpg:grpSp>
                      <wpg:grpSp>
                        <wpg:cNvGrpSpPr/>
                        <wpg:grpSpPr>
                          <a:xfrm>
                            <a:off x="6942706" y="3345770"/>
                            <a:ext cx="447300" cy="382400"/>
                            <a:chOff x="3950481" y="196050"/>
                            <a:chExt cx="447300" cy="382400"/>
                          </a:xfrm>
                        </wpg:grpSpPr>
                        <wps:wsp>
                          <wps:cNvSpPr/>
                          <wps:cNvPr id="49" name="Shape 4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16</w:t>
                                </w:r>
                              </w:p>
                            </w:txbxContent>
                          </wps:txbx>
                          <wps:bodyPr anchorCtr="0" anchor="t" bIns="91425" lIns="91425" spcFirstLastPara="1" rIns="91425" wrap="square" tIns="91425">
                            <a:noAutofit/>
                          </wps:bodyPr>
                        </wps:wsp>
                      </wpg:grpSp>
                      <wpg:grpSp>
                        <wpg:cNvGrpSpPr/>
                        <wpg:grpSpPr>
                          <a:xfrm>
                            <a:off x="1289456" y="3757578"/>
                            <a:ext cx="447300" cy="382400"/>
                            <a:chOff x="3950481" y="196050"/>
                            <a:chExt cx="447300" cy="382400"/>
                          </a:xfrm>
                        </wpg:grpSpPr>
                        <wps:wsp>
                          <wps:cNvSpPr/>
                          <wps:cNvPr id="52" name="Shape 5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17</w:t>
                                </w:r>
                              </w:p>
                            </w:txbxContent>
                          </wps:txbx>
                          <wps:bodyPr anchorCtr="0" anchor="t" bIns="91425" lIns="91425" spcFirstLastPara="1" rIns="91425" wrap="square" tIns="91425">
                            <a:noAutofit/>
                          </wps:bodyPr>
                        </wps:wsp>
                      </wpg:grpSp>
                      <wpg:grpSp>
                        <wpg:cNvGrpSpPr/>
                        <wpg:grpSpPr>
                          <a:xfrm>
                            <a:off x="1392661" y="2584995"/>
                            <a:ext cx="447300" cy="382400"/>
                            <a:chOff x="3950481" y="196050"/>
                            <a:chExt cx="447300" cy="382400"/>
                          </a:xfrm>
                        </wpg:grpSpPr>
                        <wps:wsp>
                          <wps:cNvSpPr/>
                          <wps:cNvPr id="55" name="Shape 5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3950481" y="196050"/>
                              <a:ext cx="4473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18</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790010"/>
                <wp:effectExtent b="0" l="0" r="0" t="0"/>
                <wp:docPr id="65"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5943600" cy="37900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47n2zr" w:id="30"/>
      <w:bookmarkEnd w:id="3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10. Measure View</w:t>
      </w:r>
    </w:p>
    <w:p w:rsidR="00000000" w:rsidDel="00000000" w:rsidP="00000000" w:rsidRDefault="00000000" w:rsidRPr="00000000" w14:paraId="000000BC">
      <w:pPr>
        <w:rPr/>
      </w:pPr>
      <w:r w:rsidDel="00000000" w:rsidR="00000000" w:rsidRPr="00000000">
        <w:rPr>
          <w:rtl w:val="0"/>
        </w:rPr>
        <w:t xml:space="preserve">The following UI elements (indicated by their item numbers in Figure 11) appear at the bottom of the Measure View Page:</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Terminology – Displays the value sets from the eCQM and referenced libraries. Clicking on any one of these value sets will show the list of codes associated with that value set.</w:t>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Overlapping Value Sets – Displays value sets in the eCQM and referenced libraries that have shared codes.</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0" distT="0" distL="0" distR="0">
            <wp:extent cx="4714680" cy="4513726"/>
            <wp:effectExtent b="0" l="0" r="0" t="0"/>
            <wp:docPr descr="Figure 11: Measure Terminology and Overlapping Value Sets&#10;&#10;Figure 11 depicts the UI elements in the Measure Terminology and Overlapping Value Sets sections in the Measure View page in Bonnie as described in the text immediately preceding the figure." id="79" name="image6.png"/>
            <a:graphic>
              <a:graphicData uri="http://schemas.openxmlformats.org/drawingml/2006/picture">
                <pic:pic>
                  <pic:nvPicPr>
                    <pic:cNvPr descr="Figure 11: Measure Terminology and Overlapping Value Sets&#10;&#10;Figure 11 depicts the UI elements in the Measure Terminology and Overlapping Value Sets sections in the Measure View page in Bonnie as described in the text immediately preceding the figure." id="0" name="image6.png"/>
                    <pic:cNvPicPr preferRelativeResize="0"/>
                  </pic:nvPicPr>
                  <pic:blipFill>
                    <a:blip r:embed="rId31"/>
                    <a:srcRect b="0" l="0" r="0" t="0"/>
                    <a:stretch>
                      <a:fillRect/>
                    </a:stretch>
                  </pic:blipFill>
                  <pic:spPr>
                    <a:xfrm>
                      <a:off x="0" y="0"/>
                      <a:ext cx="4714680" cy="451372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o7alnk" w:id="31"/>
      <w:bookmarkEnd w:id="31"/>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11. Measure Terminology and Overlapping Value Sets</w:t>
      </w:r>
    </w:p>
    <w:p w:rsidR="00000000" w:rsidDel="00000000" w:rsidP="00000000" w:rsidRDefault="00000000" w:rsidRPr="00000000" w14:paraId="000000C1">
      <w:pPr>
        <w:pStyle w:val="Heading2"/>
        <w:numPr>
          <w:ilvl w:val="1"/>
          <w:numId w:val="4"/>
        </w:numPr>
        <w:ind w:left="720" w:hanging="720"/>
        <w:rPr/>
      </w:pPr>
      <w:bookmarkStart w:colFirst="0" w:colLast="0" w:name="_heading=h.23ckvvd" w:id="32"/>
      <w:bookmarkEnd w:id="32"/>
      <w:r w:rsidDel="00000000" w:rsidR="00000000" w:rsidRPr="00000000">
        <w:rPr>
          <w:rtl w:val="0"/>
        </w:rPr>
        <w:t xml:space="preserve">Measure Logic</w:t>
      </w:r>
    </w:p>
    <w:p w:rsidR="00000000" w:rsidDel="00000000" w:rsidP="00000000" w:rsidRDefault="00000000" w:rsidRPr="00000000" w14:paraId="000000C2">
      <w:pPr>
        <w:rPr/>
      </w:pPr>
      <w:r w:rsidDel="00000000" w:rsidR="00000000" w:rsidRPr="00000000">
        <w:rPr>
          <w:rtl w:val="0"/>
        </w:rPr>
        <w:t xml:space="preserve">The left-hand side of the Measure View contains the measure title, description, and a representation of the logic. The representation of the eCQM logic is similar to the human-readable display for the eCQM provided in the MAT measure exports.</w:t>
      </w:r>
    </w:p>
    <w:p w:rsidR="00000000" w:rsidDel="00000000" w:rsidP="00000000" w:rsidRDefault="00000000" w:rsidRPr="00000000" w14:paraId="000000C3">
      <w:pPr>
        <w:rPr/>
      </w:pPr>
      <w:r w:rsidDel="00000000" w:rsidR="00000000" w:rsidRPr="00000000">
        <w:rPr>
          <w:rtl w:val="0"/>
        </w:rPr>
        <w:t xml:space="preserve">The eCQM logic section can be used to verify that the eCQM logic was properly loaded from the measure bundle without the loss of any logical conditions. The logic can also be used to evaluate the nature of the calculation of a test patient against the logic (please refer to subsection 4.4, </w:t>
      </w:r>
      <w:r w:rsidDel="00000000" w:rsidR="00000000" w:rsidRPr="00000000">
        <w:rPr>
          <w:i w:val="1"/>
          <w:rtl w:val="0"/>
        </w:rPr>
        <w:t xml:space="preserve">Calculation Results</w:t>
      </w:r>
      <w:r w:rsidDel="00000000" w:rsidR="00000000" w:rsidRPr="00000000">
        <w:rPr>
          <w:rtl w:val="0"/>
        </w:rPr>
        <w:t xml:space="preserve">) and to visualize the test coverage of the eCQM logic.</w:t>
      </w:r>
    </w:p>
    <w:p w:rsidR="00000000" w:rsidDel="00000000" w:rsidP="00000000" w:rsidRDefault="00000000" w:rsidRPr="00000000" w14:paraId="000000C4">
      <w:pPr>
        <w:pStyle w:val="Heading2"/>
        <w:numPr>
          <w:ilvl w:val="1"/>
          <w:numId w:val="4"/>
        </w:numPr>
        <w:ind w:left="720" w:hanging="720"/>
        <w:rPr/>
      </w:pPr>
      <w:bookmarkStart w:colFirst="0" w:colLast="0" w:name="_heading=h.ihv636" w:id="33"/>
      <w:bookmarkEnd w:id="33"/>
      <w:r w:rsidDel="00000000" w:rsidR="00000000" w:rsidRPr="00000000">
        <w:rPr>
          <w:rtl w:val="0"/>
        </w:rPr>
        <w:t xml:space="preserve">Creating a New Test Record</w:t>
      </w:r>
    </w:p>
    <w:p w:rsidR="00000000" w:rsidDel="00000000" w:rsidP="00000000" w:rsidRDefault="00000000" w:rsidRPr="00000000" w14:paraId="000000C5">
      <w:pPr>
        <w:rPr/>
      </w:pPr>
      <w:r w:rsidDel="00000000" w:rsidR="00000000" w:rsidRPr="00000000">
        <w:rPr>
          <w:rtl w:val="0"/>
        </w:rPr>
        <w:t xml:space="preserve">To create a new test record, begin by clicking the “Add Patient” button (item #11) in the Measure View (Figure 10). This action opens the Patient Builder (shown in </w:t>
      </w:r>
      <w:r w:rsidDel="00000000" w:rsidR="00000000" w:rsidRPr="00000000">
        <w:rPr>
          <w:rtl w:val="0"/>
        </w:rPr>
        <w:t xml:space="preserve">Figure 17</w:t>
      </w:r>
      <w:r w:rsidDel="00000000" w:rsidR="00000000" w:rsidRPr="00000000">
        <w:rPr>
          <w:rtl w:val="0"/>
        </w:rPr>
        <w:t xml:space="preserve">). After creating the test patient record, the application returns the user to the Measure View where the user can evaluate the results of calculating the patient against the eCQM.</w:t>
      </w:r>
    </w:p>
    <w:p w:rsidR="00000000" w:rsidDel="00000000" w:rsidP="00000000" w:rsidRDefault="00000000" w:rsidRPr="00000000" w14:paraId="000000C6">
      <w:pPr>
        <w:pStyle w:val="Heading2"/>
        <w:keepLines w:val="1"/>
        <w:numPr>
          <w:ilvl w:val="1"/>
          <w:numId w:val="4"/>
        </w:numPr>
        <w:ind w:left="720" w:hanging="720"/>
        <w:rPr/>
      </w:pPr>
      <w:bookmarkStart w:colFirst="0" w:colLast="0" w:name="_heading=h.32hioqz" w:id="34"/>
      <w:bookmarkEnd w:id="34"/>
      <w:r w:rsidDel="00000000" w:rsidR="00000000" w:rsidRPr="00000000">
        <w:rPr>
          <w:rtl w:val="0"/>
        </w:rPr>
        <w:t xml:space="preserve">Calculation Results</w:t>
      </w:r>
    </w:p>
    <w:p w:rsidR="00000000" w:rsidDel="00000000" w:rsidP="00000000" w:rsidRDefault="00000000" w:rsidRPr="00000000" w14:paraId="000000C7">
      <w:pPr>
        <w:keepNext w:val="1"/>
        <w:keepLines w:val="1"/>
        <w:rPr/>
      </w:pPr>
      <w:r w:rsidDel="00000000" w:rsidR="00000000" w:rsidRPr="00000000">
        <w:rPr>
          <w:rtl w:val="0"/>
        </w:rPr>
        <w:t xml:space="preserve">The user can calculate the test patient against the logic of the eCQM in the Measure View (Figure 10). High-level results are calculated automatically when the Measure View is loaded. These high-level results appear under the test patients section on the right-hand side of the Measure View. These results include the percent of patients passing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8), the test coverage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10), individual statuses for each patient (items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2-13), and the passing patient count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9).</w:t>
      </w:r>
    </w:p>
    <w:p w:rsidR="00000000" w:rsidDel="00000000" w:rsidP="00000000" w:rsidRDefault="00000000" w:rsidRPr="00000000" w14:paraId="000000C8">
      <w:pPr>
        <w:rPr/>
      </w:pPr>
      <w:r w:rsidDel="00000000" w:rsidR="00000000" w:rsidRPr="00000000">
        <w:rPr>
          <w:rtl w:val="0"/>
        </w:rPr>
        <w:t xml:space="preserve">In addition to these high-level results, detailed results can be displayed for an individual patient by clicking the “Expand Patient Results” button (</w:t>
      </w:r>
      <w:r w:rsidDel="00000000" w:rsidR="00000000" w:rsidRPr="00000000">
        <w:rPr>
          <w:rFonts w:ascii="Times New Roman" w:cs="Times New Roman" w:eastAsia="Times New Roman" w:hAnsi="Times New Roman"/>
          <w:b w:val="0"/>
          <w:i w:val="0"/>
          <w:color w:val="000000"/>
          <w:rtl w:val="0"/>
        </w:rPr>
        <w:t xml:space="preserve">#16</w:t>
      </w:r>
      <w:r w:rsidDel="00000000" w:rsidR="00000000" w:rsidRPr="00000000">
        <w:rPr>
          <w:rtl w:val="0"/>
        </w:rPr>
        <w:t xml:space="preserve">). This displays a table of expected and actual results for the patient covering each population listed in the measure and shows whether that population currently meets or fails expectations.</w:t>
      </w:r>
    </w:p>
    <w:p w:rsidR="00000000" w:rsidDel="00000000" w:rsidP="00000000" w:rsidRDefault="00000000" w:rsidRPr="00000000" w14:paraId="000000C9">
      <w:pPr>
        <w:rPr/>
      </w:pPr>
      <w:r w:rsidDel="00000000" w:rsidR="00000000" w:rsidRPr="00000000">
        <w:rPr>
          <w:rtl w:val="0"/>
        </w:rPr>
        <w:t xml:space="preserve">The Expanded Results View employs the following UI elements (as indicated by their item numbers in Figure 12):</w:t>
      </w:r>
    </w:p>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Failing Population – A population for which the patient fails.</w:t>
      </w:r>
      <w:r w:rsidDel="00000000" w:rsidR="00000000" w:rsidRPr="00000000">
        <w:rPr>
          <w:rtl w:val="0"/>
        </w:rPr>
      </w:r>
    </w:p>
    <w:p w:rsidR="00000000" w:rsidDel="00000000" w:rsidP="00000000" w:rsidRDefault="00000000" w:rsidRPr="00000000" w14:paraId="000000C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Passing Population – A population for which the patient passes.</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Column – A list of the population types.</w:t>
      </w:r>
      <w:r w:rsidDel="00000000" w:rsidR="00000000" w:rsidRPr="00000000">
        <w:rPr>
          <w:rtl w:val="0"/>
        </w:rPr>
      </w:r>
    </w:p>
    <w:p w:rsidR="00000000" w:rsidDel="00000000" w:rsidP="00000000" w:rsidRDefault="00000000" w:rsidRPr="00000000" w14:paraId="000000C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Expected Value – The user-defined expected value for the population.</w:t>
      </w:r>
      <w:r w:rsidDel="00000000" w:rsidR="00000000" w:rsidRPr="00000000">
        <w:rPr>
          <w:rtl w:val="0"/>
        </w:rPr>
      </w:r>
    </w:p>
    <w:p w:rsidR="00000000" w:rsidDel="00000000" w:rsidP="00000000" w:rsidRDefault="00000000" w:rsidRPr="00000000" w14:paraId="000000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 Value – The calculated value for that population.</w:t>
      </w:r>
      <w:r w:rsidDel="00000000" w:rsidR="00000000" w:rsidRPr="00000000">
        <w:rPr>
          <w:rtl w:val="0"/>
        </w:rPr>
      </w:r>
    </w:p>
    <w:p w:rsidR="00000000" w:rsidDel="00000000" w:rsidP="00000000" w:rsidRDefault="00000000" w:rsidRPr="00000000" w14:paraId="000000C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 Patient Button – Allows editing of the selected patient.</w:t>
      </w:r>
      <w:r w:rsidDel="00000000" w:rsidR="00000000" w:rsidRPr="00000000">
        <w:rPr>
          <w:rtl w:val="0"/>
        </w:rPr>
      </w:r>
    </w:p>
    <w:p w:rsidR="00000000" w:rsidDel="00000000" w:rsidP="00000000" w:rsidRDefault="00000000" w:rsidRPr="00000000" w14:paraId="000000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Patient Button – Allows cloning of the selected patient.</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Patient Button – Allows deleting of the selected patient.</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395913" cy="4773307"/>
                <wp:effectExtent b="0" l="0" r="0" t="0"/>
                <wp:docPr id="70" name=""/>
                <a:graphic>
                  <a:graphicData uri="http://schemas.microsoft.com/office/word/2010/wordprocessingGroup">
                    <wpg:wgp>
                      <wpg:cNvGrpSpPr/>
                      <wpg:grpSpPr>
                        <a:xfrm>
                          <a:off x="152400" y="152400"/>
                          <a:ext cx="5395913" cy="4773307"/>
                          <a:chOff x="152400" y="152400"/>
                          <a:chExt cx="6203913" cy="5489250"/>
                        </a:xfrm>
                      </wpg:grpSpPr>
                      <pic:pic>
                        <pic:nvPicPr>
                          <pic:cNvPr id="136" name="Shape 136"/>
                          <pic:cNvPicPr preferRelativeResize="0"/>
                        </pic:nvPicPr>
                        <pic:blipFill>
                          <a:blip r:embed="rId32">
                            <a:alphaModFix/>
                          </a:blip>
                          <a:stretch>
                            <a:fillRect/>
                          </a:stretch>
                        </pic:blipFill>
                        <pic:spPr>
                          <a:xfrm>
                            <a:off x="152400" y="152400"/>
                            <a:ext cx="6203913" cy="5410200"/>
                          </a:xfrm>
                          <a:prstGeom prst="rect">
                            <a:avLst/>
                          </a:prstGeom>
                          <a:noFill/>
                          <a:ln>
                            <a:noFill/>
                          </a:ln>
                        </pic:spPr>
                      </pic:pic>
                      <wpg:grpSp>
                        <wpg:cNvGrpSpPr/>
                        <wpg:grpSpPr>
                          <a:xfrm>
                            <a:off x="230850" y="2445695"/>
                            <a:ext cx="352800" cy="382397"/>
                            <a:chOff x="3970125" y="196053"/>
                            <a:chExt cx="352800" cy="382397"/>
                          </a:xfrm>
                        </wpg:grpSpPr>
                        <wps:wsp>
                          <wps:cNvSpPr/>
                          <wps:cNvPr id="138" name="Shape 13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9" name="Shape 13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230850" y="2943978"/>
                            <a:ext cx="352800" cy="382397"/>
                            <a:chOff x="3970125" y="196053"/>
                            <a:chExt cx="352800" cy="382397"/>
                          </a:xfrm>
                        </wpg:grpSpPr>
                        <wps:wsp>
                          <wps:cNvSpPr/>
                          <wps:cNvPr id="141" name="Shape 14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2" name="Shape 14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1515925" y="1537728"/>
                            <a:ext cx="352800" cy="382397"/>
                            <a:chOff x="3970125" y="196053"/>
                            <a:chExt cx="352800" cy="382397"/>
                          </a:xfrm>
                        </wpg:grpSpPr>
                        <wps:wsp>
                          <wps:cNvSpPr/>
                          <wps:cNvPr id="144" name="Shape 14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5" name="Shape 14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3633600" y="1537728"/>
                            <a:ext cx="352800" cy="382397"/>
                            <a:chOff x="3970125" y="196053"/>
                            <a:chExt cx="352800" cy="382397"/>
                          </a:xfrm>
                        </wpg:grpSpPr>
                        <wps:wsp>
                          <wps:cNvSpPr/>
                          <wps:cNvPr id="147" name="Shape 14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8" name="Shape 14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5065425" y="1537728"/>
                            <a:ext cx="352800" cy="382397"/>
                            <a:chOff x="3970125" y="196053"/>
                            <a:chExt cx="352800" cy="382397"/>
                          </a:xfrm>
                        </wpg:grpSpPr>
                        <wps:wsp>
                          <wps:cNvSpPr/>
                          <wps:cNvPr id="150" name="Shape 15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1" name="Shape 151"/>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639950" y="5259253"/>
                            <a:ext cx="352800" cy="382397"/>
                            <a:chOff x="3970125" y="196053"/>
                            <a:chExt cx="352800" cy="382397"/>
                          </a:xfrm>
                        </wpg:grpSpPr>
                        <wps:wsp>
                          <wps:cNvSpPr/>
                          <wps:cNvPr id="153" name="Shape 15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1360900" y="5259253"/>
                            <a:ext cx="352800" cy="382397"/>
                            <a:chOff x="3970125" y="196053"/>
                            <a:chExt cx="352800" cy="382397"/>
                          </a:xfrm>
                        </wpg:grpSpPr>
                        <wps:wsp>
                          <wps:cNvSpPr/>
                          <wps:cNvPr id="156" name="Shape 15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7" name="Shape 15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2023075" y="5259253"/>
                            <a:ext cx="352800" cy="382397"/>
                            <a:chOff x="3970125" y="196053"/>
                            <a:chExt cx="352800" cy="382397"/>
                          </a:xfrm>
                        </wpg:grpSpPr>
                        <wps:wsp>
                          <wps:cNvSpPr/>
                          <wps:cNvPr id="159" name="Shape 15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0" name="Shape 16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395913" cy="4773307"/>
                <wp:effectExtent b="0" l="0" r="0" t="0"/>
                <wp:docPr id="70" name="image10.png"/>
                <a:graphic>
                  <a:graphicData uri="http://schemas.openxmlformats.org/drawingml/2006/picture">
                    <pic:pic>
                      <pic:nvPicPr>
                        <pic:cNvPr id="0" name="image10.png"/>
                        <pic:cNvPicPr preferRelativeResize="0"/>
                      </pic:nvPicPr>
                      <pic:blipFill>
                        <a:blip r:embed="rId33"/>
                        <a:srcRect/>
                        <a:stretch>
                          <a:fillRect/>
                        </a:stretch>
                      </pic:blipFill>
                      <pic:spPr>
                        <a:xfrm>
                          <a:off x="0" y="0"/>
                          <a:ext cx="5395913" cy="477330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hmsyys" w:id="35"/>
      <w:bookmarkEnd w:id="35"/>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12. Expanded Results View</w:t>
      </w:r>
    </w:p>
    <w:p w:rsidR="00000000" w:rsidDel="00000000" w:rsidP="00000000" w:rsidRDefault="00000000" w:rsidRPr="00000000" w14:paraId="000000D4">
      <w:pPr>
        <w:spacing w:after="240" w:lineRule="auto"/>
        <w:rPr/>
      </w:pPr>
      <w:r w:rsidDel="00000000" w:rsidR="00000000" w:rsidRPr="00000000">
        <w:rPr>
          <w:rtl w:val="0"/>
        </w:rPr>
        <w:t xml:space="preserve">Clicking the “Expand Patient Results” button also displays the patient results calculated against each line of logic. This information is displayed in the measure logic section of the view by highlighting each logic clause. As shown in Figure 13, Figure 14, and Figure 15, a green highlight (accompanied by a </w:t>
      </w:r>
      <w:r w:rsidDel="00000000" w:rsidR="00000000" w:rsidRPr="00000000">
        <w:rPr>
          <w:u w:val="single"/>
          <w:rtl w:val="0"/>
        </w:rPr>
        <w:t xml:space="preserve">solid underline</w:t>
      </w:r>
      <w:r w:rsidDel="00000000" w:rsidR="00000000" w:rsidRPr="00000000">
        <w:rPr>
          <w:rtl w:val="0"/>
        </w:rPr>
        <w:t xml:space="preserve">) indicates a passing result for the logic calculation, while a red highlight (accompanied by a </w:t>
      </w:r>
      <w:r w:rsidDel="00000000" w:rsidR="00000000" w:rsidRPr="00000000">
        <w:rPr>
          <w:u w:val="single"/>
          <w:rtl w:val="0"/>
        </w:rPr>
        <w:t xml:space="preserve">double-underline</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indicates a failing result over the applicable lines of text.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762500" cy="1308100"/>
            <wp:effectExtent b="0" l="0" r="0" t="0"/>
            <wp:docPr descr="Figure 13: Logic Calculation Highlight - Passing Results&#10;&#10;Figure 13 depicts the logic calculation highlight (passing results) for the Initial Population as described in the paragraph immediately following the figure." id="78" name="image14.png"/>
            <a:graphic>
              <a:graphicData uri="http://schemas.openxmlformats.org/drawingml/2006/picture">
                <pic:pic>
                  <pic:nvPicPr>
                    <pic:cNvPr descr="Figure 13: Logic Calculation Highlight - Passing Results&#10;&#10;Figure 13 depicts the logic calculation highlight (passing results) for the Initial Population as described in the paragraph immediately following the figure." id="0" name="image14.png"/>
                    <pic:cNvPicPr preferRelativeResize="0"/>
                  </pic:nvPicPr>
                  <pic:blipFill>
                    <a:blip r:embed="rId34"/>
                    <a:srcRect b="0" l="0" r="0" t="0"/>
                    <a:stretch>
                      <a:fillRect/>
                    </a:stretch>
                  </pic:blipFill>
                  <pic:spPr>
                    <a:xfrm>
                      <a:off x="0" y="0"/>
                      <a:ext cx="47625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41mghml" w:id="36"/>
      <w:bookmarkEnd w:id="36"/>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13. Logic Calculation Highlight – Passing Results</w:t>
      </w:r>
    </w:p>
    <w:p w:rsidR="00000000" w:rsidDel="00000000" w:rsidP="00000000" w:rsidRDefault="00000000" w:rsidRPr="00000000" w14:paraId="000000D7">
      <w:pPr>
        <w:rPr/>
      </w:pPr>
      <w:r w:rsidDel="00000000" w:rsidR="00000000" w:rsidRPr="00000000">
        <w:rPr>
          <w:rtl w:val="0"/>
        </w:rPr>
        <w:t xml:space="preserve">Figure 13 shows the results of a single patient calculated against the eCQM logic. The highlighting of the eCQM logic text for calculation is intended to provide a clearer understanding of why a patient is calculating to a specific population, and uses the following indications of status:</w:t>
      </w:r>
    </w:p>
    <w:p w:rsidR="00000000" w:rsidDel="00000000" w:rsidP="00000000" w:rsidRDefault="00000000" w:rsidRPr="00000000" w14:paraId="000000D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evaluated to TRUE – Green highlighting along with a solid underline</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80" w:before="6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evaluated to FALSE – Red highlighting along with a double underline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results of the calculation in Figure 13 are that the patient aligns with the logic of the initial patient population (IPP). The highlighting of the logic in Figure 13 indicates that every AND condition evaluated to true and at least one condition from each OR evaluated to true. Based on this calculation, the “Inpatient Encounters” definition evaluates to true for the patient.</w:t>
      </w:r>
    </w:p>
    <w:p w:rsidR="00000000" w:rsidDel="00000000" w:rsidP="00000000" w:rsidRDefault="00000000" w:rsidRPr="00000000" w14:paraId="000000DB">
      <w:pPr>
        <w:spacing w:after="240" w:lineRule="auto"/>
        <w:rPr/>
      </w:pPr>
      <w:r w:rsidDel="00000000" w:rsidR="00000000" w:rsidRPr="00000000">
        <w:rPr>
          <w:rtl w:val="0"/>
        </w:rPr>
        <w:t xml:space="preserve">The “Show Result” button at the bottom of Figure 13 can be used to expand the result, as shown in Figure 14. To collapse the results, click the “Hide Result” button.</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rPr>
        <w:drawing>
          <wp:inline distB="114300" distT="114300" distL="114300" distR="114300">
            <wp:extent cx="5943600" cy="3238500"/>
            <wp:effectExtent b="0" l="0" r="0" t="0"/>
            <wp:docPr id="8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grqrue" w:id="37"/>
      <w:bookmarkEnd w:id="37"/>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14. Logic Calculation Highlight – Expanded Result</w:t>
      </w:r>
    </w:p>
    <w:p w:rsidR="00000000" w:rsidDel="00000000" w:rsidP="00000000" w:rsidRDefault="00000000" w:rsidRPr="00000000" w14:paraId="000000DE">
      <w:pPr>
        <w:rPr/>
      </w:pPr>
      <w:r w:rsidDel="00000000" w:rsidR="00000000" w:rsidRPr="00000000">
        <w:rPr>
          <w:rtl w:val="0"/>
        </w:rPr>
        <w:t xml:space="preserve">In Figure 14, the bottom grey box displays information regarding the result of the eCQM logic definition evaluated on the selected patient. In the example shown, the “Inpatient Encounters” definition looks for encounters in a certain time range. The grey box will display all encounters that meet that criteria; in this example, the selected patient has one encounter that meets the criteria.</w:t>
      </w:r>
    </w:p>
    <w:p w:rsidR="00000000" w:rsidDel="00000000" w:rsidP="00000000" w:rsidRDefault="00000000" w:rsidRPr="00000000" w14:paraId="000000DF">
      <w:pPr>
        <w:rPr/>
      </w:pPr>
      <w:r w:rsidDel="00000000" w:rsidR="00000000" w:rsidRPr="00000000">
        <w:rPr>
          <w:rtl w:val="0"/>
        </w:rPr>
        <w:t xml:space="preserve">In Figure 15, the population is highlighted in red, indicating that the logical statements evaluate to false. Some clauses in this figure are green, indicating they are true; however, the false female statement causes the AND logic to be false, and therefore, the results calculated in Figure 15 indicate that the patient is neither included in the IPP nor the Denominator.</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4624498" cy="1335416"/>
            <wp:effectExtent b="0" l="0" r="0" t="0"/>
            <wp:docPr descr="Figure 15: Logic Calculation Highlight - Failing Results&#10;&#10;Figure 15 depicts the logic calculation highlight (failing results) for the Initial Populationas described in the paragraph immediately following the figure." id="82" name="image11.png"/>
            <a:graphic>
              <a:graphicData uri="http://schemas.openxmlformats.org/drawingml/2006/picture">
                <pic:pic>
                  <pic:nvPicPr>
                    <pic:cNvPr descr="Figure 15: Logic Calculation Highlight - Failing Results&#10;&#10;Figure 15 depicts the logic calculation highlight (failing results) for the Initial Populationas described in the paragraph immediately following the figure." id="0" name="image11.png"/>
                    <pic:cNvPicPr preferRelativeResize="0"/>
                  </pic:nvPicPr>
                  <pic:blipFill>
                    <a:blip r:embed="rId36"/>
                    <a:srcRect b="0" l="0" r="0" t="0"/>
                    <a:stretch>
                      <a:fillRect/>
                    </a:stretch>
                  </pic:blipFill>
                  <pic:spPr>
                    <a:xfrm>
                      <a:off x="0" y="0"/>
                      <a:ext cx="4624498" cy="133541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vx1227" w:id="38"/>
      <w:bookmarkEnd w:id="38"/>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15. Logic Calculation Highlight – Failing Results</w:t>
      </w:r>
    </w:p>
    <w:p w:rsidR="00000000" w:rsidDel="00000000" w:rsidP="00000000" w:rsidRDefault="00000000" w:rsidRPr="00000000" w14:paraId="000000E2">
      <w:pPr>
        <w:pStyle w:val="Heading2"/>
        <w:numPr>
          <w:ilvl w:val="1"/>
          <w:numId w:val="4"/>
        </w:numPr>
        <w:ind w:left="720" w:hanging="720"/>
        <w:rPr/>
      </w:pPr>
      <w:bookmarkStart w:colFirst="0" w:colLast="0" w:name="_heading=h.3fwokq0" w:id="39"/>
      <w:bookmarkEnd w:id="39"/>
      <w:r w:rsidDel="00000000" w:rsidR="00000000" w:rsidRPr="00000000">
        <w:rPr>
          <w:rtl w:val="0"/>
        </w:rPr>
        <w:t xml:space="preserve">Editing a Test Record</w:t>
      </w:r>
    </w:p>
    <w:p w:rsidR="00000000" w:rsidDel="00000000" w:rsidP="00000000" w:rsidRDefault="00000000" w:rsidRPr="00000000" w14:paraId="000000E3">
      <w:pPr>
        <w:rPr/>
      </w:pPr>
      <w:r w:rsidDel="00000000" w:rsidR="00000000" w:rsidRPr="00000000">
        <w:rPr>
          <w:rtl w:val="0"/>
        </w:rPr>
        <w:t xml:space="preserve">The user can edit a test patient from the Measure View (Figure 10) by clicking the “Edit” button. The user accesses the “Edit” button for a patient (item </w:t>
      </w:r>
      <w:r w:rsidDel="00000000" w:rsidR="00000000" w:rsidRPr="00000000">
        <w:rPr>
          <w:rFonts w:ascii="Times New Roman" w:cs="Times New Roman" w:eastAsia="Times New Roman" w:hAnsi="Times New Roman"/>
          <w:b w:val="0"/>
          <w:i w:val="0"/>
          <w:color w:val="000000"/>
          <w:rtl w:val="0"/>
        </w:rPr>
        <w:t xml:space="preserve">#6</w:t>
      </w:r>
      <w:r w:rsidDel="00000000" w:rsidR="00000000" w:rsidRPr="00000000">
        <w:rPr>
          <w:rtl w:val="0"/>
        </w:rPr>
        <w:t xml:space="preserve"> in Figure 12), accessible after expanding the patient result. Clicking the “Edit” button opens the Patient Builder (as shown in </w:t>
      </w:r>
      <w:r w:rsidDel="00000000" w:rsidR="00000000" w:rsidRPr="00000000">
        <w:rPr>
          <w:rtl w:val="0"/>
        </w:rPr>
        <w:t xml:space="preserve">Figure 17</w:t>
      </w:r>
      <w:r w:rsidDel="00000000" w:rsidR="00000000" w:rsidRPr="00000000">
        <w:rPr>
          <w:rtl w:val="0"/>
        </w:rPr>
        <w:t xml:space="preserve"> ) with the data populated for that patient. Once a patient record has been edited and saved, the application returns the user to the Measure View.</w:t>
      </w:r>
    </w:p>
    <w:p w:rsidR="00000000" w:rsidDel="00000000" w:rsidP="00000000" w:rsidRDefault="00000000" w:rsidRPr="00000000" w14:paraId="000000E4">
      <w:pPr>
        <w:pStyle w:val="Heading2"/>
        <w:numPr>
          <w:ilvl w:val="1"/>
          <w:numId w:val="4"/>
        </w:numPr>
        <w:ind w:left="720" w:hanging="720"/>
        <w:rPr/>
      </w:pPr>
      <w:bookmarkStart w:colFirst="0" w:colLast="0" w:name="_heading=h.1v1yuxt" w:id="40"/>
      <w:bookmarkEnd w:id="40"/>
      <w:r w:rsidDel="00000000" w:rsidR="00000000" w:rsidRPr="00000000">
        <w:rPr>
          <w:rtl w:val="0"/>
        </w:rPr>
        <w:t xml:space="preserve">Cloning a Test Record</w:t>
      </w:r>
    </w:p>
    <w:p w:rsidR="00000000" w:rsidDel="00000000" w:rsidP="00000000" w:rsidRDefault="00000000" w:rsidRPr="00000000" w14:paraId="000000E5">
      <w:pPr>
        <w:rPr/>
      </w:pPr>
      <w:r w:rsidDel="00000000" w:rsidR="00000000" w:rsidRPr="00000000">
        <w:rPr>
          <w:rtl w:val="0"/>
        </w:rPr>
        <w:t xml:space="preserve">The user can clone a test patient from the Measure View (Figure 10) by clicking the “Clone” button (item </w:t>
      </w:r>
      <w:r w:rsidDel="00000000" w:rsidR="00000000" w:rsidRPr="00000000">
        <w:rPr>
          <w:rFonts w:ascii="Times New Roman" w:cs="Times New Roman" w:eastAsia="Times New Roman" w:hAnsi="Times New Roman"/>
          <w:b w:val="0"/>
          <w:i w:val="0"/>
          <w:color w:val="000000"/>
          <w:rtl w:val="0"/>
        </w:rPr>
        <w:t xml:space="preserve">#7</w:t>
      </w:r>
      <w:r w:rsidDel="00000000" w:rsidR="00000000" w:rsidRPr="00000000">
        <w:rPr>
          <w:rtl w:val="0"/>
        </w:rPr>
        <w:t xml:space="preserve"> in Figure 12) to the immediate right of the “Edit” button, accessible after expanding the patient result. This action opens the Patient Builder (Figure 17)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rsidR="00000000" w:rsidDel="00000000" w:rsidP="00000000" w:rsidRDefault="00000000" w:rsidRPr="00000000" w14:paraId="000000E6">
      <w:pPr>
        <w:pStyle w:val="Heading2"/>
        <w:numPr>
          <w:ilvl w:val="1"/>
          <w:numId w:val="4"/>
        </w:numPr>
        <w:ind w:left="720" w:hanging="720"/>
        <w:rPr/>
      </w:pPr>
      <w:bookmarkStart w:colFirst="0" w:colLast="0" w:name="_heading=h.4f1mdlm" w:id="41"/>
      <w:bookmarkEnd w:id="41"/>
      <w:r w:rsidDel="00000000" w:rsidR="00000000" w:rsidRPr="00000000">
        <w:rPr>
          <w:rtl w:val="0"/>
        </w:rPr>
        <w:t xml:space="preserve">Deleting a Test Record</w:t>
      </w:r>
    </w:p>
    <w:p w:rsidR="00000000" w:rsidDel="00000000" w:rsidP="00000000" w:rsidRDefault="00000000" w:rsidRPr="00000000" w14:paraId="000000E7">
      <w:pPr>
        <w:rPr/>
      </w:pPr>
      <w:r w:rsidDel="00000000" w:rsidR="00000000" w:rsidRPr="00000000">
        <w:rPr>
          <w:rtl w:val="0"/>
        </w:rPr>
        <w:t xml:space="preserve">The user can delete a test patient from the Measure View (Figure 10) by clicking the “Delete” icon (item </w:t>
      </w:r>
      <w:r w:rsidDel="00000000" w:rsidR="00000000" w:rsidRPr="00000000">
        <w:rPr>
          <w:rFonts w:ascii="Times New Roman" w:cs="Times New Roman" w:eastAsia="Times New Roman" w:hAnsi="Times New Roman"/>
          <w:b w:val="0"/>
          <w:i w:val="0"/>
          <w:color w:val="000000"/>
          <w:rtl w:val="0"/>
        </w:rPr>
        <w:t xml:space="preserve">#8</w:t>
      </w:r>
      <w:r w:rsidDel="00000000" w:rsidR="00000000" w:rsidRPr="00000000">
        <w:rPr>
          <w:rtl w:val="0"/>
        </w:rPr>
        <w:t xml:space="preserve"> in Figure 12)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rsidR="00000000" w:rsidDel="00000000" w:rsidP="00000000" w:rsidRDefault="00000000" w:rsidRPr="00000000" w14:paraId="000000E8">
      <w:pPr>
        <w:pStyle w:val="Heading2"/>
        <w:numPr>
          <w:ilvl w:val="1"/>
          <w:numId w:val="4"/>
        </w:numPr>
        <w:ind w:left="720" w:hanging="720"/>
        <w:rPr/>
      </w:pPr>
      <w:bookmarkStart w:colFirst="0" w:colLast="0" w:name="_heading=h.2u6wntf" w:id="42"/>
      <w:bookmarkEnd w:id="42"/>
      <w:r w:rsidDel="00000000" w:rsidR="00000000" w:rsidRPr="00000000">
        <w:rPr>
          <w:rtl w:val="0"/>
        </w:rPr>
        <w:t xml:space="preserve">Updating a Measure</w:t>
      </w:r>
    </w:p>
    <w:p w:rsidR="00000000" w:rsidDel="00000000" w:rsidP="00000000" w:rsidRDefault="00000000" w:rsidRPr="00000000" w14:paraId="000000E9">
      <w:pPr>
        <w:spacing w:after="240" w:lineRule="auto"/>
        <w:rPr/>
      </w:pPr>
      <w:r w:rsidDel="00000000" w:rsidR="00000000" w:rsidRPr="00000000">
        <w:rPr>
          <w:rtl w:val="0"/>
        </w:rPr>
        <w:t xml:space="preserve">The user can update a measure by clicking the “Update Measure” button, which is accessed by clicking the “Measure Actions” icon (item </w:t>
      </w:r>
      <w:r w:rsidDel="00000000" w:rsidR="00000000" w:rsidRPr="00000000">
        <w:rPr>
          <w:rFonts w:ascii="Times New Roman" w:cs="Times New Roman" w:eastAsia="Times New Roman" w:hAnsi="Times New Roman"/>
          <w:b w:val="0"/>
          <w:i w:val="0"/>
          <w:color w:val="000000"/>
          <w:rtl w:val="0"/>
        </w:rPr>
        <w:t xml:space="preserve">#3</w:t>
      </w:r>
      <w:r w:rsidDel="00000000" w:rsidR="00000000" w:rsidRPr="00000000">
        <w:rPr>
          <w:rtl w:val="0"/>
        </w:rPr>
        <w:t xml:space="preserve"> in Figure 10). The “Update Measures” button displays the Update Measure Dialog (shown in Figure 9), which allows the user to specify a new zip package for an eCQM exported from the MAT. Once the new measure package has been entered, the user clicks the “Load” button, which updates the eCQM definition </w:t>
      </w:r>
      <w:r w:rsidDel="00000000" w:rsidR="00000000" w:rsidRPr="00000000">
        <w:rPr>
          <w:sz w:val="23"/>
          <w:szCs w:val="23"/>
          <w:rtl w:val="0"/>
        </w:rPr>
        <w:t xml:space="preserve">and returns the user to the Measure View with the updated measure definition.</w:t>
      </w:r>
      <w:r w:rsidDel="00000000" w:rsidR="00000000" w:rsidRPr="00000000">
        <w:rPr>
          <w:rtl w:val="0"/>
        </w:rPr>
      </w:r>
    </w:p>
    <w:p w:rsidR="00000000" w:rsidDel="00000000" w:rsidP="00000000" w:rsidRDefault="00000000" w:rsidRPr="00000000" w14:paraId="000000EA">
      <w:pPr>
        <w:pStyle w:val="Heading2"/>
        <w:numPr>
          <w:ilvl w:val="1"/>
          <w:numId w:val="4"/>
        </w:numPr>
        <w:ind w:left="720" w:hanging="720"/>
        <w:rPr/>
      </w:pPr>
      <w:bookmarkStart w:colFirst="0" w:colLast="0" w:name="_heading=h.19c6y18" w:id="43"/>
      <w:bookmarkEnd w:id="43"/>
      <w:r w:rsidDel="00000000" w:rsidR="00000000" w:rsidRPr="00000000">
        <w:rPr>
          <w:rtl w:val="0"/>
        </w:rPr>
        <w:t xml:space="preserve">Deleting a Measure</w:t>
      </w:r>
    </w:p>
    <w:p w:rsidR="00000000" w:rsidDel="00000000" w:rsidP="00000000" w:rsidRDefault="00000000" w:rsidRPr="00000000" w14:paraId="000000EB">
      <w:pPr>
        <w:rPr/>
      </w:pPr>
      <w:r w:rsidDel="00000000" w:rsidR="00000000" w:rsidRPr="00000000">
        <w:rPr>
          <w:rtl w:val="0"/>
        </w:rPr>
        <w:t xml:space="preserve">The user can delete an eCQM from the Measure View (Figure 10) by clicking the “Delete” icon for an eCQM. To access the “Delete” icon, the user clicks the “Measure Actions” icon (item </w:t>
      </w:r>
      <w:r w:rsidDel="00000000" w:rsidR="00000000" w:rsidRPr="00000000">
        <w:rPr>
          <w:rFonts w:ascii="Times New Roman" w:cs="Times New Roman" w:eastAsia="Times New Roman" w:hAnsi="Times New Roman"/>
          <w:b w:val="0"/>
          <w:i w:val="0"/>
          <w:color w:val="000000"/>
          <w:rtl w:val="0"/>
        </w:rPr>
        <w:t xml:space="preserve">#3</w:t>
      </w:r>
      <w:r w:rsidDel="00000000" w:rsidR="00000000" w:rsidRPr="00000000">
        <w:rPr>
          <w:rtl w:val="0"/>
        </w:rPr>
        <w:t xml:space="preserve"> in Figure 10). A user cannot undo the deletion of an eCQM. To delete an eCQM, the user initially clicks the “Delete” icon. A second “Delete” icon is then displayed. The user must click the second “Delete” icon to confirm the deletion of the eCQM. Deleted eCQMs are no longer displayed on the Measure Dashboard.</w:t>
      </w:r>
    </w:p>
    <w:p w:rsidR="00000000" w:rsidDel="00000000" w:rsidP="00000000" w:rsidRDefault="00000000" w:rsidRPr="00000000" w14:paraId="000000EC">
      <w:pPr>
        <w:pStyle w:val="Heading2"/>
        <w:numPr>
          <w:ilvl w:val="1"/>
          <w:numId w:val="4"/>
        </w:numPr>
        <w:ind w:left="720" w:hanging="720"/>
        <w:rPr/>
      </w:pPr>
      <w:bookmarkStart w:colFirst="0" w:colLast="0" w:name="_heading=h.3tbugp1" w:id="44"/>
      <w:bookmarkEnd w:id="44"/>
      <w:r w:rsidDel="00000000" w:rsidR="00000000" w:rsidRPr="00000000">
        <w:rPr>
          <w:rtl w:val="0"/>
        </w:rPr>
        <w:t xml:space="preserve">Updating Measurement Period</w:t>
      </w:r>
    </w:p>
    <w:p w:rsidR="00000000" w:rsidDel="00000000" w:rsidP="00000000" w:rsidRDefault="00000000" w:rsidRPr="00000000" w14:paraId="000000ED">
      <w:pPr>
        <w:rPr/>
      </w:pPr>
      <w:r w:rsidDel="00000000" w:rsidR="00000000" w:rsidRPr="00000000">
        <w:rPr>
          <w:rtl w:val="0"/>
        </w:rPr>
        <w:t xml:space="preserve">The user can modify the Measurement Period associated with the Measure from the Measure View (Figure 10) by clicking the “Measurement Period” button (item #2). Once the user clicks the button, a dialog will appear (Figure 16) which allows the user to input a new Measurement Period. Currently Bonnie does not allow you to shift all dates on the patient history by the same number of years that the measurement period will shift. This checkbox is disabled currently.</w:t>
      </w:r>
    </w:p>
    <w:p w:rsidR="00000000" w:rsidDel="00000000" w:rsidP="00000000" w:rsidRDefault="00000000" w:rsidRPr="00000000" w14:paraId="000000EE">
      <w:pPr>
        <w:rPr/>
      </w:pPr>
      <w:r w:rsidDel="00000000" w:rsidR="00000000" w:rsidRPr="00000000">
        <w:rPr/>
        <w:drawing>
          <wp:inline distB="114300" distT="114300" distL="114300" distR="114300">
            <wp:extent cx="5943600" cy="3683000"/>
            <wp:effectExtent b="0" l="0" r="0" t="0"/>
            <wp:docPr id="8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sectPr>
          <w:headerReference r:id="rId38" w:type="first"/>
          <w:type w:val="nextPage"/>
          <w:pgSz w:h="15840" w:w="12240" w:orient="portrait"/>
          <w:pgMar w:bottom="1440" w:top="1440" w:left="1440" w:right="1440" w:header="504" w:footer="504"/>
        </w:sectPr>
      </w:pPr>
      <w:bookmarkStart w:colFirst="0" w:colLast="0" w:name="_heading=h.28h4qwu" w:id="45"/>
      <w:bookmarkEnd w:id="45"/>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16. Change Measurement Period</w:t>
      </w:r>
    </w:p>
    <w:p w:rsidR="00000000" w:rsidDel="00000000" w:rsidP="00000000" w:rsidRDefault="00000000" w:rsidRPr="00000000" w14:paraId="000000F0">
      <w:pPr>
        <w:pStyle w:val="Heading1"/>
        <w:numPr>
          <w:ilvl w:val="0"/>
          <w:numId w:val="4"/>
        </w:numPr>
        <w:ind w:left="720" w:hanging="720"/>
        <w:rPr/>
      </w:pPr>
      <w:bookmarkStart w:colFirst="0" w:colLast="0" w:name="_heading=h.nmf14n" w:id="46"/>
      <w:bookmarkEnd w:id="46"/>
      <w:r w:rsidDel="00000000" w:rsidR="00000000" w:rsidRPr="00000000">
        <w:rPr>
          <w:rtl w:val="0"/>
        </w:rPr>
        <w:t xml:space="preserve">Building a Patient Test Record</w:t>
      </w:r>
    </w:p>
    <w:p w:rsidR="00000000" w:rsidDel="00000000" w:rsidP="00000000" w:rsidRDefault="00000000" w:rsidRPr="00000000" w14:paraId="000000F1">
      <w:pPr>
        <w:pStyle w:val="Heading2"/>
        <w:numPr>
          <w:ilvl w:val="1"/>
          <w:numId w:val="4"/>
        </w:numPr>
        <w:ind w:left="720" w:hanging="720"/>
        <w:rPr/>
      </w:pPr>
      <w:bookmarkStart w:colFirst="0" w:colLast="0" w:name="_heading=h.37m2jsg" w:id="47"/>
      <w:bookmarkEnd w:id="47"/>
      <w:r w:rsidDel="00000000" w:rsidR="00000000" w:rsidRPr="00000000">
        <w:rPr>
          <w:rtl w:val="0"/>
        </w:rPr>
        <w:t xml:space="preserve">Overview</w:t>
      </w:r>
    </w:p>
    <w:p w:rsidR="00000000" w:rsidDel="00000000" w:rsidP="00000000" w:rsidRDefault="00000000" w:rsidRPr="00000000" w14:paraId="000000F2">
      <w:pPr>
        <w:rPr/>
      </w:pPr>
      <w:r w:rsidDel="00000000" w:rsidR="00000000" w:rsidRPr="00000000">
        <w:rPr>
          <w:rtl w:val="0"/>
        </w:rPr>
        <w:t xml:space="preserve">The Patient Builder view, as shown in Figure 17, allows the addition and editing of clinical data for a synthetic test patient record. The user accesses the Patient Builder view by clicking the “Add Patient” button (item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0) on the Measure Dashboard (Figure 5), or by clicking the “Add Patient,” ‘Edit,” or “Clone” buttons from the Measure View (Figure 10).</w:t>
      </w:r>
    </w:p>
    <w:p w:rsidR="00000000" w:rsidDel="00000000" w:rsidP="00000000" w:rsidRDefault="00000000" w:rsidRPr="00000000" w14:paraId="000000F3">
      <w:pPr>
        <w:rPr/>
      </w:pPr>
      <w:r w:rsidDel="00000000" w:rsidR="00000000" w:rsidRPr="00000000">
        <w:rPr>
          <w:rtl w:val="0"/>
        </w:rPr>
        <w:t xml:space="preserve">The Patient Builder View employs the following UI elements (as indicated by their item numbers in Figure 17):</w:t>
      </w:r>
    </w:p>
    <w:p w:rsidR="00000000" w:rsidDel="00000000" w:rsidP="00000000" w:rsidRDefault="00000000" w:rsidRPr="00000000" w14:paraId="000000F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Name – Allows the entry of a first and last name for the patient record.</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Patient Characteristics – Allows the definition of characteristics data for the patient.</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Information – Shows the description for the patient’s associated eCQM.</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Expectations – Allows users to set the calculation expectation for each population of the eCQM.</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Actions – Allows users to save or cancel a patient record.</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751415"/>
                <wp:effectExtent b="0" l="0" r="0" t="0"/>
                <wp:docPr id="67" name=""/>
                <a:graphic>
                  <a:graphicData uri="http://schemas.microsoft.com/office/word/2010/wordprocessingGroup">
                    <wpg:wgp>
                      <wpg:cNvGrpSpPr/>
                      <wpg:grpSpPr>
                        <a:xfrm>
                          <a:off x="152400" y="152400"/>
                          <a:ext cx="5943600" cy="3751415"/>
                          <a:chOff x="152400" y="152400"/>
                          <a:chExt cx="7315198" cy="4612878"/>
                        </a:xfrm>
                      </wpg:grpSpPr>
                      <pic:pic>
                        <pic:nvPicPr>
                          <pic:cNvPr id="73" name="Shape 73"/>
                          <pic:cNvPicPr preferRelativeResize="0"/>
                        </pic:nvPicPr>
                        <pic:blipFill>
                          <a:blip r:embed="rId39">
                            <a:alphaModFix/>
                          </a:blip>
                          <a:stretch>
                            <a:fillRect/>
                          </a:stretch>
                        </pic:blipFill>
                        <pic:spPr>
                          <a:xfrm>
                            <a:off x="152400" y="152400"/>
                            <a:ext cx="7315198" cy="4612878"/>
                          </a:xfrm>
                          <a:prstGeom prst="rect">
                            <a:avLst/>
                          </a:prstGeom>
                          <a:noFill/>
                          <a:ln>
                            <a:noFill/>
                          </a:ln>
                        </pic:spPr>
                      </pic:pic>
                      <wpg:grpSp>
                        <wpg:cNvGrpSpPr/>
                        <wpg:grpSpPr>
                          <a:xfrm>
                            <a:off x="573950" y="1877120"/>
                            <a:ext cx="352800" cy="382397"/>
                            <a:chOff x="3970125" y="196053"/>
                            <a:chExt cx="352800" cy="382397"/>
                          </a:xfrm>
                        </wpg:grpSpPr>
                        <wps:wsp>
                          <wps:cNvSpPr/>
                          <wps:cNvPr id="75" name="Shape 7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2931975" y="882620"/>
                            <a:ext cx="352800" cy="382397"/>
                            <a:chOff x="3970125" y="196053"/>
                            <a:chExt cx="352800" cy="382397"/>
                          </a:xfrm>
                        </wpg:grpSpPr>
                        <wps:wsp>
                          <wps:cNvSpPr/>
                          <wps:cNvPr id="78" name="Shape 7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6907425" y="1211470"/>
                            <a:ext cx="352800" cy="382397"/>
                            <a:chOff x="3970125" y="196053"/>
                            <a:chExt cx="352800" cy="382397"/>
                          </a:xfrm>
                        </wpg:grpSpPr>
                        <wps:wsp>
                          <wps:cNvSpPr/>
                          <wps:cNvPr id="81" name="Shape 8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6907425" y="1697195"/>
                            <a:ext cx="352800" cy="382397"/>
                            <a:chOff x="3970125" y="196053"/>
                            <a:chExt cx="352800" cy="382397"/>
                          </a:xfrm>
                        </wpg:grpSpPr>
                        <wps:wsp>
                          <wps:cNvSpPr/>
                          <wps:cNvPr id="84" name="Shape 8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6907425" y="725745"/>
                            <a:ext cx="352800" cy="382397"/>
                            <a:chOff x="3970125" y="196053"/>
                            <a:chExt cx="352800" cy="382397"/>
                          </a:xfrm>
                        </wpg:grpSpPr>
                        <wps:wsp>
                          <wps:cNvSpPr/>
                          <wps:cNvPr id="87" name="Shape 8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8" name="Shape 8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751415"/>
                <wp:effectExtent b="0" l="0" r="0" t="0"/>
                <wp:docPr id="67" name="image5.png"/>
                <a:graphic>
                  <a:graphicData uri="http://schemas.openxmlformats.org/drawingml/2006/picture">
                    <pic:pic>
                      <pic:nvPicPr>
                        <pic:cNvPr id="0" name="image5.png"/>
                        <pic:cNvPicPr preferRelativeResize="0"/>
                      </pic:nvPicPr>
                      <pic:blipFill>
                        <a:blip r:embed="rId40"/>
                        <a:srcRect/>
                        <a:stretch>
                          <a:fillRect/>
                        </a:stretch>
                      </pic:blipFill>
                      <pic:spPr>
                        <a:xfrm>
                          <a:off x="0" y="0"/>
                          <a:ext cx="5943600" cy="37514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1mrcu09" w:id="48"/>
      <w:bookmarkEnd w:id="48"/>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17. Patient Builder View</w:t>
      </w:r>
    </w:p>
    <w:p w:rsidR="00000000" w:rsidDel="00000000" w:rsidP="00000000" w:rsidRDefault="00000000" w:rsidRPr="00000000" w14:paraId="000000FB">
      <w:pPr>
        <w:rPr/>
      </w:pPr>
      <w:r w:rsidDel="00000000" w:rsidR="00000000" w:rsidRPr="00000000">
        <w:rPr>
          <w:rtl w:val="0"/>
        </w:rPr>
        <w:t xml:space="preserve">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Fast Healthcare Interoperability Resource elements can be added to the patient history section by dragging and dropping an individual element onto the patient history section.</w:t>
      </w:r>
    </w:p>
    <w:p w:rsidR="00000000" w:rsidDel="00000000" w:rsidP="00000000" w:rsidRDefault="00000000" w:rsidRPr="00000000" w14:paraId="000000FC">
      <w:pPr>
        <w:rPr/>
      </w:pPr>
      <w:r w:rsidDel="00000000" w:rsidR="00000000" w:rsidRPr="00000000">
        <w:rPr>
          <w:rtl w:val="0"/>
        </w:rPr>
        <w:t xml:space="preserve">In addition to defining the patient data, the Patient Builder view allows the user to set expectations on the patient using the “Expectations” section. Expectations represent how the user expects the patient to calculate against the eCQM. The “Expectations” section will be different based on the type of eCQM used to build the patient record. The “Expectations” section for patient-based eCQMs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rsidR="00000000" w:rsidDel="00000000" w:rsidP="00000000" w:rsidRDefault="00000000" w:rsidRPr="00000000" w14:paraId="000000FD">
      <w:pPr>
        <w:rPr/>
      </w:pPr>
      <w:r w:rsidDel="00000000" w:rsidR="00000000" w:rsidRPr="00000000">
        <w:rPr>
          <w:rtl w:val="0"/>
        </w:rPr>
        <w:t xml:space="preserve">The Patient Builder’s logic section displays the logic of the eCQM against which the patient test record is constructed. As data is entered, the application continuously calculates the patient against the eCQM logic, and the results are displayed against the eCQM using the logic highlighting. Subsection 4.4 provides additional information about the descriptions of the logic highlighting technique based on calculation results shown in Figure 13 and Figure 15.</w:t>
      </w:r>
    </w:p>
    <w:p w:rsidR="00000000" w:rsidDel="00000000" w:rsidP="00000000" w:rsidRDefault="00000000" w:rsidRPr="00000000" w14:paraId="000000FE">
      <w:pPr>
        <w:pStyle w:val="Heading2"/>
        <w:numPr>
          <w:ilvl w:val="1"/>
          <w:numId w:val="4"/>
        </w:numPr>
        <w:ind w:left="720" w:hanging="720"/>
        <w:rPr/>
      </w:pPr>
      <w:bookmarkStart w:colFirst="0" w:colLast="0" w:name="_heading=h.46r0co2" w:id="49"/>
      <w:bookmarkEnd w:id="49"/>
      <w:r w:rsidDel="00000000" w:rsidR="00000000" w:rsidRPr="00000000">
        <w:rPr>
          <w:rtl w:val="0"/>
        </w:rPr>
        <w:t xml:space="preserve">Building a Synthetic Patient</w:t>
      </w:r>
    </w:p>
    <w:p w:rsidR="00000000" w:rsidDel="00000000" w:rsidP="00000000" w:rsidRDefault="00000000" w:rsidRPr="00000000" w14:paraId="000000FF">
      <w:pPr>
        <w:rPr/>
      </w:pPr>
      <w:r w:rsidDel="00000000" w:rsidR="00000000" w:rsidRPr="00000000">
        <w:rPr>
          <w:rtl w:val="0"/>
        </w:rPr>
        <w:t xml:space="preserve">The first step in building a synthetic patient record is defining the patient name. The patient’s first and last name can be set in the “Patient Name” section (item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 in Figure 17). The user can then add patient notes and define patient characteristics in the “Patient Characteristics” section (item </w:t>
      </w:r>
      <w:r w:rsidDel="00000000" w:rsidR="00000000" w:rsidRPr="00000000">
        <w:rPr>
          <w:rFonts w:ascii="Times New Roman" w:cs="Times New Roman" w:eastAsia="Times New Roman" w:hAnsi="Times New Roman"/>
          <w:b w:val="0"/>
          <w:i w:val="0"/>
          <w:color w:val="000000"/>
          <w:rtl w:val="0"/>
        </w:rPr>
        <w:t xml:space="preserve">#2</w:t>
      </w:r>
      <w:r w:rsidDel="00000000" w:rsidR="00000000" w:rsidRPr="00000000">
        <w:rPr>
          <w:rtl w:val="0"/>
        </w:rPr>
        <w:t xml:space="preserve">). Characteristics for the patient include data such as birthdate, race, ethnicity, gender and living status.</w:t>
      </w:r>
    </w:p>
    <w:p w:rsidR="00000000" w:rsidDel="00000000" w:rsidP="00000000" w:rsidRDefault="00000000" w:rsidRPr="00000000" w14:paraId="00000100">
      <w:pPr>
        <w:rPr/>
      </w:pPr>
      <w:r w:rsidDel="00000000" w:rsidR="00000000" w:rsidRPr="00000000">
        <w:rPr>
          <w:rtl w:val="0"/>
        </w:rPr>
        <w:t xml:space="preserve">After defining the patient’s name, the user defines the expectations for how the patient will behave and be calculated against the eCQM. The user sets the expectations for the patient in the “Expected Value” section (item </w:t>
      </w:r>
      <w:r w:rsidDel="00000000" w:rsidR="00000000" w:rsidRPr="00000000">
        <w:rPr>
          <w:rFonts w:ascii="Times New Roman" w:cs="Times New Roman" w:eastAsia="Times New Roman" w:hAnsi="Times New Roman"/>
          <w:b w:val="0"/>
          <w:i w:val="0"/>
          <w:color w:val="000000"/>
          <w:rtl w:val="0"/>
        </w:rPr>
        <w:t xml:space="preserve">#4</w:t>
      </w:r>
      <w:r w:rsidDel="00000000" w:rsidR="00000000" w:rsidRPr="00000000">
        <w:rPr>
          <w:rtl w:val="0"/>
        </w:rPr>
        <w:t xml:space="preserve">). If the user expects the patient to align with the initial patient population logic, then the user should set that expectation here, in the “Expected Value” section (item </w:t>
      </w:r>
      <w:r w:rsidDel="00000000" w:rsidR="00000000" w:rsidRPr="00000000">
        <w:rPr>
          <w:rFonts w:ascii="Times New Roman" w:cs="Times New Roman" w:eastAsia="Times New Roman" w:hAnsi="Times New Roman"/>
          <w:b w:val="0"/>
          <w:i w:val="0"/>
          <w:color w:val="000000"/>
          <w:rtl w:val="0"/>
        </w:rPr>
        <w:t xml:space="preserve">#4)</w:t>
      </w:r>
      <w:r w:rsidDel="00000000" w:rsidR="00000000" w:rsidRPr="00000000">
        <w:rPr>
          <w:rtl w:val="0"/>
        </w:rPr>
        <w:t xml:space="preserve">. Expectations are used throughout the Bonnie application to determine if a patient is passing or failing against the eCQM.</w:t>
      </w:r>
    </w:p>
    <w:p w:rsidR="00000000" w:rsidDel="00000000" w:rsidP="00000000" w:rsidRDefault="00000000" w:rsidRPr="00000000" w14:paraId="00000101">
      <w:pPr>
        <w:rPr/>
      </w:pPr>
      <w:r w:rsidDel="00000000" w:rsidR="00000000" w:rsidRPr="00000000">
        <w:rPr>
          <w:rtl w:val="0"/>
        </w:rPr>
        <w:t xml:space="preserve">If the expected results for the patient align with the actual results from calculating the patient against the eCQM logic, the patient passes. If the expected results do not match the actual calculated results, the patient fails. This system provides the capability to build patients and set expectations for those patients based on the intent of the eCQM. Once the eCQM is calculated, the passing state indicates that the eCQM logic aligns with the intent, while the failing state indicates that either the eCQM logic does not align with the intent or the synthetic patient was constructed improperly.</w:t>
      </w:r>
    </w:p>
    <w:p w:rsidR="00000000" w:rsidDel="00000000" w:rsidP="00000000" w:rsidRDefault="00000000" w:rsidRPr="00000000" w14:paraId="00000102">
      <w:pPr>
        <w:spacing w:after="240" w:lineRule="auto"/>
        <w:rPr/>
      </w:pPr>
      <w:r w:rsidDel="00000000" w:rsidR="00000000" w:rsidRPr="00000000">
        <w:rPr>
          <w:rtl w:val="0"/>
        </w:rPr>
        <w:t xml:space="preserve">Note that in Figure 17,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Figure 18.</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Pr>
        <w:drawing>
          <wp:inline distB="0" distT="0" distL="0" distR="0">
            <wp:extent cx="3350664" cy="1040202"/>
            <wp:effectExtent b="0" l="0" r="0" t="0"/>
            <wp:doc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83" name="image19.png"/>
            <a:graphic>
              <a:graphicData uri="http://schemas.openxmlformats.org/drawingml/2006/picture">
                <pic:pic>
                  <pic:nvPicPr>
                    <pic:cNvPr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id="0" name="image19.png"/>
                    <pic:cNvPicPr preferRelativeResize="0"/>
                  </pic:nvPicPr>
                  <pic:blipFill>
                    <a:blip r:embed="rId41"/>
                    <a:srcRect b="11812" l="0" r="0" t="0"/>
                    <a:stretch>
                      <a:fillRect/>
                    </a:stretch>
                  </pic:blipFill>
                  <pic:spPr>
                    <a:xfrm>
                      <a:off x="0" y="0"/>
                      <a:ext cx="3350664" cy="104020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2lwamvv" w:id="50"/>
      <w:bookmarkEnd w:id="50"/>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18. Continuous Variable Measures Expected Populations</w:t>
      </w:r>
    </w:p>
    <w:p w:rsidR="00000000" w:rsidDel="00000000" w:rsidP="00000000" w:rsidRDefault="00000000" w:rsidRPr="00000000" w14:paraId="00000105">
      <w:pPr>
        <w:rPr/>
      </w:pPr>
      <w:r w:rsidDel="00000000" w:rsidR="00000000" w:rsidRPr="00000000">
        <w:rPr>
          <w:rtl w:val="0"/>
        </w:rPr>
        <w:t xml:space="preserve">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rsidR="00000000" w:rsidDel="00000000" w:rsidP="00000000" w:rsidRDefault="00000000" w:rsidRPr="00000000" w14:paraId="00000106">
      <w:pPr>
        <w:pStyle w:val="Heading2"/>
        <w:numPr>
          <w:ilvl w:val="1"/>
          <w:numId w:val="4"/>
        </w:numPr>
        <w:ind w:left="720" w:hanging="720"/>
        <w:rPr/>
      </w:pPr>
      <w:bookmarkStart w:colFirst="0" w:colLast="0" w:name="_heading=h.111kx3o" w:id="51"/>
      <w:bookmarkEnd w:id="51"/>
      <w:r w:rsidDel="00000000" w:rsidR="00000000" w:rsidRPr="00000000">
        <w:rPr>
          <w:rtl w:val="0"/>
        </w:rPr>
        <w:t xml:space="preserve">Building the Patient History</w:t>
      </w:r>
    </w:p>
    <w:p w:rsidR="00000000" w:rsidDel="00000000" w:rsidP="00000000" w:rsidRDefault="00000000" w:rsidRPr="00000000" w14:paraId="00000107">
      <w:pPr>
        <w:rPr/>
      </w:pPr>
      <w:r w:rsidDel="00000000" w:rsidR="00000000" w:rsidRPr="00000000">
        <w:rPr>
          <w:rtl w:val="0"/>
        </w:rPr>
        <w:t xml:space="preserve">Figure 19 depicts two events in the patient’s history—an encounter and a clinical summary —based on data elements from the eCQM. When a FHIR resource is added to the patient history, it becomes an event in the patient’s history. When an event is first created, any default timing elements are added and it is associated with a </w:t>
      </w:r>
      <w:r w:rsidDel="00000000" w:rsidR="00000000" w:rsidRPr="00000000">
        <w:rPr>
          <w:rtl w:val="0"/>
        </w:rPr>
        <w:t xml:space="preserve">default code path</w:t>
      </w:r>
      <w:r w:rsidDel="00000000" w:rsidR="00000000" w:rsidRPr="00000000">
        <w:rPr>
          <w:rtl w:val="0"/>
        </w:rPr>
        <w:t xml:space="preserve"> code from each value set associated with the source FHIR resource. These defaults as well as additional data can be edited by expanding the event. Figure 19 shows an example of an expanded event from the patient history that can be edited. By clicking the expand/collapse details icon (item </w:t>
      </w:r>
      <w:r w:rsidDel="00000000" w:rsidR="00000000" w:rsidRPr="00000000">
        <w:rPr>
          <w:rFonts w:ascii="Times New Roman" w:cs="Times New Roman" w:eastAsia="Times New Roman" w:hAnsi="Times New Roman"/>
          <w:b w:val="0"/>
          <w:i w:val="0"/>
          <w:color w:val="000000"/>
          <w:rtl w:val="0"/>
        </w:rPr>
        <w:t xml:space="preserve">#3</w:t>
      </w:r>
      <w:r w:rsidDel="00000000" w:rsidR="00000000" w:rsidRPr="00000000">
        <w:rPr>
          <w:rtl w:val="0"/>
        </w:rPr>
        <w:t xml:space="preserve">), the user can edit the details of the element.</w:t>
      </w:r>
    </w:p>
    <w:p w:rsidR="00000000" w:rsidDel="00000000" w:rsidP="00000000" w:rsidRDefault="00000000" w:rsidRPr="00000000" w14:paraId="00000108">
      <w:pPr>
        <w:rPr/>
      </w:pPr>
      <w:r w:rsidDel="00000000" w:rsidR="00000000" w:rsidRPr="00000000">
        <w:rPr>
          <w:rtl w:val="0"/>
        </w:rPr>
        <w:t xml:space="preserve">The following UI elements are shown in Figure 19:</w:t>
      </w:r>
    </w:p>
    <w:p w:rsidR="00000000" w:rsidDel="00000000" w:rsidP="00000000" w:rsidRDefault="00000000" w:rsidRPr="00000000" w14:paraId="0000010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Elements Section – Contains </w:t>
      </w:r>
      <w:r w:rsidDel="00000000" w:rsidR="00000000" w:rsidRPr="00000000">
        <w:rPr>
          <w:rtl w:val="0"/>
        </w:rPr>
        <w:t xml:space="preserve">FHIR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elements that the user can add to the patient history.</w:t>
      </w:r>
      <w:r w:rsidDel="00000000" w:rsidR="00000000" w:rsidRPr="00000000">
        <w:rPr>
          <w:rtl w:val="0"/>
        </w:rPr>
      </w:r>
    </w:p>
    <w:p w:rsidR="00000000" w:rsidDel="00000000" w:rsidP="00000000" w:rsidRDefault="00000000" w:rsidRPr="00000000" w14:paraId="0000010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tl w:val="0"/>
        </w:rPr>
        <w:t xml:space="preserve">FHIR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 Shows a condensed summary of a </w:t>
      </w:r>
      <w:r w:rsidDel="00000000" w:rsidR="00000000" w:rsidRPr="00000000">
        <w:rPr>
          <w:rtl w:val="0"/>
        </w:rPr>
        <w:t xml:space="preserve">FHIR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 that has been added to the patient history.</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Expand/Collapse Details – Allows hiding or expanding the details of an element.</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tl w:val="0"/>
        </w:rPr>
        <w:t xml:space="preserve">Default Timing Section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tl w:val="0"/>
        </w:rPr>
        <w:t xml:space="preserve">This section allows the user to add default timing elements. If a timing element is a choice type (it can be different timing types) it needs to be added in the attributes section. These fields are defaulted to today's date and the measurement period year.</w:t>
      </w:r>
    </w:p>
    <w:p w:rsidR="00000000" w:rsidDel="00000000" w:rsidP="00000000" w:rsidRDefault="00000000" w:rsidRPr="00000000" w14:paraId="0000010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Codes Section – Allows adding </w:t>
      </w:r>
      <w:r w:rsidDel="00000000" w:rsidR="00000000" w:rsidRPr="00000000">
        <w:rPr>
          <w:rtl w:val="0"/>
        </w:rPr>
        <w:t xml:space="preserve">the primary code path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element. Note that Bonnie will automatically find an appropriate code and add it.</w:t>
      </w:r>
      <w:r w:rsidDel="00000000" w:rsidR="00000000" w:rsidRPr="00000000">
        <w:rPr>
          <w:rtl w:val="0"/>
        </w:rPr>
      </w:r>
    </w:p>
    <w:p w:rsidR="00000000" w:rsidDel="00000000" w:rsidP="00000000" w:rsidRDefault="00000000" w:rsidRPr="00000000" w14:paraId="0000010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Attributes Section – Allows adding fields to the element (i.e., Result, Diagnoses).</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u w:val="none"/>
        </w:rPr>
      </w:pPr>
      <w:r w:rsidDel="00000000" w:rsidR="00000000" w:rsidRPr="00000000">
        <w:rPr>
          <w:rtl w:val="0"/>
        </w:rPr>
        <w:t xml:space="preserve">Extension Section – Allows the user to enter FHIR extension attributes. URL is required, value is optional. Value can be many different types. First select your type then fill in the value</w:t>
      </w:r>
    </w:p>
    <w:p w:rsidR="00000000" w:rsidDel="00000000" w:rsidP="00000000" w:rsidRDefault="00000000" w:rsidRPr="00000000" w14:paraId="0000011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Button – Allows deleting an element from the patient history.</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CQL Calculation Results – Shows the results for each of the populations.</w:t>
      </w:r>
      <w:r w:rsidDel="00000000" w:rsidR="00000000" w:rsidRPr="00000000">
        <w:rPr>
          <w:rtl w:val="0"/>
        </w:rPr>
      </w:r>
    </w:p>
    <w:p w:rsidR="00000000" w:rsidDel="00000000" w:rsidP="00000000" w:rsidRDefault="00000000" w:rsidRPr="00000000" w14:paraId="00000112">
      <w:pPr>
        <w:keepNext w:val="1"/>
        <w:keepLines w:val="1"/>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Result – Displays the result of the logic evaluated on the patient.</w:t>
      </w:r>
      <w:r w:rsidDel="00000000" w:rsidR="00000000" w:rsidRPr="00000000">
        <w:rPr>
          <w:rtl w:val="0"/>
        </w:rPr>
      </w:r>
    </w:p>
    <w:p w:rsidR="00000000" w:rsidDel="00000000" w:rsidP="00000000" w:rsidRDefault="00000000" w:rsidRPr="00000000" w14:paraId="0000011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 All Results – Displays the result for each eCQM logic block evaluated on the patient.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80" w:before="12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mc:AlternateContent>
          <mc:Choice Requires="wpg">
            <w:drawing>
              <wp:inline distB="114300" distT="114300" distL="114300" distR="114300">
                <wp:extent cx="5943600" cy="3944389"/>
                <wp:effectExtent b="0" l="0" r="0" t="0"/>
                <wp:docPr id="71" name=""/>
                <a:graphic>
                  <a:graphicData uri="http://schemas.microsoft.com/office/word/2010/wordprocessingGroup">
                    <wpg:wgp>
                      <wpg:cNvGrpSpPr/>
                      <wpg:grpSpPr>
                        <a:xfrm>
                          <a:off x="152400" y="152400"/>
                          <a:ext cx="5943600" cy="3944389"/>
                          <a:chOff x="152400" y="152400"/>
                          <a:chExt cx="7315197" cy="4850622"/>
                        </a:xfrm>
                      </wpg:grpSpPr>
                      <pic:pic>
                        <pic:nvPicPr>
                          <pic:cNvPr id="161" name="Shape 161"/>
                          <pic:cNvPicPr preferRelativeResize="0"/>
                        </pic:nvPicPr>
                        <pic:blipFill>
                          <a:blip r:embed="rId42">
                            <a:alphaModFix/>
                          </a:blip>
                          <a:stretch>
                            <a:fillRect/>
                          </a:stretch>
                        </pic:blipFill>
                        <pic:spPr>
                          <a:xfrm>
                            <a:off x="152400" y="152400"/>
                            <a:ext cx="7315197" cy="4850622"/>
                          </a:xfrm>
                          <a:prstGeom prst="rect">
                            <a:avLst/>
                          </a:prstGeom>
                          <a:noFill/>
                          <a:ln>
                            <a:noFill/>
                          </a:ln>
                        </pic:spPr>
                      </pic:pic>
                      <wpg:grpSp>
                        <wpg:cNvGrpSpPr/>
                        <wpg:grpSpPr>
                          <a:xfrm>
                            <a:off x="1024875" y="249870"/>
                            <a:ext cx="352800" cy="382397"/>
                            <a:chOff x="3970125" y="196053"/>
                            <a:chExt cx="352800" cy="382397"/>
                          </a:xfrm>
                        </wpg:grpSpPr>
                        <wps:wsp>
                          <wps:cNvSpPr/>
                          <wps:cNvPr id="163" name="Shape 16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4" name="Shape 164"/>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w:t>
                                </w:r>
                              </w:p>
                            </w:txbxContent>
                          </wps:txbx>
                          <wps:bodyPr anchorCtr="0" anchor="t" bIns="91425" lIns="91425" spcFirstLastPara="1" rIns="91425" wrap="square" tIns="91425">
                            <a:noAutofit/>
                          </wps:bodyPr>
                        </wps:wsp>
                      </wpg:grpSp>
                      <wpg:grpSp>
                        <wpg:cNvGrpSpPr/>
                        <wpg:grpSpPr>
                          <a:xfrm>
                            <a:off x="3810000" y="4372370"/>
                            <a:ext cx="352800" cy="382397"/>
                            <a:chOff x="3970125" y="196053"/>
                            <a:chExt cx="352800" cy="382397"/>
                          </a:xfrm>
                        </wpg:grpSpPr>
                        <wps:wsp>
                          <wps:cNvSpPr/>
                          <wps:cNvPr id="166" name="Shape 166"/>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7" name="Shape 167"/>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2</w:t>
                                </w:r>
                              </w:p>
                            </w:txbxContent>
                          </wps:txbx>
                          <wps:bodyPr anchorCtr="0" anchor="t" bIns="91425" lIns="91425" spcFirstLastPara="1" rIns="91425" wrap="square" tIns="91425">
                            <a:noAutofit/>
                          </wps:bodyPr>
                        </wps:wsp>
                      </wpg:grpSp>
                      <wpg:grpSp>
                        <wpg:cNvGrpSpPr/>
                        <wpg:grpSpPr>
                          <a:xfrm>
                            <a:off x="4643000" y="456645"/>
                            <a:ext cx="352800" cy="382397"/>
                            <a:chOff x="3970125" y="196053"/>
                            <a:chExt cx="352800" cy="382397"/>
                          </a:xfrm>
                        </wpg:grpSpPr>
                        <wps:wsp>
                          <wps:cNvSpPr/>
                          <wps:cNvPr id="169" name="Shape 169"/>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0" name="Shape 170"/>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3</w:t>
                                </w:r>
                              </w:p>
                            </w:txbxContent>
                          </wps:txbx>
                          <wps:bodyPr anchorCtr="0" anchor="t" bIns="91425" lIns="91425" spcFirstLastPara="1" rIns="91425" wrap="square" tIns="91425">
                            <a:noAutofit/>
                          </wps:bodyPr>
                        </wps:wsp>
                      </wpg:grpSp>
                      <wpg:grpSp>
                        <wpg:cNvGrpSpPr/>
                        <wpg:grpSpPr>
                          <a:xfrm>
                            <a:off x="2589775" y="456645"/>
                            <a:ext cx="352800" cy="382397"/>
                            <a:chOff x="3970125" y="196053"/>
                            <a:chExt cx="352800" cy="382397"/>
                          </a:xfrm>
                        </wpg:grpSpPr>
                        <wps:wsp>
                          <wps:cNvSpPr/>
                          <wps:cNvPr id="172" name="Shape 172"/>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3" name="Shape 173"/>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4</w:t>
                                </w:r>
                              </w:p>
                            </w:txbxContent>
                          </wps:txbx>
                          <wps:bodyPr anchorCtr="0" anchor="t" bIns="91425" lIns="91425" spcFirstLastPara="1" rIns="91425" wrap="square" tIns="91425">
                            <a:noAutofit/>
                          </wps:bodyPr>
                        </wps:wsp>
                      </wpg:grpSp>
                      <wpg:grpSp>
                        <wpg:cNvGrpSpPr/>
                        <wpg:grpSpPr>
                          <a:xfrm>
                            <a:off x="3006875" y="1182945"/>
                            <a:ext cx="352800" cy="382397"/>
                            <a:chOff x="3970125" y="196053"/>
                            <a:chExt cx="352800" cy="382397"/>
                          </a:xfrm>
                        </wpg:grpSpPr>
                        <wps:wsp>
                          <wps:cNvSpPr/>
                          <wps:cNvPr id="175" name="Shape 175"/>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6" name="Shape 176"/>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5</w:t>
                                </w:r>
                              </w:p>
                            </w:txbxContent>
                          </wps:txbx>
                          <wps:bodyPr anchorCtr="0" anchor="t" bIns="91425" lIns="91425" spcFirstLastPara="1" rIns="91425" wrap="square" tIns="91425">
                            <a:noAutofit/>
                          </wps:bodyPr>
                        </wps:wsp>
                      </wpg:grpSp>
                      <wpg:grpSp>
                        <wpg:cNvGrpSpPr/>
                        <wpg:grpSpPr>
                          <a:xfrm>
                            <a:off x="2654075" y="1943120"/>
                            <a:ext cx="352800" cy="382397"/>
                            <a:chOff x="3970125" y="196053"/>
                            <a:chExt cx="352800" cy="382397"/>
                          </a:xfrm>
                        </wpg:grpSpPr>
                        <wps:wsp>
                          <wps:cNvSpPr/>
                          <wps:cNvPr id="178" name="Shape 178"/>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9" name="Shape 179"/>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6</w:t>
                                </w:r>
                              </w:p>
                            </w:txbxContent>
                          </wps:txbx>
                          <wps:bodyPr anchorCtr="0" anchor="t" bIns="91425" lIns="91425" spcFirstLastPara="1" rIns="91425" wrap="square" tIns="91425">
                            <a:noAutofit/>
                          </wps:bodyPr>
                        </wps:wsp>
                      </wpg:grpSp>
                      <wpg:grpSp>
                        <wpg:cNvGrpSpPr/>
                        <wpg:grpSpPr>
                          <a:xfrm>
                            <a:off x="2429400" y="2713095"/>
                            <a:ext cx="352800" cy="382397"/>
                            <a:chOff x="3970125" y="196053"/>
                            <a:chExt cx="352800" cy="382397"/>
                          </a:xfrm>
                        </wpg:grpSpPr>
                        <wps:wsp>
                          <wps:cNvSpPr/>
                          <wps:cNvPr id="181" name="Shape 181"/>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2" name="Shape 182"/>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7</w:t>
                                </w:r>
                              </w:p>
                            </w:txbxContent>
                          </wps:txbx>
                          <wps:bodyPr anchorCtr="0" anchor="t" bIns="91425" lIns="91425" spcFirstLastPara="1" rIns="91425" wrap="square" tIns="91425">
                            <a:noAutofit/>
                          </wps:bodyPr>
                        </wps:wsp>
                      </wpg:grpSp>
                      <wpg:grpSp>
                        <wpg:cNvGrpSpPr/>
                        <wpg:grpSpPr>
                          <a:xfrm>
                            <a:off x="4101225" y="3875184"/>
                            <a:ext cx="352800" cy="382397"/>
                            <a:chOff x="3970125" y="196053"/>
                            <a:chExt cx="352800" cy="382397"/>
                          </a:xfrm>
                        </wpg:grpSpPr>
                        <wps:wsp>
                          <wps:cNvSpPr/>
                          <wps:cNvPr id="184" name="Shape 184"/>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5" name="Shape 185"/>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8</w:t>
                                </w:r>
                              </w:p>
                            </w:txbxContent>
                          </wps:txbx>
                          <wps:bodyPr anchorCtr="0" anchor="t" bIns="91425" lIns="91425" spcFirstLastPara="1" rIns="91425" wrap="square" tIns="91425">
                            <a:noAutofit/>
                          </wps:bodyPr>
                        </wps:wsp>
                      </wpg:grpSp>
                      <wpg:grpSp>
                        <wpg:cNvGrpSpPr/>
                        <wpg:grpSpPr>
                          <a:xfrm>
                            <a:off x="5841675" y="456645"/>
                            <a:ext cx="352800" cy="382397"/>
                            <a:chOff x="3970125" y="196053"/>
                            <a:chExt cx="352800" cy="382397"/>
                          </a:xfrm>
                        </wpg:grpSpPr>
                        <wps:wsp>
                          <wps:cNvSpPr/>
                          <wps:cNvPr id="187" name="Shape 187"/>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8" name="Shape 188"/>
                          <wps:spPr>
                            <a:xfrm>
                              <a:off x="3999511" y="196053"/>
                              <a:ext cx="2940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9</w:t>
                                </w:r>
                              </w:p>
                            </w:txbxContent>
                          </wps:txbx>
                          <wps:bodyPr anchorCtr="0" anchor="t" bIns="91425" lIns="91425" spcFirstLastPara="1" rIns="91425" wrap="square" tIns="91425">
                            <a:noAutofit/>
                          </wps:bodyPr>
                        </wps:wsp>
                      </wpg:grpSp>
                      <wpg:grpSp>
                        <wpg:cNvGrpSpPr/>
                        <wpg:grpSpPr>
                          <a:xfrm>
                            <a:off x="5841676" y="2857500"/>
                            <a:ext cx="491100" cy="382392"/>
                            <a:chOff x="3940676" y="196058"/>
                            <a:chExt cx="491100" cy="382392"/>
                          </a:xfrm>
                        </wpg:grpSpPr>
                        <wps:wsp>
                          <wps:cNvSpPr/>
                          <wps:cNvPr id="190" name="Shape 190"/>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1" name="Shape 191"/>
                          <wps:spPr>
                            <a:xfrm>
                              <a:off x="3940676" y="196058"/>
                              <a:ext cx="4911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10</w:t>
                                </w:r>
                              </w:p>
                            </w:txbxContent>
                          </wps:txbx>
                          <wps:bodyPr anchorCtr="0" anchor="t" bIns="91425" lIns="91425" spcFirstLastPara="1" rIns="91425" wrap="square" tIns="91425">
                            <a:noAutofit/>
                          </wps:bodyPr>
                        </wps:wsp>
                      </wpg:grpSp>
                      <wpg:grpSp>
                        <wpg:cNvGrpSpPr/>
                        <wpg:grpSpPr>
                          <a:xfrm>
                            <a:off x="6111576" y="1565350"/>
                            <a:ext cx="491100" cy="382392"/>
                            <a:chOff x="3940676" y="196058"/>
                            <a:chExt cx="491100" cy="382392"/>
                          </a:xfrm>
                        </wpg:grpSpPr>
                        <wps:wsp>
                          <wps:cNvSpPr/>
                          <wps:cNvPr id="193" name="Shape 193"/>
                          <wps:spPr>
                            <a:xfrm>
                              <a:off x="3970125" y="235250"/>
                              <a:ext cx="352800" cy="3432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4" name="Shape 194"/>
                          <wps:spPr>
                            <a:xfrm>
                              <a:off x="3940676" y="196058"/>
                              <a:ext cx="491100" cy="32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30"/>
                                    <w:vertAlign w:val="baseline"/>
                                  </w:rPr>
                                  <w:t xml:space="preserve">11</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00" cy="3944389"/>
                <wp:effectExtent b="0" l="0" r="0" t="0"/>
                <wp:docPr id="71" name="image12.png"/>
                <a:graphic>
                  <a:graphicData uri="http://schemas.openxmlformats.org/drawingml/2006/picture">
                    <pic:pic>
                      <pic:nvPicPr>
                        <pic:cNvPr id="0" name="image12.png"/>
                        <pic:cNvPicPr preferRelativeResize="0"/>
                      </pic:nvPicPr>
                      <pic:blipFill>
                        <a:blip r:embed="rId43"/>
                        <a:srcRect/>
                        <a:stretch>
                          <a:fillRect/>
                        </a:stretch>
                      </pic:blipFill>
                      <pic:spPr>
                        <a:xfrm>
                          <a:off x="0" y="0"/>
                          <a:ext cx="5943600" cy="3944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400" w:before="100" w:line="240" w:lineRule="auto"/>
        <w:ind w:left="0" w:right="0" w:firstLine="0"/>
        <w:jc w:val="center"/>
        <w:rPr>
          <w:rFonts w:ascii="Arial Narrow" w:cs="Arial Narrow" w:eastAsia="Arial Narrow" w:hAnsi="Arial Narrow"/>
          <w:b w:val="1"/>
          <w:i w:val="0"/>
          <w:smallCaps w:val="0"/>
          <w:strike w:val="0"/>
          <w:color w:val="000000"/>
          <w:sz w:val="24"/>
          <w:szCs w:val="24"/>
          <w:u w:val="none"/>
          <w:shd w:fill="auto" w:val="clear"/>
          <w:vertAlign w:val="baseline"/>
        </w:rPr>
      </w:pPr>
      <w:bookmarkStart w:colFirst="0" w:colLast="0" w:name="_heading=h.3l18frh" w:id="52"/>
      <w:bookmarkEnd w:id="52"/>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Figure 19. Building Patient History, Including Edit Clinical Element View</w:t>
      </w:r>
    </w:p>
    <w:p w:rsidR="00000000" w:rsidDel="00000000" w:rsidP="00000000" w:rsidRDefault="00000000" w:rsidRPr="00000000" w14:paraId="00000116">
      <w:pPr>
        <w:rPr/>
      </w:pPr>
      <w:r w:rsidDel="00000000" w:rsidR="00000000" w:rsidRPr="00000000">
        <w:rPr>
          <w:rtl w:val="0"/>
        </w:rPr>
        <w:t xml:space="preserve">After the user defines the patient characteristics, the user builds a patient history from FHIR elements extracted from the eCQM. The available elements from the eCQM are organized by category and listed in the “Elements” section (item </w:t>
      </w:r>
      <w:r w:rsidDel="00000000" w:rsidR="00000000" w:rsidRPr="00000000">
        <w:rPr>
          <w:rFonts w:ascii="Times New Roman" w:cs="Times New Roman" w:eastAsia="Times New Roman" w:hAnsi="Times New Roman"/>
          <w:b w:val="0"/>
          <w:i w:val="0"/>
          <w:color w:val="000000"/>
          <w:rtl w:val="0"/>
        </w:rPr>
        <w:t xml:space="preserve">#1</w:t>
      </w:r>
      <w:r w:rsidDel="00000000" w:rsidR="00000000" w:rsidRPr="00000000">
        <w:rPr>
          <w:rtl w:val="0"/>
        </w:rPr>
        <w:t xml:space="preserve">). The user can click a category to expand the list of available elements. Expanding this list allows the user to click and drag an individual element onto the patient history (item </w:t>
      </w:r>
      <w:r w:rsidDel="00000000" w:rsidR="00000000" w:rsidRPr="00000000">
        <w:rPr>
          <w:rFonts w:ascii="Times New Roman" w:cs="Times New Roman" w:eastAsia="Times New Roman" w:hAnsi="Times New Roman"/>
          <w:b w:val="0"/>
          <w:i w:val="0"/>
          <w:color w:val="000000"/>
          <w:rtl w:val="0"/>
        </w:rPr>
        <w:t xml:space="preserve">#2</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Several fields in the Edit Clinical Element View can be edited for an event in the patient history using the controls shown in Figure 19. These fields include the default timings of the event (items </w:t>
      </w:r>
      <w:r w:rsidDel="00000000" w:rsidR="00000000" w:rsidRPr="00000000">
        <w:rPr>
          <w:rFonts w:ascii="Times New Roman" w:cs="Times New Roman" w:eastAsia="Times New Roman" w:hAnsi="Times New Roman"/>
          <w:b w:val="0"/>
          <w:i w:val="0"/>
          <w:color w:val="000000"/>
          <w:rtl w:val="0"/>
        </w:rPr>
        <w:t xml:space="preserve">#4</w:t>
      </w:r>
      <w:r w:rsidDel="00000000" w:rsidR="00000000" w:rsidRPr="00000000">
        <w:rPr>
          <w:rtl w:val="0"/>
        </w:rPr>
        <w:t xml:space="preserve">), codes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5), various attributes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6), and extensions (item </w:t>
      </w:r>
      <w:r w:rsidDel="00000000" w:rsidR="00000000" w:rsidRPr="00000000">
        <w:rPr>
          <w:rFonts w:ascii="Times New Roman" w:cs="Times New Roman" w:eastAsia="Times New Roman" w:hAnsi="Times New Roman"/>
          <w:b w:val="0"/>
          <w:i w:val="0"/>
          <w:color w:val="000000"/>
          <w:rtl w:val="0"/>
        </w:rPr>
        <w:t xml:space="preserve">#</w:t>
      </w:r>
      <w:r w:rsidDel="00000000" w:rsidR="00000000" w:rsidRPr="00000000">
        <w:rPr>
          <w:rtl w:val="0"/>
        </w:rPr>
        <w:t xml:space="preserve">7). The timing elements can be set for an event by either typing into the text fields directly or by using the date/time pickers that are displayed when the field is selected. An undefined start time and end time can be set for the event (used for active or ongoing events) by selecting the “Undefined” checkbox. Selecting the “Undefined” check box clears the date/times, indicating that the event has not started/ended.</w:t>
      </w:r>
    </w:p>
    <w:p w:rsidR="00000000" w:rsidDel="00000000" w:rsidP="00000000" w:rsidRDefault="00000000" w:rsidRPr="00000000" w14:paraId="00000118">
      <w:pPr>
        <w:rPr/>
      </w:pPr>
      <w:r w:rsidDel="00000000" w:rsidR="00000000" w:rsidRPr="00000000">
        <w:rPr>
          <w:color w:val="000000"/>
          <w:rtl w:val="0"/>
        </w:rPr>
        <w:t xml:space="preserve">Attributes can be set for an event. Attributes such as ordinal, severity, discharge date/time, etc. can be added using the “Attributes” section. Attributes are added by selecting the type of the field (scalar, coded, or time) and entering a scalar value, selecting a value set, or entering a date.</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Finally, events can be removed from the patient history by clicking the “Delete” icon (item </w:t>
      </w:r>
      <w:r w:rsidDel="00000000" w:rsidR="00000000" w:rsidRPr="00000000">
        <w:rPr>
          <w:rFonts w:ascii="Times New Roman" w:cs="Times New Roman" w:eastAsia="Times New Roman" w:hAnsi="Times New Roman"/>
          <w:b w:val="0"/>
          <w:i w:val="0"/>
          <w:color w:val="000000"/>
          <w:rtl w:val="0"/>
        </w:rPr>
        <w:t xml:space="preserve">#10</w:t>
      </w:r>
      <w:r w:rsidDel="00000000" w:rsidR="00000000" w:rsidRPr="00000000">
        <w:rPr>
          <w:rtl w:val="0"/>
        </w:rPr>
        <w:t xml:space="preserve">). Deletion requires a two-step process. After initially pressing the “Delete” icon, the user is prompted to depress the “Delete” icon a second time to confirm the deletion.</w:t>
      </w:r>
    </w:p>
    <w:p w:rsidR="00000000" w:rsidDel="00000000" w:rsidP="00000000" w:rsidRDefault="00000000" w:rsidRPr="00000000" w14:paraId="0000011A">
      <w:pPr>
        <w:pStyle w:val="Heading2"/>
        <w:numPr>
          <w:ilvl w:val="1"/>
          <w:numId w:val="4"/>
        </w:numPr>
        <w:ind w:left="720" w:hanging="720"/>
        <w:rPr/>
      </w:pPr>
      <w:bookmarkStart w:colFirst="0" w:colLast="0" w:name="_heading=h.206ipza" w:id="53"/>
      <w:bookmarkEnd w:id="53"/>
      <w:r w:rsidDel="00000000" w:rsidR="00000000" w:rsidRPr="00000000">
        <w:rPr>
          <w:rtl w:val="0"/>
        </w:rPr>
        <w:t xml:space="preserve">Incremental Calculation</w:t>
      </w:r>
    </w:p>
    <w:p w:rsidR="00000000" w:rsidDel="00000000" w:rsidP="00000000" w:rsidRDefault="00000000" w:rsidRPr="00000000" w14:paraId="0000011B">
      <w:pPr>
        <w:rPr/>
      </w:pPr>
      <w:r w:rsidDel="00000000" w:rsidR="00000000" w:rsidRPr="00000000">
        <w:rPr>
          <w:rtl w:val="0"/>
        </w:rPr>
        <w:t xml:space="preserve">The final section of the Patient Builder View is the logic section. This section displays a representation of the logic for the eCQM against which the patient is constructed. The logic can be a reference to help describe the details of the data that should be added in building the synthetic patient.</w:t>
      </w:r>
    </w:p>
    <w:p w:rsidR="00000000" w:rsidDel="00000000" w:rsidP="00000000" w:rsidRDefault="00000000" w:rsidRPr="00000000" w14:paraId="0000011C">
      <w:pPr>
        <w:rPr/>
      </w:pPr>
      <w:r w:rsidDel="00000000" w:rsidR="00000000" w:rsidRPr="00000000">
        <w:rPr>
          <w:rtl w:val="0"/>
        </w:rPr>
        <w:t xml:space="preserve">The logic section continuously displays the results of calculating the patient against the eCQM by means of the logic highlighting described in Figure 13 and Figure 15. Any modification made to a patient triggers a recalculation of the patient against the eCQM, which updates the results of the calculation displayed by the logic highlighting. Therefore, while the user constructs the patient record, the user can inspect the behavior of the logic relative to the patient.</w:t>
      </w:r>
    </w:p>
    <w:p w:rsidR="00000000" w:rsidDel="00000000" w:rsidP="00000000" w:rsidRDefault="00000000" w:rsidRPr="00000000" w14:paraId="0000011D">
      <w:pPr>
        <w:rPr/>
        <w:sectPr>
          <w:headerReference r:id="rId44" w:type="first"/>
          <w:type w:val="nextPage"/>
          <w:pgSz w:h="15840" w:w="12240" w:orient="portrait"/>
          <w:pgMar w:bottom="1440" w:top="1440" w:left="1440" w:right="1440" w:header="504" w:footer="504"/>
        </w:sectPr>
      </w:pPr>
      <w:r w:rsidDel="00000000" w:rsidR="00000000" w:rsidRPr="00000000">
        <w:rPr>
          <w:rtl w:val="0"/>
        </w:rPr>
        <w:t xml:space="preserve">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eCQM.</w:t>
      </w:r>
    </w:p>
    <w:p w:rsidR="00000000" w:rsidDel="00000000" w:rsidP="00000000" w:rsidRDefault="00000000" w:rsidRPr="00000000" w14:paraId="0000011E">
      <w:pPr>
        <w:pStyle w:val="Heading1"/>
        <w:numPr>
          <w:ilvl w:val="0"/>
          <w:numId w:val="4"/>
        </w:numPr>
        <w:ind w:left="720" w:hanging="720"/>
        <w:rPr/>
      </w:pPr>
      <w:bookmarkStart w:colFirst="0" w:colLast="0" w:name="_heading=h.4k668n3" w:id="54"/>
      <w:bookmarkEnd w:id="54"/>
      <w:r w:rsidDel="00000000" w:rsidR="00000000" w:rsidRPr="00000000">
        <w:rPr>
          <w:rtl w:val="0"/>
        </w:rPr>
        <w:t xml:space="preserve">Feedback and Support</w:t>
      </w:r>
    </w:p>
    <w:p w:rsidR="00000000" w:rsidDel="00000000" w:rsidP="00000000" w:rsidRDefault="00000000" w:rsidRPr="00000000" w14:paraId="0000011F">
      <w:pPr>
        <w:rPr/>
      </w:pPr>
      <w:r w:rsidDel="00000000" w:rsidR="00000000" w:rsidRPr="00000000">
        <w:rPr>
          <w:rtl w:val="0"/>
        </w:rPr>
        <w:t xml:space="preserve">An issue tracker and feedback email list are available to support the resolution of issues and to answer questions related to the Bonnie application. The Bonnie issue tracker is available on the ONC Jira system at: </w:t>
      </w:r>
      <w:hyperlink r:id="rId45">
        <w:r w:rsidDel="00000000" w:rsidR="00000000" w:rsidRPr="00000000">
          <w:rPr>
            <w:color w:val="0000ff"/>
            <w:u w:val="single"/>
            <w:rtl w:val="0"/>
          </w:rPr>
          <w:t xml:space="preserve">http://jira.oncprojectracking.org/browse/BONNIE</w:t>
        </w:r>
      </w:hyperlink>
      <w:r w:rsidDel="00000000" w:rsidR="00000000" w:rsidRPr="00000000">
        <w:rPr>
          <w:rtl w:val="0"/>
        </w:rPr>
      </w:r>
    </w:p>
    <w:p w:rsidR="00000000" w:rsidDel="00000000" w:rsidP="00000000" w:rsidRDefault="00000000" w:rsidRPr="00000000" w14:paraId="00000120">
      <w:pPr>
        <w:rPr>
          <w:rFonts w:ascii="Arial Narrow" w:cs="Arial Narrow" w:eastAsia="Arial Narrow" w:hAnsi="Arial Narrow"/>
          <w:b w:val="1"/>
          <w:i w:val="0"/>
          <w:smallCaps w:val="0"/>
          <w:strike w:val="0"/>
          <w:color w:val="000000"/>
          <w:sz w:val="24"/>
          <w:szCs w:val="24"/>
          <w:u w:val="none"/>
          <w:shd w:fill="auto" w:val="clear"/>
          <w:vertAlign w:val="baseline"/>
        </w:rPr>
        <w:sectPr>
          <w:headerReference r:id="rId46" w:type="first"/>
          <w:type w:val="nextPage"/>
          <w:pgSz w:h="15840" w:w="12240" w:orient="portrait"/>
          <w:pgMar w:bottom="1440" w:top="1440" w:left="1440" w:right="1440" w:header="504" w:footer="504"/>
        </w:sectPr>
      </w:pPr>
      <w:r w:rsidDel="00000000" w:rsidR="00000000" w:rsidRPr="00000000">
        <w:rPr>
          <w:rtl w:val="0"/>
        </w:rP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w:t>
      </w:r>
      <w:r w:rsidDel="00000000" w:rsidR="00000000" w:rsidRPr="00000000">
        <w:rPr>
          <w:rtl w:val="0"/>
        </w:rPr>
      </w:r>
    </w:p>
    <w:p w:rsidR="00000000" w:rsidDel="00000000" w:rsidP="00000000" w:rsidRDefault="00000000" w:rsidRPr="00000000" w14:paraId="00000121">
      <w:pPr>
        <w:pStyle w:val="Heading1"/>
        <w:numPr>
          <w:ilvl w:val="0"/>
          <w:numId w:val="4"/>
        </w:numPr>
        <w:ind w:left="720" w:hanging="720"/>
        <w:rPr/>
      </w:pPr>
      <w:bookmarkStart w:colFirst="0" w:colLast="0" w:name="_heading=h.3ygebqi" w:id="55"/>
      <w:bookmarkEnd w:id="55"/>
      <w:r w:rsidDel="00000000" w:rsidR="00000000" w:rsidRPr="00000000">
        <w:rPr>
          <w:rtl w:val="0"/>
        </w:rPr>
        <w:t xml:space="preserve">Frequently Asked Questions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Does Bonnie replace Cypress</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superscript"/>
        </w:rPr>
        <w:footnoteReference w:customMarkFollows="0" w:id="0"/>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or is it an alternative to Cypress for certification?</w:t>
      </w:r>
    </w:p>
    <w:p w:rsidR="00000000" w:rsidDel="00000000" w:rsidP="00000000" w:rsidRDefault="00000000" w:rsidRPr="00000000" w14:paraId="00000123">
      <w:pPr>
        <w:rPr/>
      </w:pPr>
      <w:r w:rsidDel="00000000" w:rsidR="00000000" w:rsidRPr="00000000">
        <w:rPr>
          <w:rtl w:val="0"/>
        </w:rPr>
        <w:t xml:space="preserve">No. Bonnie is a testing tool for measure developers to test eCQMs as they are being authored, while Cypress is the CMS quality reporting program certification tool. Bonnie cannot be used for CMS quality reporting program certification for vendors.</w:t>
      </w:r>
    </w:p>
    <w:p w:rsidR="00000000" w:rsidDel="00000000" w:rsidP="00000000" w:rsidRDefault="00000000" w:rsidRPr="00000000" w14:paraId="00000124">
      <w:pPr>
        <w:rPr/>
      </w:pPr>
      <w:r w:rsidDel="00000000" w:rsidR="00000000" w:rsidRPr="00000000">
        <w:rPr>
          <w:rtl w:val="0"/>
        </w:rPr>
        <w:t xml:space="preserve">Bonnie provides insight into the details of how eCQM logic behaves. This makes it useful to vendors, measure developers, and others in the eCQM space who would like to better understand the behavior of eCQMs. The Bonnie testing tool uses the same measure calculation engine as the Cypress tool. Therefore, Bonnie can be used to better understand the behavior of the eCQMs when implementing an eCQM prior to certification.</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 I export patient records from Bonnie?</w:t>
      </w:r>
    </w:p>
    <w:p w:rsidR="00000000" w:rsidDel="00000000" w:rsidP="00000000" w:rsidRDefault="00000000" w:rsidRPr="00000000" w14:paraId="00000126">
      <w:pPr>
        <w:rPr/>
      </w:pPr>
      <w:r w:rsidDel="00000000" w:rsidR="00000000" w:rsidRPr="00000000">
        <w:rPr>
          <w:rtl w:val="0"/>
        </w:rPr>
        <w:t xml:space="preserve">Not at this time. Bonnie will support this in a future iteration.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 I load patient records into Bonnie?</w:t>
      </w:r>
    </w:p>
    <w:p w:rsidR="00000000" w:rsidDel="00000000" w:rsidP="00000000" w:rsidRDefault="00000000" w:rsidRPr="00000000" w14:paraId="00000128">
      <w:pPr>
        <w:rPr/>
      </w:pPr>
      <w:r w:rsidDel="00000000" w:rsidR="00000000" w:rsidRPr="00000000">
        <w:rPr>
          <w:rtl w:val="0"/>
        </w:rPr>
        <w:t xml:space="preserve">Currently, Bonnie does not support loading patient records into the tool. If you would like to calculate eCQMs using existing patients, the popHealth tool may be a better solution.</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Does Bonnie automatically generate patient records?</w:t>
      </w:r>
    </w:p>
    <w:p w:rsidR="00000000" w:rsidDel="00000000" w:rsidP="00000000" w:rsidRDefault="00000000" w:rsidRPr="00000000" w14:paraId="0000012A">
      <w:pPr>
        <w:rPr/>
      </w:pPr>
      <w:r w:rsidDel="00000000" w:rsidR="00000000" w:rsidRPr="00000000">
        <w:rPr>
          <w:rtl w:val="0"/>
        </w:rPr>
        <w:t xml:space="preserve">Currently, Bonnie does not offer the capability to automatically generate patient records based on the eCQM logic. The goal of Bonnie is to allow the construction of carefully considered patient scenarios. These synthetic patient records are intended to have an expected result based on the intent of the eCQM. Automatically generating patient records would generate patients that align with the eCQM logic as written, but if there were issues in the eCQM logic, these patients might not align with the intent of the eCQM.</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My patient does not match the logic of the Initial Population. Why is the patient passing?</w:t>
      </w:r>
    </w:p>
    <w:p w:rsidR="00000000" w:rsidDel="00000000" w:rsidP="00000000" w:rsidRDefault="00000000" w:rsidRPr="00000000" w14:paraId="0000012C">
      <w:pPr>
        <w:rPr/>
      </w:pPr>
      <w:r w:rsidDel="00000000" w:rsidR="00000000" w:rsidRPr="00000000">
        <w:rPr>
          <w:rtl w:val="0"/>
        </w:rPr>
        <w:t xml:space="preserve">A test in Bonnie is based on assigning an expected outcome to a synthetic patient record based on the intent of the eCQM.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rsidR="00000000" w:rsidDel="00000000" w:rsidP="00000000" w:rsidRDefault="00000000" w:rsidRPr="00000000" w14:paraId="0000012D">
      <w:pPr>
        <w:rPr/>
      </w:pPr>
      <w:r w:rsidDel="00000000" w:rsidR="00000000" w:rsidRPr="00000000">
        <w:rPr>
          <w:rtl w:val="0"/>
        </w:rPr>
        <w:t xml:space="preserve">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eCQM populations. In this case, if the patient does not calculate into the Initial Patient Population, the test will pass. If a patient is constructed with the expectation set of not aligning with any of the eCQM populations and that patient calculates into the Initial Patient Population, that test will fail.</w:t>
      </w:r>
    </w:p>
    <w:p w:rsidR="00000000" w:rsidDel="00000000" w:rsidP="00000000" w:rsidRDefault="00000000" w:rsidRPr="00000000" w14:paraId="0000012E">
      <w:pPr>
        <w:keepNext w:val="1"/>
        <w:keepLines w:val="1"/>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Where can I get help with Bonnie?</w:t>
      </w:r>
    </w:p>
    <w:p w:rsidR="00000000" w:rsidDel="00000000" w:rsidP="00000000" w:rsidRDefault="00000000" w:rsidRPr="00000000" w14:paraId="0000012F">
      <w:pPr>
        <w:keepNext w:val="1"/>
        <w:keepLines w:val="1"/>
        <w:rPr/>
      </w:pPr>
      <w:r w:rsidDel="00000000" w:rsidR="00000000" w:rsidRPr="00000000">
        <w:rPr>
          <w:rtl w:val="0"/>
        </w:rPr>
        <w:t xml:space="preserve">The Bonnie application has a Help menu in the header. Once you log into the application, you can use the help menu to send an email to the Bonnie feedback list to (a) access the Bonnie issue tracker to enter a bug, ask a question, or request a feature; and (b) access the user guide that provides step-by-step instructions on using the Bonnie tool.</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What measure formats can I load into the Bonnie tool?</w:t>
      </w:r>
    </w:p>
    <w:p w:rsidR="00000000" w:rsidDel="00000000" w:rsidP="00000000" w:rsidRDefault="00000000" w:rsidRPr="00000000" w14:paraId="00000131">
      <w:pPr>
        <w:rPr/>
      </w:pPr>
      <w:r w:rsidDel="00000000" w:rsidR="00000000" w:rsidRPr="00000000">
        <w:rPr>
          <w:rtl w:val="0"/>
        </w:rPr>
        <w:t xml:space="preserve">The Bonnie application can load CQL 1.4 measure packages from the Measure Authoring Tool using the FHIR R4 model. Note that when loading, you will need a National Library of Medicine (NLM) Value Set Authority Center (VSAC) account (</w:t>
      </w:r>
      <w:hyperlink r:id="rId47">
        <w:r w:rsidDel="00000000" w:rsidR="00000000" w:rsidRPr="00000000">
          <w:rPr>
            <w:color w:val="0000ff"/>
            <w:u w:val="single"/>
            <w:rtl w:val="0"/>
          </w:rPr>
          <w:t xml:space="preserve">https://uts.nlm.nih.gov/license.html</w:t>
        </w:r>
      </w:hyperlink>
      <w:r w:rsidDel="00000000" w:rsidR="00000000" w:rsidRPr="00000000">
        <w:rPr>
          <w:rtl w:val="0"/>
        </w:rPr>
        <w:t xml:space="preserve">) to download the value sets associated with the measure.</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 I have to be a measure developer to use the Bonnie tool?</w:t>
      </w:r>
    </w:p>
    <w:p w:rsidR="00000000" w:rsidDel="00000000" w:rsidP="00000000" w:rsidRDefault="00000000" w:rsidRPr="00000000" w14:paraId="00000133">
      <w:pPr>
        <w:rPr/>
      </w:pPr>
      <w:r w:rsidDel="00000000" w:rsidR="00000000" w:rsidRPr="00000000">
        <w:rPr>
          <w:rtl w:val="0"/>
        </w:rPr>
        <w:t xml:space="preserve">No. Anyone can sign up for a Bonnie account using the “register” link on the login page.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Do I need to be a Measure Authoring Tool user to use the Bonnie tool?</w:t>
      </w:r>
    </w:p>
    <w:p w:rsidR="00000000" w:rsidDel="00000000" w:rsidP="00000000" w:rsidRDefault="00000000" w:rsidRPr="00000000" w14:paraId="00000135">
      <w:pPr>
        <w:rPr/>
      </w:pPr>
      <w:r w:rsidDel="00000000" w:rsidR="00000000" w:rsidRPr="00000000">
        <w:rPr>
          <w:rtl w:val="0"/>
        </w:rPr>
        <w:t xml:space="preserve">Normally, no, but Bonnie requires you import a Measure Authoring Tool (MAT) bundle to be successful. Since no FHIR measures bundles have been posted to the CMS website yet you will need to be a current MAT user or receive an export from a current MAT on FHIR user.</w:t>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Can Bonnie be used to calculate the results for a large number of patient records?</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440" w:top="1440" w:left="1440" w:right="1440" w:header="504" w:footer="504"/>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Bonnie is not designed to handle calculations for more than a few hundred patient records per measure. If you are interested in calculating eCQMs against a larger number of patient records, the popHealth tool may be a better solution.</w:t>
      </w:r>
    </w:p>
    <w:p w:rsidR="00000000" w:rsidDel="00000000" w:rsidP="00000000" w:rsidRDefault="00000000" w:rsidRPr="00000000" w14:paraId="00000138">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000000"/>
          <w:sz w:val="36"/>
          <w:szCs w:val="36"/>
          <w:u w:val="none"/>
          <w:shd w:fill="auto" w:val="clear"/>
          <w:vertAlign w:val="baseline"/>
        </w:rPr>
      </w:pPr>
      <w:bookmarkStart w:colFirst="0" w:colLast="0" w:name="_heading=h.2dlolyb" w:id="56"/>
      <w:bookmarkEnd w:id="56"/>
      <w:r w:rsidDel="00000000" w:rsidR="00000000" w:rsidRPr="00000000">
        <w:rPr>
          <w:rFonts w:ascii="Arial Narrow" w:cs="Arial Narrow" w:eastAsia="Arial Narrow" w:hAnsi="Arial Narrow"/>
          <w:b w:val="1"/>
          <w:i w:val="0"/>
          <w:smallCaps w:val="0"/>
          <w:strike w:val="0"/>
          <w:color w:val="000000"/>
          <w:sz w:val="36"/>
          <w:szCs w:val="36"/>
          <w:u w:val="none"/>
          <w:shd w:fill="auto" w:val="clear"/>
          <w:vertAlign w:val="baseline"/>
          <w:rtl w:val="0"/>
        </w:rPr>
        <w:t xml:space="preserve">Acronyms</w:t>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8055"/>
        <w:tblGridChange w:id="0">
          <w:tblGrid>
            <w:gridCol w:w="1305"/>
            <w:gridCol w:w="8055"/>
          </w:tblGrid>
        </w:tblGridChange>
      </w:tblGrid>
      <w:tr>
        <w:trPr>
          <w:trHeight w:val="432" w:hRule="atLeast"/>
        </w:trPr>
        <w:tc>
          <w:tcPr>
            <w:vAlign w:val="center"/>
          </w:tcPr>
          <w:p w:rsidR="00000000" w:rsidDel="00000000" w:rsidP="00000000" w:rsidRDefault="00000000" w:rsidRPr="00000000" w14:paraId="0000013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Acronym</w:t>
            </w:r>
          </w:p>
        </w:tc>
        <w:tc>
          <w:tcPr>
            <w:vAlign w:val="center"/>
          </w:tcPr>
          <w:p w:rsidR="00000000" w:rsidDel="00000000" w:rsidP="00000000" w:rsidRDefault="00000000" w:rsidRPr="00000000" w14:paraId="0000013A">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r>
      <w:tr>
        <w:tc>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CMS</w:t>
            </w:r>
          </w:p>
        </w:tc>
        <w:tc>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Centers for Medicare &amp; Medicaid Services</w:t>
            </w:r>
          </w:p>
        </w:tc>
      </w:tr>
      <w:tr>
        <w:tc>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CQL</w:t>
            </w:r>
          </w:p>
        </w:tc>
        <w:tc>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Quality Language</w:t>
            </w:r>
          </w:p>
        </w:tc>
      </w:tr>
      <w:tr>
        <w:tc>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CQM</w:t>
            </w:r>
          </w:p>
        </w:tc>
        <w:tc>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Clinical Quality Measure</w:t>
            </w:r>
          </w:p>
        </w:tc>
      </w:tr>
      <w:tr>
        <w:tc>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eCQM</w:t>
            </w:r>
          </w:p>
        </w:tc>
        <w:tc>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Electronic Clinical Quality Measure</w:t>
            </w:r>
          </w:p>
        </w:tc>
      </w:tr>
      <w:tr>
        <w:tc>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w:t>
            </w:r>
          </w:p>
        </w:tc>
        <w:tc>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Emergency Department</w:t>
            </w:r>
          </w:p>
        </w:tc>
      </w:tr>
      <w:tr>
        <w:tc>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EH</w:t>
            </w:r>
          </w:p>
        </w:tc>
        <w:tc>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Eligible Hospital</w:t>
            </w:r>
          </w:p>
        </w:tc>
      </w:tr>
      <w:tr>
        <w:tc>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EP</w:t>
            </w:r>
          </w:p>
        </w:tc>
        <w:tc>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Eligible Professional</w:t>
            </w:r>
          </w:p>
        </w:tc>
      </w:tr>
      <w:tr>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b w:val="1"/>
                <w:rtl w:val="0"/>
              </w:rPr>
              <w:t xml:space="preserve">FHIR</w:t>
            </w:r>
            <w:r w:rsidDel="00000000" w:rsidR="00000000" w:rsidRPr="00000000">
              <w:rPr>
                <w:rtl w:val="0"/>
              </w:rPr>
            </w:r>
          </w:p>
        </w:tc>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pPr>
            <w:r w:rsidDel="00000000" w:rsidR="00000000" w:rsidRPr="00000000">
              <w:rPr>
                <w:rtl w:val="0"/>
              </w:rPr>
              <w:t xml:space="preserve">Fast Healthcare Interoperability Resources</w:t>
            </w:r>
            <w:r w:rsidDel="00000000" w:rsidR="00000000" w:rsidRPr="00000000">
              <w:rPr>
                <w:rtl w:val="0"/>
              </w:rPr>
            </w:r>
          </w:p>
        </w:tc>
      </w:tr>
      <w:tr>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HHS</w:t>
            </w:r>
          </w:p>
        </w:tc>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Health and Human Services</w:t>
            </w:r>
          </w:p>
        </w:tc>
      </w:tr>
      <w:tr>
        <w:tc>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w:t>
            </w:r>
          </w:p>
        </w:tc>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Markup Language</w:t>
            </w:r>
          </w:p>
        </w:tc>
      </w:tr>
      <w:tr>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IPP</w:t>
            </w:r>
          </w:p>
        </w:tc>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Payment Population</w:t>
            </w:r>
          </w:p>
        </w:tc>
      </w:tr>
      <w:tr>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w:t>
            </w:r>
          </w:p>
        </w:tc>
        <w:tc>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Measure Authoring Tool</w:t>
            </w:r>
          </w:p>
        </w:tc>
      </w:tr>
      <w:tr>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NLM</w:t>
            </w:r>
          </w:p>
        </w:tc>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National Library of Medicine</w:t>
            </w:r>
          </w:p>
        </w:tc>
      </w:tr>
      <w:tr>
        <w:tc>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ONC</w:t>
            </w:r>
          </w:p>
        </w:tc>
        <w:tc>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Office of National Coordinator for Health Information Technology</w:t>
            </w:r>
          </w:p>
        </w:tc>
      </w:tr>
      <w:tr>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QRDA</w:t>
            </w:r>
          </w:p>
        </w:tc>
        <w:tc>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Quality Reporting Document Architecture</w:t>
            </w:r>
          </w:p>
        </w:tc>
      </w:tr>
      <w:tr>
        <w:tc>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UI</w:t>
            </w:r>
          </w:p>
        </w:tc>
        <w:tc>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p>
        </w:tc>
      </w:tr>
      <w:tr>
        <w:tc>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UMLS</w:t>
            </w:r>
          </w:p>
        </w:tc>
        <w:tc>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Medical Language System</w:t>
            </w:r>
          </w:p>
        </w:tc>
      </w:tr>
      <w:tr>
        <w:tc>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VSAC</w:t>
            </w:r>
          </w:p>
        </w:tc>
        <w:tc>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Set Authority Center</w:t>
            </w:r>
          </w:p>
        </w:tc>
      </w:tr>
      <w:tr>
        <w:tc>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XML</w:t>
            </w:r>
          </w:p>
        </w:tc>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Extensible Markup Language</w:t>
            </w:r>
          </w:p>
        </w:tc>
      </w:tr>
    </w:tbl>
    <w:p w:rsidR="00000000" w:rsidDel="00000000" w:rsidP="00000000" w:rsidRDefault="00000000" w:rsidRPr="00000000" w14:paraId="00000161">
      <w:pPr>
        <w:rPr/>
      </w:pPr>
      <w:r w:rsidDel="00000000" w:rsidR="00000000" w:rsidRPr="00000000">
        <w:rPr>
          <w:rtl w:val="0"/>
        </w:rPr>
      </w:r>
    </w:p>
    <w:sectPr>
      <w:headerReference r:id="rId48" w:type="first"/>
      <w:type w:val="nextPage"/>
      <w:pgSz w:h="15840" w:w="12240" w:orient="portrait"/>
      <w:pgMar w:bottom="1440" w:top="1440" w:left="1440" w:right="1440" w:header="504" w:footer="50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Bonnie FHIR Draft User Guide</w:t>
      <w:tab/>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B">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Version </w:t>
    </w:r>
    <w:r w:rsidDel="00000000" w:rsidR="00000000" w:rsidRPr="00000000">
      <w:rPr>
        <w:rFonts w:ascii="Arial Narrow" w:cs="Arial Narrow" w:eastAsia="Arial Narrow" w:hAnsi="Arial Narrow"/>
        <w:sz w:val="18"/>
        <w:szCs w:val="18"/>
        <w:rtl w:val="0"/>
      </w:rPr>
      <w:t xml:space="preserve">6.0</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Fonts w:ascii="Arial Narrow" w:cs="Arial Narrow" w:eastAsia="Arial Narrow" w:hAnsi="Arial Narrow"/>
        <w:sz w:val="18"/>
        <w:szCs w:val="18"/>
        <w:rtl w:val="0"/>
      </w:rPr>
      <w:t xml:space="preserve">November</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 </w:t>
    </w:r>
    <w:r w:rsidDel="00000000" w:rsidR="00000000" w:rsidRPr="00000000">
      <w:rPr>
        <w:rFonts w:ascii="Arial Narrow" w:cs="Arial Narrow" w:eastAsia="Arial Narrow" w:hAnsi="Arial Narrow"/>
        <w:sz w:val="18"/>
        <w:szCs w:val="18"/>
        <w:rtl w:val="0"/>
      </w:rPr>
      <w:t xml:space="preserve">29th</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 2020</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Bonnie FHIR Draft User Guide</w:t>
      <w:tab/>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Version </w:t>
    </w:r>
    <w:r w:rsidDel="00000000" w:rsidR="00000000" w:rsidRPr="00000000">
      <w:rPr>
        <w:rFonts w:ascii="Arial Narrow" w:cs="Arial Narrow" w:eastAsia="Arial Narrow" w:hAnsi="Arial Narrow"/>
        <w:sz w:val="18"/>
        <w:szCs w:val="18"/>
        <w:rtl w:val="0"/>
      </w:rPr>
      <w:t xml:space="preserve">6.0</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Fonts w:ascii="Arial Narrow" w:cs="Arial Narrow" w:eastAsia="Arial Narrow" w:hAnsi="Arial Narrow"/>
        <w:sz w:val="18"/>
        <w:szCs w:val="18"/>
        <w:rtl w:val="0"/>
      </w:rPr>
      <w:t xml:space="preserve">November 29th, 2020</w:t>
    </w: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Bonnie User Guide</w:t>
      <w:tab/>
      <w:tab/>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1">
    <w:pPr>
      <w:keepNext w:val="0"/>
      <w:keepLines w:val="0"/>
      <w:widowControl w:val="1"/>
      <w:pBdr>
        <w:top w:color="000000" w:space="4"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Narrow" w:cs="Arial Narrow" w:eastAsia="Arial Narrow" w:hAnsi="Arial Narrow"/>
        <w:sz w:val="18"/>
        <w:szCs w:val="18"/>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Version 4.</w:t>
    </w:r>
    <w:r w:rsidDel="00000000" w:rsidR="00000000" w:rsidRPr="00000000">
      <w:rPr>
        <w:rFonts w:ascii="Arial Narrow" w:cs="Arial Narrow" w:eastAsia="Arial Narrow" w:hAnsi="Arial Narrow"/>
        <w:sz w:val="18"/>
        <w:szCs w:val="18"/>
        <w:rtl w:val="0"/>
      </w:rPr>
      <w:t xml:space="preserve">2</w:t>
    </w: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ab/>
      <w:tab/>
    </w:r>
    <w:r w:rsidDel="00000000" w:rsidR="00000000" w:rsidRPr="00000000">
      <w:rPr>
        <w:rFonts w:ascii="Arial Narrow" w:cs="Arial Narrow" w:eastAsia="Arial Narrow" w:hAnsi="Arial Narrow"/>
        <w:sz w:val="18"/>
        <w:szCs w:val="18"/>
        <w:rtl w:val="0"/>
      </w:rPr>
      <w:t xml:space="preserve">October 19th, 2020</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3">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18"/>
          <w:szCs w:val="18"/>
          <w:rtl w:val="0"/>
        </w:rPr>
        <w:t xml:space="preserve">Cypress is the rigorous and repeatable testing tool of Electronic Health Records (EHR) and EHR modules used in calculating electronic clinical quality measures used in CMS’s quality reporting programs.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widowControl w:val="1"/>
      <w:pBdr>
        <w:top w:space="0" w:sz="0" w:val="nil"/>
        <w:left w:space="0" w:sz="0" w:val="nil"/>
        <w:bottom w:color="000000" w:space="1" w:sz="4" w:val="single"/>
        <w:right w:space="0" w:sz="0" w:val="nil"/>
        <w:between w:space="0" w:sz="0" w:val="nil"/>
      </w:pBdr>
      <w:shd w:fill="auto" w:val="clear"/>
      <w:tabs>
        <w:tab w:val="right" w:pos="9360"/>
      </w:tabs>
      <w:spacing w:after="240" w:before="120" w:line="240" w:lineRule="auto"/>
      <w:ind w:left="0" w:right="0" w:firstLine="0"/>
      <w:jc w:val="left"/>
      <w:rPr>
        <w:rFonts w:ascii="Arial Narrow" w:cs="Arial Narrow" w:eastAsia="Arial Narrow" w:hAnsi="Arial Narrow"/>
        <w:b w:val="0"/>
        <w:i w:val="0"/>
        <w:smallCaps w:val="0"/>
        <w:strike w:val="0"/>
        <w:color w:val="000000"/>
        <w:sz w:val="18"/>
        <w:szCs w:val="1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8"/>
        <w:szCs w:val="18"/>
        <w:u w:val="none"/>
        <w:shd w:fill="auto" w:val="clear"/>
        <w:vertAlign w:val="baseline"/>
        <w:rtl w:val="0"/>
      </w:rPr>
      <w:t xml:space="preserve">Centers for Medicare &amp; Medicaid Services / ONC</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i w:val="0"/>
        <w:color w:val="00000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720"/>
      </w:pPr>
      <w:rPr>
        <w:rFonts w:ascii="Arial Narrow" w:cs="Arial Narrow" w:eastAsia="Arial Narrow" w:hAnsi="Arial Narrow"/>
        <w:b w:val="1"/>
        <w:i w:val="0"/>
        <w:sz w:val="36"/>
        <w:szCs w:val="36"/>
      </w:rPr>
    </w:lvl>
    <w:lvl w:ilvl="1">
      <w:start w:val="1"/>
      <w:numFmt w:val="decimal"/>
      <w:lvlText w:val="%1.%2"/>
      <w:lvlJc w:val="left"/>
      <w:pPr>
        <w:ind w:left="720" w:hanging="720"/>
      </w:pPr>
      <w:rPr>
        <w:rFonts w:ascii="Arial Narrow" w:cs="Arial Narrow" w:eastAsia="Arial Narrow" w:hAnsi="Arial Narrow"/>
        <w:b w:val="1"/>
        <w:i w:val="0"/>
        <w:sz w:val="32"/>
        <w:szCs w:val="32"/>
      </w:rPr>
    </w:lvl>
    <w:lvl w:ilvl="2">
      <w:start w:val="1"/>
      <w:numFmt w:val="decimal"/>
      <w:lvlText w:val="%1.%2.%3"/>
      <w:lvlJc w:val="left"/>
      <w:pPr>
        <w:ind w:left="936" w:hanging="936"/>
      </w:pPr>
      <w:rPr>
        <w:rFonts w:ascii="Arial Narrow" w:cs="Arial Narrow" w:eastAsia="Arial Narrow" w:hAnsi="Arial Narrow"/>
        <w:b w:val="1"/>
        <w:i w:val="0"/>
        <w:sz w:val="28"/>
        <w:szCs w:val="28"/>
      </w:rPr>
    </w:lvl>
    <w:lvl w:ilvl="3">
      <w:start w:val="1"/>
      <w:numFmt w:val="decimal"/>
      <w:lvlText w:val="%1.%2.%3.%4"/>
      <w:lvlJc w:val="left"/>
      <w:pPr>
        <w:ind w:left="1008" w:hanging="1008"/>
      </w:pPr>
      <w:rPr>
        <w:rFonts w:ascii="Arial Narrow" w:cs="Arial Narrow" w:eastAsia="Arial Narrow" w:hAnsi="Arial Narrow"/>
        <w:b w:val="1"/>
        <w:i w:val="0"/>
        <w:smallCaps w:val="0"/>
        <w:strike w:val="0"/>
        <w:color w:val="000000"/>
        <w:sz w:val="26"/>
        <w:szCs w:val="26"/>
        <w:vertAlign w:val="baseline"/>
      </w:rPr>
    </w:lvl>
    <w:lvl w:ilvl="4">
      <w:start w:val="1"/>
      <w:numFmt w:val="decimal"/>
      <w:lvlText w:val="%1.%2.%3.%4.%5"/>
      <w:lvlJc w:val="left"/>
      <w:pPr>
        <w:ind w:left="1224" w:hanging="1224"/>
      </w:pPr>
      <w:rPr>
        <w:rFonts w:ascii="Arial Narrow" w:cs="Arial Narrow" w:eastAsia="Arial Narrow" w:hAnsi="Arial Narrow"/>
        <w:b w:val="0"/>
        <w:i w:val="1"/>
        <w:sz w:val="26"/>
        <w:szCs w:val="26"/>
      </w:rPr>
    </w:lvl>
    <w:lvl w:ilvl="5">
      <w:start w:val="1"/>
      <w:numFmt w:val="decimal"/>
      <w:lvlText w:val="%1.%2.%3.%4.%5.%6"/>
      <w:lvlJc w:val="left"/>
      <w:pPr>
        <w:ind w:left="1728" w:hanging="1152"/>
      </w:pPr>
      <w:rPr>
        <w:rFonts w:ascii="Arial Narrow" w:cs="Arial Narrow" w:eastAsia="Arial Narrow" w:hAnsi="Arial Narrow"/>
        <w:b w:val="0"/>
        <w:i w:val="1"/>
        <w:sz w:val="26"/>
        <w:szCs w:val="26"/>
      </w:rPr>
    </w:lvl>
    <w:lvl w:ilvl="6">
      <w:start w:val="1"/>
      <w:numFmt w:val="decimal"/>
      <w:lvlText w:val="%1.%2.%3.%4.%5.%6.%7"/>
      <w:lvlJc w:val="left"/>
      <w:pPr>
        <w:ind w:left="1872" w:hanging="1872"/>
      </w:pPr>
      <w:rPr>
        <w:rFonts w:ascii="Arial Narrow" w:cs="Arial Narrow" w:eastAsia="Arial Narrow" w:hAnsi="Arial Narrow"/>
        <w:b w:val="0"/>
        <w:i w:val="1"/>
        <w:sz w:val="24"/>
        <w:szCs w:val="24"/>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rFonts w:ascii="Noto Sans Symbols" w:cs="Noto Sans Symbols" w:eastAsia="Noto Sans Symbols" w:hAnsi="Noto Sans Symbols"/>
        <w:b w:val="0"/>
        <w:i w:val="0"/>
        <w:sz w:val="24"/>
        <w:szCs w:val="24"/>
      </w:rPr>
    </w:lvl>
    <w:lvl w:ilvl="1">
      <w:start w:val="1"/>
      <w:numFmt w:val="bullet"/>
      <w:lvlText w:val="–"/>
      <w:lvlJc w:val="left"/>
      <w:pPr>
        <w:ind w:left="1080" w:hanging="360"/>
      </w:pPr>
      <w:rPr>
        <w:rFonts w:ascii="Arial" w:cs="Arial" w:eastAsia="Arial" w:hAnsi="Arial"/>
        <w:b w:val="0"/>
        <w:i w:val="0"/>
        <w:sz w:val="24"/>
        <w:szCs w:val="24"/>
      </w:rPr>
    </w:lvl>
    <w:lvl w:ilvl="2">
      <w:start w:val="1"/>
      <w:numFmt w:val="bullet"/>
      <w:lvlText w:val="♦"/>
      <w:lvlJc w:val="left"/>
      <w:pPr>
        <w:ind w:left="1440" w:hanging="360"/>
      </w:pPr>
      <w:rPr>
        <w:rFonts w:ascii="Noto Sans Symbols" w:cs="Noto Sans Symbols" w:eastAsia="Noto Sans Symbols" w:hAnsi="Noto Sans Symbols"/>
        <w:b w:val="0"/>
        <w:i w:val="0"/>
        <w:sz w:val="16"/>
        <w:szCs w:val="16"/>
      </w:rPr>
    </w:lvl>
    <w:lvl w:ilvl="3">
      <w:start w:val="1"/>
      <w:numFmt w:val="bullet"/>
      <w:lvlText w:val="●"/>
      <w:lvlJc w:val="left"/>
      <w:pPr>
        <w:ind w:left="360" w:hanging="360"/>
      </w:pPr>
      <w:rPr>
        <w:rFonts w:ascii="Noto Sans Symbols" w:cs="Noto Sans Symbols" w:eastAsia="Noto Sans Symbols" w:hAnsi="Noto Sans Symbols"/>
        <w:b w:val="0"/>
        <w:i w:val="0"/>
        <w:sz w:val="22"/>
        <w:szCs w:val="22"/>
      </w:rPr>
    </w:lvl>
    <w:lvl w:ilvl="4">
      <w:start w:val="1"/>
      <w:numFmt w:val="decimal"/>
      <w:lvlText w:val="●.–.♦.●.%5."/>
      <w:lvlJc w:val="left"/>
      <w:pPr>
        <w:ind w:left="3096" w:hanging="864"/>
      </w:pPr>
      <w:rPr>
        <w:rFonts w:ascii="Arial Narrow" w:cs="Arial Narrow" w:eastAsia="Arial Narrow" w:hAnsi="Arial Narrow"/>
        <w:b w:val="0"/>
        <w:i w:val="0"/>
        <w:sz w:val="24"/>
        <w:szCs w:val="24"/>
      </w:rPr>
    </w:lvl>
    <w:lvl w:ilvl="5">
      <w:start w:val="1"/>
      <w:numFmt w:val="decimal"/>
      <w:lvlText w:val="●.–.♦.●.%5.%6."/>
      <w:lvlJc w:val="left"/>
      <w:pPr>
        <w:ind w:left="4176" w:hanging="1080"/>
      </w:pPr>
      <w:rPr>
        <w:rFonts w:ascii="Arial Narrow" w:cs="Arial Narrow" w:eastAsia="Arial Narrow" w:hAnsi="Arial Narrow"/>
        <w:b w:val="0"/>
        <w:i w:val="0"/>
        <w:sz w:val="24"/>
        <w:szCs w:val="24"/>
      </w:rPr>
    </w:lvl>
    <w:lvl w:ilvl="6">
      <w:start w:val="1"/>
      <w:numFmt w:val="decimal"/>
      <w:lvlText w:val="●.–.♦.●.%5.%6.%7."/>
      <w:lvlJc w:val="left"/>
      <w:pPr>
        <w:ind w:left="5400" w:hanging="1224"/>
      </w:pPr>
      <w:rPr>
        <w:rFonts w:ascii="Arial Narrow" w:cs="Arial Narrow" w:eastAsia="Arial Narrow" w:hAnsi="Arial Narrow"/>
        <w:b w:val="0"/>
        <w:i w:val="0"/>
        <w:sz w:val="24"/>
        <w:szCs w:val="24"/>
      </w:rPr>
    </w:lvl>
    <w:lvl w:ilvl="7">
      <w:start w:val="1"/>
      <w:numFmt w:val="decimal"/>
      <w:lvlText w:val="●.–.♦.●.%5.%6.%7.%8."/>
      <w:lvlJc w:val="left"/>
      <w:pPr>
        <w:ind w:left="3744" w:hanging="1224.0000000000005"/>
      </w:pPr>
      <w:rPr>
        <w:rFonts w:ascii="Arial Narrow" w:cs="Arial Narrow" w:eastAsia="Arial Narrow" w:hAnsi="Arial Narrow"/>
        <w:b w:val="0"/>
        <w:i w:val="0"/>
        <w:sz w:val="18"/>
        <w:szCs w:val="18"/>
      </w:rPr>
    </w:lvl>
    <w:lvl w:ilvl="8">
      <w:start w:val="1"/>
      <w:numFmt w:val="decimal"/>
      <w:lvlText w:val="●.–.♦.●.%5.%6.%7.%8.%9."/>
      <w:lvlJc w:val="left"/>
      <w:pPr>
        <w:ind w:left="4320" w:hanging="1440"/>
      </w:pPr>
      <w:rPr>
        <w:rFonts w:ascii="Arial Narrow" w:cs="Arial Narrow" w:eastAsia="Arial Narrow" w:hAnsi="Arial Narrow"/>
        <w:b w:val="0"/>
        <w:i w:val="0"/>
        <w:sz w:val="18"/>
        <w:szCs w:val="18"/>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0" w:lineRule="auto"/>
      <w:ind w:left="720" w:hanging="360"/>
    </w:pPr>
    <w:rPr>
      <w:rFonts w:ascii="Arial Narrow" w:cs="Arial Narrow" w:eastAsia="Arial Narrow" w:hAnsi="Arial Narrow"/>
      <w:b w:val="1"/>
      <w:sz w:val="36"/>
      <w:szCs w:val="36"/>
    </w:rPr>
  </w:style>
  <w:style w:type="paragraph" w:styleId="Heading2">
    <w:name w:val="heading 2"/>
    <w:basedOn w:val="Normal"/>
    <w:next w:val="Normal"/>
    <w:pPr>
      <w:keepNext w:val="1"/>
      <w:spacing w:after="100" w:before="300" w:lineRule="auto"/>
      <w:ind w:left="1440" w:hanging="360"/>
    </w:pPr>
    <w:rPr>
      <w:rFonts w:ascii="Arial Narrow" w:cs="Arial Narrow" w:eastAsia="Arial Narrow" w:hAnsi="Arial Narrow"/>
      <w:b w:val="1"/>
      <w:sz w:val="32"/>
      <w:szCs w:val="32"/>
    </w:rPr>
  </w:style>
  <w:style w:type="paragraph" w:styleId="Heading3">
    <w:name w:val="heading 3"/>
    <w:basedOn w:val="Normal"/>
    <w:next w:val="Normal"/>
    <w:pPr>
      <w:keepNext w:val="1"/>
      <w:tabs>
        <w:tab w:val="left" w:pos="900"/>
      </w:tabs>
      <w:spacing w:after="120" w:before="240" w:lineRule="auto"/>
      <w:ind w:left="2160" w:hanging="180"/>
    </w:pPr>
    <w:rPr>
      <w:rFonts w:ascii="Arial Narrow" w:cs="Arial Narrow" w:eastAsia="Arial Narrow" w:hAnsi="Arial Narrow"/>
      <w:b w:val="1"/>
      <w:sz w:val="28"/>
      <w:szCs w:val="28"/>
    </w:rPr>
  </w:style>
  <w:style w:type="paragraph" w:styleId="Heading4">
    <w:name w:val="heading 4"/>
    <w:basedOn w:val="Normal"/>
    <w:next w:val="Normal"/>
    <w:pPr>
      <w:keepNext w:val="1"/>
      <w:spacing w:after="120" w:before="240" w:lineRule="auto"/>
      <w:ind w:left="2880" w:hanging="360"/>
    </w:pPr>
    <w:rPr>
      <w:rFonts w:ascii="Arial Narrow" w:cs="Arial Narrow" w:eastAsia="Arial Narrow" w:hAnsi="Arial Narrow"/>
      <w:b w:val="1"/>
      <w:sz w:val="26"/>
      <w:szCs w:val="26"/>
    </w:rPr>
  </w:style>
  <w:style w:type="paragraph" w:styleId="Heading5">
    <w:name w:val="heading 5"/>
    <w:basedOn w:val="Normal"/>
    <w:next w:val="Normal"/>
    <w:pPr>
      <w:keepNext w:val="1"/>
      <w:spacing w:after="120" w:before="240" w:lineRule="auto"/>
      <w:ind w:left="3600" w:hanging="360"/>
    </w:pPr>
    <w:rPr>
      <w:rFonts w:ascii="Arial Narrow" w:cs="Arial Narrow" w:eastAsia="Arial Narrow" w:hAnsi="Arial Narrow"/>
      <w:i w:val="1"/>
      <w:sz w:val="26"/>
      <w:szCs w:val="26"/>
    </w:rPr>
  </w:style>
  <w:style w:type="paragraph" w:styleId="Heading6">
    <w:name w:val="heading 6"/>
    <w:basedOn w:val="Normal"/>
    <w:next w:val="Normal"/>
    <w:pPr>
      <w:keepNext w:val="1"/>
      <w:spacing w:after="120" w:before="120" w:lineRule="auto"/>
      <w:ind w:left="4320" w:hanging="180"/>
    </w:pPr>
    <w:rPr>
      <w:rFonts w:ascii="Arial Narrow" w:cs="Arial Narrow" w:eastAsia="Arial Narrow" w:hAnsi="Arial Narrow"/>
      <w:i w:val="1"/>
      <w:sz w:val="26"/>
      <w:szCs w:val="26"/>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280" w:before="0" w:line="240" w:lineRule="auto"/>
      <w:ind w:left="720" w:right="0" w:hanging="720"/>
      <w:jc w:val="left"/>
    </w:pPr>
    <w:rPr>
      <w:rFonts w:ascii="Arial Narrow" w:cs="Arial Narrow" w:eastAsia="Arial Narrow" w:hAnsi="Arial Narrow"/>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00" w:before="300" w:line="240" w:lineRule="auto"/>
      <w:ind w:left="720" w:right="0" w:hanging="720"/>
      <w:jc w:val="left"/>
    </w:pPr>
    <w:rPr>
      <w:rFonts w:ascii="Arial Narrow" w:cs="Arial Narrow" w:eastAsia="Arial Narrow" w:hAnsi="Arial Narrow"/>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tabs>
        <w:tab w:val="left" w:pos="900"/>
      </w:tabs>
      <w:spacing w:after="120" w:before="240" w:line="240" w:lineRule="auto"/>
      <w:ind w:left="936" w:right="0" w:hanging="936"/>
      <w:jc w:val="left"/>
    </w:pPr>
    <w:rPr>
      <w:rFonts w:ascii="Arial Narrow" w:cs="Arial Narrow" w:eastAsia="Arial Narrow" w:hAnsi="Arial Narrow"/>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Arial Narrow" w:cs="Arial Narrow" w:eastAsia="Arial Narrow" w:hAnsi="Arial Narrow"/>
      <w:b w:val="1"/>
      <w:i w:val="0"/>
      <w:smallCaps w:val="0"/>
      <w:strike w:val="0"/>
      <w:color w:val="000000"/>
      <w:sz w:val="26"/>
      <w:szCs w:val="26"/>
      <w:u w:val="none"/>
      <w:shd w:fill="auto" w:val="clear"/>
      <w:vertAlign w:val="baseline"/>
    </w:rPr>
  </w:style>
  <w:style w:type="paragraph" w:styleId="Heading5">
    <w:name w:val="heading 5"/>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1224" w:right="0" w:hanging="1224"/>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1728" w:right="0" w:hanging="1152"/>
      <w:jc w:val="left"/>
    </w:pPr>
    <w:rPr>
      <w:rFonts w:ascii="Arial Narrow" w:cs="Arial Narrow" w:eastAsia="Arial Narrow" w:hAnsi="Arial Narrow"/>
      <w:b w:val="0"/>
      <w:i w:val="1"/>
      <w:smallCaps w:val="0"/>
      <w:strike w:val="0"/>
      <w:color w:val="000000"/>
      <w:sz w:val="26"/>
      <w:szCs w:val="26"/>
      <w:u w:val="none"/>
      <w:shd w:fill="auto" w:val="clear"/>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20" w:before="120"/>
    </w:pPr>
    <w:rPr>
      <w:sz w:val="24"/>
      <w:szCs w:val="24"/>
    </w:rPr>
  </w:style>
  <w:style w:type="paragraph" w:styleId="Heading1">
    <w:name w:val="heading 1"/>
    <w:next w:val="Normal"/>
    <w:qFormat w:val="1"/>
    <w:pPr>
      <w:keepNext w:val="1"/>
      <w:numPr>
        <w:numId w:val="8"/>
      </w:numPr>
      <w:spacing w:after="280"/>
      <w:outlineLvl w:val="0"/>
    </w:pPr>
    <w:rPr>
      <w:rFonts w:ascii="Arial Narrow" w:hAnsi="Arial Narrow"/>
      <w:b w:val="1"/>
      <w:kern w:val="28"/>
      <w:sz w:val="36"/>
    </w:rPr>
  </w:style>
  <w:style w:type="paragraph" w:styleId="Heading2">
    <w:name w:val="heading 2"/>
    <w:next w:val="Normal"/>
    <w:qFormat w:val="1"/>
    <w:pPr>
      <w:keepNext w:val="1"/>
      <w:numPr>
        <w:ilvl w:val="1"/>
        <w:numId w:val="8"/>
      </w:numPr>
      <w:spacing w:after="100" w:before="300"/>
      <w:outlineLvl w:val="1"/>
    </w:pPr>
    <w:rPr>
      <w:rFonts w:ascii="Arial Narrow" w:hAnsi="Arial Narrow"/>
      <w:b w:val="1"/>
      <w:sz w:val="32"/>
    </w:rPr>
  </w:style>
  <w:style w:type="paragraph" w:styleId="Heading3">
    <w:name w:val="heading 3"/>
    <w:next w:val="Normal"/>
    <w:qFormat w:val="1"/>
    <w:pPr>
      <w:keepNext w:val="1"/>
      <w:numPr>
        <w:ilvl w:val="2"/>
        <w:numId w:val="8"/>
      </w:numPr>
      <w:tabs>
        <w:tab w:val="left" w:pos="900"/>
      </w:tabs>
      <w:spacing w:after="120" w:before="240"/>
      <w:outlineLvl w:val="2"/>
    </w:pPr>
    <w:rPr>
      <w:rFonts w:ascii="Arial Narrow" w:hAnsi="Arial Narrow"/>
      <w:b w:val="1"/>
      <w:sz w:val="28"/>
    </w:rPr>
  </w:style>
  <w:style w:type="paragraph" w:styleId="Heading4">
    <w:name w:val="heading 4"/>
    <w:next w:val="Normal"/>
    <w:qFormat w:val="1"/>
    <w:pPr>
      <w:keepNext w:val="1"/>
      <w:numPr>
        <w:ilvl w:val="3"/>
        <w:numId w:val="8"/>
      </w:numPr>
      <w:spacing w:after="120" w:before="240"/>
      <w:outlineLvl w:val="3"/>
    </w:pPr>
    <w:rPr>
      <w:rFonts w:ascii="Arial Narrow" w:hAnsi="Arial Narrow"/>
      <w:b w:val="1"/>
      <w:sz w:val="26"/>
    </w:rPr>
  </w:style>
  <w:style w:type="paragraph" w:styleId="Heading5">
    <w:name w:val="heading 5"/>
    <w:next w:val="Normal"/>
    <w:qFormat w:val="1"/>
    <w:pPr>
      <w:keepNext w:val="1"/>
      <w:numPr>
        <w:ilvl w:val="4"/>
        <w:numId w:val="8"/>
      </w:numPr>
      <w:spacing w:after="120" w:before="240"/>
      <w:outlineLvl w:val="4"/>
    </w:pPr>
    <w:rPr>
      <w:rFonts w:ascii="Arial Narrow" w:hAnsi="Arial Narrow"/>
      <w:i w:val="1"/>
      <w:sz w:val="26"/>
    </w:rPr>
  </w:style>
  <w:style w:type="paragraph" w:styleId="Heading6">
    <w:name w:val="heading 6"/>
    <w:next w:val="Normal"/>
    <w:pPr>
      <w:keepNext w:val="1"/>
      <w:numPr>
        <w:ilvl w:val="5"/>
        <w:numId w:val="8"/>
      </w:numPr>
      <w:spacing w:after="120" w:before="120"/>
      <w:outlineLvl w:val="5"/>
    </w:pPr>
    <w:rPr>
      <w:rFonts w:ascii="Arial Narrow" w:hAnsi="Arial Narrow"/>
      <w:i w:val="1"/>
      <w:sz w:val="26"/>
    </w:rPr>
  </w:style>
  <w:style w:type="paragraph" w:styleId="Heading7">
    <w:name w:val="heading 7"/>
    <w:basedOn w:val="Normal"/>
    <w:next w:val="Normal"/>
    <w:pPr>
      <w:numPr>
        <w:ilvl w:val="6"/>
        <w:numId w:val="8"/>
      </w:numPr>
      <w:spacing w:after="60" w:before="240"/>
      <w:outlineLvl w:val="6"/>
    </w:pPr>
    <w:rPr>
      <w:rFonts w:ascii="Arial Narrow" w:hAnsi="Arial Narrow"/>
      <w:i w:val="1"/>
    </w:rPr>
  </w:style>
  <w:style w:type="paragraph" w:styleId="Heading8">
    <w:name w:val="heading 8"/>
    <w:basedOn w:val="Normal"/>
    <w:next w:val="Normal"/>
    <w:pPr>
      <w:keepNext w:val="1"/>
      <w:jc w:val="center"/>
      <w:outlineLvl w:val="7"/>
    </w:pPr>
    <w:rPr>
      <w:rFonts w:ascii="Garamond" w:hAnsi="Garamond"/>
      <w:b w:val="1"/>
      <w:snapToGrid w:val="0"/>
      <w:sz w:val="36"/>
    </w:rPr>
  </w:style>
  <w:style w:type="paragraph" w:styleId="Heading9">
    <w:name w:val="heading 9"/>
    <w:basedOn w:val="Normal"/>
    <w:next w:val="Normal"/>
    <w:pPr>
      <w:keepNext w:val="1"/>
      <w:jc w:val="right"/>
      <w:outlineLvl w:val="8"/>
    </w:pPr>
    <w:rPr>
      <w:b w:val="1"/>
      <w:sz w:val="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cronymDefinition" w:customStyle="1">
    <w:name w:val="Acronym Definition"/>
    <w:qFormat w:val="1"/>
    <w:pPr>
      <w:spacing w:after="60" w:before="60"/>
    </w:pPr>
    <w:rPr>
      <w:sz w:val="24"/>
    </w:rPr>
  </w:style>
  <w:style w:type="paragraph" w:styleId="AcronymTerm" w:customStyle="1">
    <w:name w:val="Acronym Term"/>
    <w:qFormat w:val="1"/>
    <w:pPr>
      <w:spacing w:after="60" w:before="60"/>
    </w:pPr>
    <w:rPr>
      <w:b w:val="1"/>
      <w:sz w:val="24"/>
    </w:rPr>
  </w:style>
  <w:style w:type="paragraph" w:styleId="AppHeading1" w:customStyle="1">
    <w:name w:val="AppHeading 1"/>
    <w:next w:val="Normal"/>
    <w:qFormat w:val="1"/>
    <w:pPr>
      <w:keepNext w:val="1"/>
      <w:pageBreakBefore w:val="1"/>
      <w:numPr>
        <w:numId w:val="2"/>
      </w:numPr>
      <w:tabs>
        <w:tab w:val="num" w:pos="360"/>
      </w:tabs>
      <w:spacing w:after="360" w:line="400" w:lineRule="exact"/>
      <w:ind w:left="0" w:firstLine="0"/>
      <w:jc w:val="center"/>
    </w:pPr>
    <w:rPr>
      <w:rFonts w:ascii="Arial Narrow" w:hAnsi="Arial Narrow"/>
      <w:b w:val="1"/>
      <w:sz w:val="36"/>
    </w:rPr>
  </w:style>
  <w:style w:type="paragraph" w:styleId="AppHeading2" w:customStyle="1">
    <w:name w:val="AppHeading 2"/>
    <w:next w:val="Normal"/>
    <w:qFormat w:val="1"/>
    <w:pPr>
      <w:keepNext w:val="1"/>
      <w:numPr>
        <w:ilvl w:val="1"/>
        <w:numId w:val="2"/>
      </w:numPr>
      <w:spacing w:after="100" w:before="300"/>
    </w:pPr>
    <w:rPr>
      <w:rFonts w:ascii="Arial Narrow" w:hAnsi="Arial Narrow"/>
      <w:b w:val="1"/>
      <w:sz w:val="32"/>
    </w:rPr>
  </w:style>
  <w:style w:type="paragraph" w:styleId="AppHeading3" w:customStyle="1">
    <w:name w:val="AppHeading 3"/>
    <w:next w:val="Normal"/>
    <w:qFormat w:val="1"/>
    <w:pPr>
      <w:keepNext w:val="1"/>
      <w:numPr>
        <w:ilvl w:val="2"/>
        <w:numId w:val="2"/>
      </w:numPr>
      <w:tabs>
        <w:tab w:val="clear" w:pos="1008"/>
        <w:tab w:val="num" w:pos="900"/>
      </w:tabs>
      <w:spacing w:after="80" w:before="240"/>
      <w:ind w:left="900" w:hanging="900"/>
    </w:pPr>
    <w:rPr>
      <w:rFonts w:ascii="Arial Narrow" w:hAnsi="Arial Narrow"/>
      <w:b w:val="1"/>
      <w:sz w:val="28"/>
    </w:rPr>
  </w:style>
  <w:style w:type="paragraph" w:styleId="AppHeading4" w:customStyle="1">
    <w:name w:val="AppHeading 4"/>
    <w:next w:val="Normal"/>
    <w:qFormat w:val="1"/>
    <w:pPr>
      <w:numPr>
        <w:ilvl w:val="3"/>
        <w:numId w:val="2"/>
      </w:numPr>
      <w:tabs>
        <w:tab w:val="clear" w:pos="1008"/>
        <w:tab w:val="num" w:pos="1080"/>
      </w:tabs>
      <w:spacing w:after="120" w:before="240"/>
      <w:ind w:left="1080" w:hanging="1080"/>
    </w:pPr>
    <w:rPr>
      <w:rFonts w:ascii="Arial Narrow" w:hAnsi="Arial Narrow"/>
      <w:b w:val="1"/>
      <w:sz w:val="26"/>
    </w:rPr>
  </w:style>
  <w:style w:type="paragraph" w:styleId="BackMatterHeading" w:customStyle="1">
    <w:name w:val="Back Matter Heading"/>
    <w:next w:val="Normal"/>
    <w:qFormat w:val="1"/>
    <w:pPr>
      <w:keepNext w:val="1"/>
      <w:spacing w:after="480"/>
      <w:jc w:val="center"/>
    </w:pPr>
    <w:rPr>
      <w:rFonts w:ascii="Arial Narrow" w:hAnsi="Arial Narrow"/>
      <w:b w:val="1"/>
      <w:sz w:val="36"/>
    </w:rPr>
  </w:style>
  <w:style w:type="paragraph" w:styleId="BulletListMultiple" w:customStyle="1">
    <w:name w:val="Bullet List Multiple"/>
    <w:qFormat w:val="1"/>
    <w:pPr>
      <w:numPr>
        <w:numId w:val="3"/>
      </w:numPr>
      <w:tabs>
        <w:tab w:val="clear" w:pos="720"/>
      </w:tabs>
      <w:spacing w:after="80" w:before="80"/>
    </w:pPr>
    <w:rPr>
      <w:sz w:val="24"/>
    </w:rPr>
  </w:style>
  <w:style w:type="paragraph" w:styleId="BulletListMultipleLast" w:customStyle="1">
    <w:name w:val="Bullet List Multiple Last"/>
    <w:next w:val="Normal"/>
    <w:qFormat w:val="1"/>
    <w:pPr>
      <w:numPr>
        <w:numId w:val="4"/>
      </w:numPr>
      <w:spacing w:after="280" w:before="80"/>
    </w:pPr>
    <w:rPr>
      <w:sz w:val="24"/>
    </w:rPr>
  </w:style>
  <w:style w:type="paragraph" w:styleId="BulletListSingle" w:customStyle="1">
    <w:name w:val="Bullet List Single"/>
    <w:qFormat w:val="1"/>
    <w:pPr>
      <w:numPr>
        <w:numId w:val="5"/>
      </w:numPr>
      <w:spacing w:before="60"/>
    </w:pPr>
    <w:rPr>
      <w:sz w:val="24"/>
    </w:rPr>
  </w:style>
  <w:style w:type="paragraph" w:styleId="BulletListSingleLast" w:customStyle="1">
    <w:name w:val="Bullet List Single Last"/>
    <w:next w:val="Normal"/>
    <w:qFormat w:val="1"/>
    <w:pPr>
      <w:numPr>
        <w:numId w:val="6"/>
      </w:numPr>
      <w:tabs>
        <w:tab w:val="clear" w:pos="720"/>
      </w:tabs>
      <w:spacing w:after="280" w:before="60"/>
    </w:pPr>
    <w:rPr>
      <w:sz w:val="24"/>
    </w:rPr>
  </w:style>
  <w:style w:type="paragraph" w:styleId="Classification" w:customStyle="1">
    <w:name w:val="Classification"/>
    <w:pPr>
      <w:jc w:val="right"/>
    </w:pPr>
    <w:rPr>
      <w:rFonts w:ascii="Arial Narrow" w:hAnsi="Arial Narrow"/>
      <w:b w:val="1"/>
      <w:sz w:val="32"/>
    </w:rPr>
  </w:style>
  <w:style w:type="paragraph" w:styleId="DocTitle" w:customStyle="1">
    <w:name w:val="Doc Title"/>
    <w:pPr>
      <w:spacing w:after="960" w:before="840"/>
      <w:ind w:left="1354"/>
    </w:pPr>
    <w:rPr>
      <w:rFonts w:ascii="Arial Narrow" w:hAnsi="Arial Narrow"/>
      <w:b w:val="1"/>
      <w:color w:val="1f497d" w:themeColor="text2"/>
      <w:sz w:val="46"/>
      <w:szCs w:val="46"/>
    </w:rPr>
  </w:style>
  <w:style w:type="paragraph" w:styleId="TableBulletSmaller" w:customStyle="1">
    <w:name w:val="TableBullet Smaller"/>
    <w:qFormat w:val="1"/>
    <w:pPr>
      <w:numPr>
        <w:numId w:val="12"/>
      </w:numPr>
    </w:pPr>
    <w:rPr>
      <w:rFonts w:ascii="Arial" w:hAnsi="Arial"/>
      <w:noProof w:val="1"/>
      <w:sz w:val="16"/>
    </w:rPr>
  </w:style>
  <w:style w:type="paragraph" w:styleId="ESFigureCaption" w:customStyle="1">
    <w:name w:val="ES FigureCaption"/>
    <w:aliases w:val="efc"/>
    <w:next w:val="Normal"/>
    <w:qFormat w:val="1"/>
    <w:pPr>
      <w:keepNext w:val="1"/>
      <w:spacing w:after="240" w:before="120"/>
      <w:jc w:val="center"/>
    </w:pPr>
    <w:rPr>
      <w:rFonts w:ascii="Arial Narrow" w:hAnsi="Arial Narrow"/>
      <w:b w:val="1"/>
      <w:sz w:val="24"/>
    </w:rPr>
  </w:style>
  <w:style w:type="paragraph" w:styleId="ESTableCaption" w:customStyle="1">
    <w:name w:val="ES TableCaption"/>
    <w:aliases w:val="etc"/>
    <w:next w:val="Normal"/>
    <w:qFormat w:val="1"/>
    <w:pPr>
      <w:keepNext w:val="1"/>
      <w:spacing w:after="120" w:before="240"/>
      <w:jc w:val="center"/>
    </w:pPr>
    <w:rPr>
      <w:rFonts w:ascii="Arial Narrow" w:hAnsi="Arial Narrow"/>
      <w:b w:val="1"/>
      <w:sz w:val="24"/>
    </w:rPr>
  </w:style>
  <w:style w:type="paragraph" w:styleId="ESHeading1" w:customStyle="1">
    <w:name w:val="ESHeading 1"/>
    <w:qFormat w:val="1"/>
    <w:pPr>
      <w:keepNext w:val="1"/>
      <w:numPr>
        <w:numId w:val="7"/>
      </w:numPr>
      <w:spacing w:after="280" w:line="400" w:lineRule="exact"/>
      <w:jc w:val="center"/>
      <w:outlineLvl w:val="0"/>
    </w:pPr>
    <w:rPr>
      <w:rFonts w:ascii="Arial Narrow" w:hAnsi="Arial Narrow"/>
      <w:b w:val="1"/>
      <w:color w:val="1f497d" w:themeColor="text2"/>
      <w:sz w:val="36"/>
    </w:rPr>
  </w:style>
  <w:style w:type="paragraph" w:styleId="ESHeading2" w:customStyle="1">
    <w:name w:val="ESHeading 2"/>
    <w:next w:val="Normal"/>
    <w:qFormat w:val="1"/>
    <w:pPr>
      <w:keepNext w:val="1"/>
      <w:numPr>
        <w:ilvl w:val="1"/>
        <w:numId w:val="7"/>
      </w:numPr>
      <w:spacing w:after="100" w:before="300"/>
      <w:outlineLvl w:val="1"/>
    </w:pPr>
    <w:rPr>
      <w:rFonts w:ascii="Arial Narrow" w:hAnsi="Arial Narrow"/>
      <w:b w:val="1"/>
      <w:color w:val="1f497d" w:themeColor="text2"/>
      <w:sz w:val="32"/>
    </w:rPr>
  </w:style>
  <w:style w:type="paragraph" w:styleId="ESHeading3" w:customStyle="1">
    <w:name w:val="ESHeading 3"/>
    <w:next w:val="Normal"/>
    <w:qFormat w:val="1"/>
    <w:pPr>
      <w:keepNext w:val="1"/>
      <w:numPr>
        <w:ilvl w:val="2"/>
        <w:numId w:val="7"/>
      </w:numPr>
      <w:spacing w:after="80" w:before="240"/>
      <w:outlineLvl w:val="2"/>
    </w:pPr>
    <w:rPr>
      <w:rFonts w:ascii="Arial Narrow" w:hAnsi="Arial Narrow"/>
      <w:b w:val="1"/>
      <w:color w:val="1f497d" w:themeColor="text2"/>
      <w:sz w:val="28"/>
      <w:szCs w:val="28"/>
    </w:rPr>
  </w:style>
  <w:style w:type="paragraph" w:styleId="ESHeading4" w:customStyle="1">
    <w:name w:val="ESHeading 4"/>
    <w:next w:val="Normal"/>
    <w:qFormat w:val="1"/>
    <w:pPr>
      <w:keepNext w:val="1"/>
      <w:numPr>
        <w:ilvl w:val="3"/>
        <w:numId w:val="7"/>
      </w:numPr>
      <w:spacing w:after="120" w:before="120"/>
      <w:outlineLvl w:val="3"/>
    </w:pPr>
    <w:rPr>
      <w:rFonts w:ascii="Arial Narrow" w:hAnsi="Arial Narrow"/>
      <w:b w:val="1"/>
      <w:color w:val="1f497d" w:themeColor="text2"/>
      <w:sz w:val="26"/>
      <w:szCs w:val="26"/>
    </w:rPr>
  </w:style>
  <w:style w:type="paragraph" w:styleId="ESHeading5" w:customStyle="1">
    <w:name w:val="ESHeading 5"/>
    <w:pPr>
      <w:numPr>
        <w:ilvl w:val="4"/>
        <w:numId w:val="7"/>
      </w:numPr>
      <w:tabs>
        <w:tab w:val="num" w:pos="360"/>
      </w:tabs>
      <w:spacing w:before="120"/>
    </w:pPr>
    <w:rPr>
      <w:rFonts w:ascii="Arial Narrow" w:hAnsi="Arial Narrow"/>
      <w:i w:val="1"/>
      <w:sz w:val="26"/>
    </w:rPr>
  </w:style>
  <w:style w:type="paragraph" w:styleId="ESHeading6" w:customStyle="1">
    <w:name w:val="ESHeading 6"/>
    <w:pPr>
      <w:keepNext w:val="1"/>
      <w:numPr>
        <w:ilvl w:val="5"/>
        <w:numId w:val="7"/>
      </w:numPr>
      <w:tabs>
        <w:tab w:val="num" w:pos="360"/>
      </w:tabs>
      <w:spacing w:before="120"/>
    </w:pPr>
    <w:rPr>
      <w:rFonts w:ascii="Arial Narrow" w:hAnsi="Arial Narrow"/>
      <w:sz w:val="24"/>
    </w:rPr>
  </w:style>
  <w:style w:type="paragraph" w:styleId="ESHeading7" w:customStyle="1">
    <w:name w:val="ESHeading 7"/>
    <w:pPr>
      <w:numPr>
        <w:ilvl w:val="6"/>
        <w:numId w:val="7"/>
      </w:numPr>
      <w:tabs>
        <w:tab w:val="num" w:pos="360"/>
      </w:tabs>
    </w:pPr>
    <w:rPr>
      <w:rFonts w:ascii="Arial Narrow" w:hAnsi="Arial Narrow"/>
      <w:sz w:val="24"/>
    </w:rPr>
  </w:style>
  <w:style w:type="paragraph" w:styleId="Figure" w:customStyle="1">
    <w:name w:val="Figure"/>
    <w:basedOn w:val="Caption"/>
    <w:next w:val="FigureCaption"/>
    <w:qFormat w:val="1"/>
    <w:pPr>
      <w:jc w:val="center"/>
    </w:pPr>
    <w:rPr>
      <w:rFonts w:ascii="Arial Narrow" w:hAnsi="Arial Narrow"/>
      <w:bCs w:val="0"/>
      <w:sz w:val="24"/>
    </w:rPr>
  </w:style>
  <w:style w:type="paragraph" w:styleId="FigureCaption" w:customStyle="1">
    <w:name w:val="FigureCaption"/>
    <w:aliases w:val="fc"/>
    <w:next w:val="Normal"/>
    <w:qFormat w:val="1"/>
    <w:pPr>
      <w:spacing w:after="400" w:before="100"/>
      <w:jc w:val="center"/>
    </w:pPr>
    <w:rPr>
      <w:rFonts w:ascii="Arial Narrow" w:hAnsi="Arial Narrow"/>
      <w:b w:val="1"/>
      <w:sz w:val="24"/>
      <w:szCs w:val="24"/>
    </w:rPr>
  </w:style>
  <w:style w:type="paragraph" w:styleId="FigureTableTOC" w:customStyle="1">
    <w:name w:val="Figure/Table/TOC"/>
    <w:basedOn w:val="Normal"/>
    <w:pPr>
      <w:tabs>
        <w:tab w:val="right" w:pos="8914"/>
      </w:tabs>
      <w:ind w:left="360"/>
    </w:pPr>
    <w:rPr>
      <w:rFonts w:ascii="Arial" w:hAnsi="Arial"/>
      <w:b w:val="1"/>
      <w:sz w:val="22"/>
    </w:rPr>
  </w:style>
  <w:style w:type="paragraph" w:styleId="Footer">
    <w:name w:val="footer"/>
    <w:pPr>
      <w:pBdr>
        <w:top w:color="auto" w:space="4" w:sz="4" w:val="single"/>
      </w:pBdr>
      <w:tabs>
        <w:tab w:val="center" w:pos="4680"/>
        <w:tab w:val="right" w:pos="9360"/>
      </w:tabs>
      <w:spacing w:before="120"/>
    </w:pPr>
    <w:rPr>
      <w:rFonts w:ascii="Arial Narrow" w:hAnsi="Arial Narrow"/>
      <w:sz w:val="18"/>
    </w:rPr>
  </w:style>
  <w:style w:type="paragraph" w:styleId="Footer2" w:customStyle="1">
    <w:name w:val="Footer2"/>
    <w:aliases w:val="f2"/>
    <w:next w:val="Normal"/>
    <w:pPr>
      <w:spacing w:before="120"/>
      <w:jc w:val="center"/>
    </w:pPr>
    <w:rPr>
      <w:rFonts w:ascii="Arial" w:hAnsi="Arial"/>
      <w:b w:val="1"/>
    </w:rPr>
  </w:style>
  <w:style w:type="character" w:styleId="FootnoteReference">
    <w:name w:val="footnote reference"/>
    <w:basedOn w:val="DefaultParagraphFont"/>
    <w:rPr>
      <w:vertAlign w:val="superscript"/>
    </w:rPr>
  </w:style>
  <w:style w:type="paragraph" w:styleId="FootnoteText">
    <w:name w:val="footnote text"/>
    <w:qFormat w:val="1"/>
    <w:pPr>
      <w:spacing w:after="40" w:before="40"/>
      <w:ind w:left="360" w:hanging="360"/>
    </w:pPr>
    <w:rPr>
      <w:rFonts w:ascii="Arial" w:hAnsi="Arial"/>
      <w:sz w:val="18"/>
    </w:rPr>
  </w:style>
  <w:style w:type="paragraph" w:styleId="FrontMatterHeader" w:customStyle="1">
    <w:name w:val="Front Matter Header"/>
    <w:next w:val="Normal"/>
    <w:qFormat w:val="1"/>
    <w:pPr>
      <w:keepNext w:val="1"/>
      <w:spacing w:after="360"/>
      <w:jc w:val="center"/>
      <w:outlineLvl w:val="0"/>
    </w:pPr>
    <w:rPr>
      <w:rFonts w:ascii="Arial Narrow" w:hAnsi="Arial Narrow"/>
      <w:b w:val="1"/>
      <w:sz w:val="36"/>
    </w:rPr>
  </w:style>
  <w:style w:type="paragraph" w:styleId="GlossaryDefinition" w:customStyle="1">
    <w:name w:val="GlossaryDefinition"/>
    <w:qFormat w:val="1"/>
    <w:pPr>
      <w:spacing w:after="120" w:before="120"/>
    </w:pPr>
    <w:rPr>
      <w:sz w:val="24"/>
    </w:rPr>
  </w:style>
  <w:style w:type="paragraph" w:styleId="GlossaryTerm" w:customStyle="1">
    <w:name w:val="GlossaryTerm"/>
    <w:qFormat w:val="1"/>
    <w:pPr>
      <w:spacing w:after="120" w:before="120"/>
    </w:pPr>
    <w:rPr>
      <w:b w:val="1"/>
      <w:sz w:val="24"/>
    </w:rPr>
  </w:style>
  <w:style w:type="paragraph" w:styleId="Header">
    <w:name w:val="header"/>
    <w:aliases w:val="h1"/>
    <w:pPr>
      <w:tabs>
        <w:tab w:val="center" w:pos="4320"/>
      </w:tabs>
      <w:jc w:val="center"/>
    </w:pPr>
    <w:rPr>
      <w:rFonts w:ascii="Arial" w:hAnsi="Arial"/>
      <w:b w:val="1"/>
    </w:rPr>
  </w:style>
  <w:style w:type="paragraph" w:styleId="Header2" w:customStyle="1">
    <w:name w:val="Header2"/>
    <w:pPr>
      <w:pBdr>
        <w:bottom w:color="auto" w:space="1" w:sz="4" w:val="single"/>
      </w:pBdr>
      <w:tabs>
        <w:tab w:val="right" w:pos="9360"/>
      </w:tabs>
      <w:spacing w:after="240" w:before="120"/>
    </w:pPr>
    <w:rPr>
      <w:rFonts w:ascii="Arial Narrow" w:hAnsi="Arial Narrow"/>
      <w:sz w:val="18"/>
    </w:rPr>
  </w:style>
  <w:style w:type="paragraph" w:styleId="Authors" w:customStyle="1">
    <w:name w:val="Authors"/>
    <w:basedOn w:val="ProgramName"/>
    <w:rPr>
      <w:rFonts w:ascii="Arial" w:hAnsi="Arial"/>
      <w:b w:val="0"/>
      <w:sz w:val="28"/>
    </w:rPr>
  </w:style>
  <w:style w:type="paragraph" w:styleId="ProgramName" w:customStyle="1">
    <w:name w:val="Program Name"/>
    <w:link w:val="ProgramNameChar"/>
    <w:qFormat w:val="1"/>
    <w:pPr>
      <w:spacing w:before="400"/>
      <w:jc w:val="right"/>
    </w:pPr>
    <w:rPr>
      <w:rFonts w:ascii="Arial Narrow" w:hAnsi="Arial Narrow"/>
      <w:b w:val="1"/>
      <w:sz w:val="40"/>
    </w:rPr>
  </w:style>
  <w:style w:type="character" w:styleId="PageNumber">
    <w:name w:val="page number"/>
    <w:basedOn w:val="DefaultParagraphFont"/>
  </w:style>
  <w:style w:type="paragraph" w:styleId="PubDate" w:customStyle="1">
    <w:name w:val="PubDate"/>
    <w:pPr>
      <w:spacing w:after="240" w:before="480"/>
    </w:pPr>
    <w:rPr>
      <w:rFonts w:ascii="Arial Narrow" w:hAnsi="Arial Narrow"/>
      <w:b w:val="1"/>
      <w:sz w:val="32"/>
    </w:rPr>
  </w:style>
  <w:style w:type="paragraph" w:styleId="Quotation" w:customStyle="1">
    <w:name w:val="Quotation"/>
    <w:next w:val="Normal"/>
    <w:qFormat w:val="1"/>
    <w:pPr>
      <w:spacing w:after="120" w:before="120"/>
      <w:ind w:left="720" w:right="720"/>
    </w:pPr>
    <w:rPr>
      <w:sz w:val="24"/>
    </w:rPr>
  </w:style>
  <w:style w:type="paragraph" w:styleId="BulletList-SecondLevel" w:customStyle="1">
    <w:name w:val="Bullet List - Second Level"/>
    <w:basedOn w:val="Normal"/>
    <w:qFormat w:val="1"/>
    <w:pPr>
      <w:numPr>
        <w:numId w:val="10"/>
      </w:numPr>
    </w:pPr>
  </w:style>
  <w:style w:type="paragraph" w:styleId="TableBullet" w:customStyle="1">
    <w:name w:val="TableBullet"/>
    <w:qFormat w:val="1"/>
    <w:pPr>
      <w:numPr>
        <w:numId w:val="11"/>
      </w:numPr>
      <w:spacing w:after="20" w:before="20"/>
    </w:pPr>
    <w:rPr>
      <w:rFonts w:ascii="Arial" w:hAnsi="Arial"/>
    </w:rPr>
  </w:style>
  <w:style w:type="paragraph" w:styleId="TableTextSmaller" w:customStyle="1">
    <w:name w:val="Table Text Smaller"/>
    <w:qFormat w:val="1"/>
    <w:pPr>
      <w:spacing w:after="40" w:before="40"/>
    </w:pPr>
    <w:rPr>
      <w:rFonts w:ascii="Arial" w:hAnsi="Arial"/>
      <w:noProof w:val="1"/>
      <w:sz w:val="16"/>
    </w:rPr>
  </w:style>
  <w:style w:type="paragraph" w:styleId="TableCaption" w:customStyle="1">
    <w:name w:val="TableCaption"/>
    <w:aliases w:val="tc"/>
    <w:next w:val="Normal"/>
    <w:qFormat w:val="1"/>
    <w:pPr>
      <w:keepNext w:val="1"/>
      <w:keepLines w:val="1"/>
      <w:spacing w:after="100" w:before="400"/>
      <w:jc w:val="center"/>
      <w:outlineLvl w:val="0"/>
    </w:pPr>
    <w:rPr>
      <w:rFonts w:ascii="Arial Narrow" w:hAnsi="Arial Narrow"/>
      <w:b w:val="1"/>
      <w:sz w:val="24"/>
      <w:szCs w:val="24"/>
    </w:rPr>
  </w:style>
  <w:style w:type="paragraph" w:styleId="TableColumnHeading" w:customStyle="1">
    <w:name w:val="TableColumnHeading"/>
    <w:next w:val="Normal"/>
    <w:qFormat w:val="1"/>
    <w:pPr>
      <w:keepNext w:val="1"/>
      <w:spacing w:after="60" w:before="60"/>
      <w:jc w:val="center"/>
    </w:pPr>
    <w:rPr>
      <w:rFonts w:ascii="Arial" w:hAnsi="Arial"/>
      <w:b w:val="1"/>
      <w:sz w:val="22"/>
      <w:szCs w:val="22"/>
    </w:rPr>
  </w:style>
  <w:style w:type="paragraph" w:styleId="TableDecimalNumber" w:customStyle="1">
    <w:name w:val="TableDecimalNumber"/>
    <w:pPr>
      <w:tabs>
        <w:tab w:val="decimal" w:pos="1292"/>
      </w:tabs>
      <w:spacing w:after="40" w:before="40"/>
    </w:pPr>
    <w:rPr>
      <w:rFonts w:ascii="Arial" w:hAnsi="Arial"/>
      <w:noProof w:val="1"/>
      <w:sz w:val="18"/>
    </w:rPr>
  </w:style>
  <w:style w:type="paragraph" w:styleId="TableDivHead2" w:customStyle="1">
    <w:name w:val="TableDivHead2"/>
    <w:next w:val="Normal"/>
    <w:pPr>
      <w:spacing w:after="40" w:before="40"/>
    </w:pPr>
    <w:rPr>
      <w:rFonts w:ascii="Arial" w:hAnsi="Arial"/>
      <w:b w:val="1"/>
    </w:rPr>
  </w:style>
  <w:style w:type="paragraph" w:styleId="TableDivHeading" w:customStyle="1">
    <w:name w:val="TableDivHeading"/>
    <w:qFormat w:val="1"/>
    <w:pPr>
      <w:keepNext w:val="1"/>
      <w:widowControl w:val="0"/>
      <w:spacing w:after="40" w:before="40"/>
    </w:pPr>
    <w:rPr>
      <w:rFonts w:ascii="Arial" w:hAnsi="Arial"/>
      <w:b w:val="1"/>
    </w:rPr>
  </w:style>
  <w:style w:type="paragraph" w:styleId="TableSubHeading" w:customStyle="1">
    <w:name w:val="TableSubHeading"/>
    <w:aliases w:val="tsh"/>
    <w:pPr>
      <w:keepNext w:val="1"/>
      <w:widowControl w:val="0"/>
      <w:spacing w:after="40" w:before="40"/>
    </w:pPr>
    <w:rPr>
      <w:rFonts w:ascii="Arial" w:hAnsi="Arial"/>
      <w:b w:val="1"/>
    </w:rPr>
  </w:style>
  <w:style w:type="paragraph" w:styleId="TableText" w:customStyle="1">
    <w:name w:val="TableText"/>
    <w:aliases w:val="tt"/>
    <w:link w:val="TableTextChar"/>
    <w:qFormat w:val="1"/>
    <w:pPr>
      <w:spacing w:after="40" w:before="40"/>
    </w:pPr>
    <w:rPr>
      <w:rFonts w:ascii="Arial" w:hAnsi="Arial"/>
    </w:rPr>
  </w:style>
  <w:style w:type="paragraph" w:styleId="TableVerticalHeading" w:customStyle="1">
    <w:name w:val="TableVerticalHeading"/>
    <w:aliases w:val="tvh"/>
    <w:pPr>
      <w:widowControl w:val="0"/>
      <w:jc w:val="center"/>
    </w:pPr>
    <w:rPr>
      <w:rFonts w:ascii="Arial" w:hAnsi="Arial"/>
      <w:b w:val="1"/>
    </w:rPr>
  </w:style>
  <w:style w:type="paragraph" w:styleId="TOC1">
    <w:name w:val="toc 1"/>
    <w:next w:val="Normal"/>
    <w:uiPriority w:val="39"/>
    <w:pPr>
      <w:tabs>
        <w:tab w:val="left" w:pos="360"/>
        <w:tab w:val="right" w:leader="dot" w:pos="9360"/>
      </w:tabs>
      <w:spacing w:after="120" w:before="200"/>
      <w:ind w:left="360" w:hanging="360"/>
    </w:pPr>
    <w:rPr>
      <w:b w:val="1"/>
      <w:noProof w:val="1"/>
      <w:sz w:val="26"/>
    </w:rPr>
  </w:style>
  <w:style w:type="paragraph" w:styleId="TOC2">
    <w:name w:val="toc 2"/>
    <w:next w:val="Normal"/>
    <w:uiPriority w:val="39"/>
    <w:pPr>
      <w:tabs>
        <w:tab w:val="left" w:pos="1080"/>
        <w:tab w:val="right" w:leader="dot" w:pos="9360"/>
      </w:tabs>
      <w:ind w:left="936" w:hanging="576"/>
    </w:pPr>
    <w:rPr>
      <w:noProof w:val="1"/>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styleId="Version" w:customStyle="1">
    <w:name w:val="Version"/>
    <w:basedOn w:val="Normal"/>
    <w:link w:val="VersionCharChar"/>
    <w:pPr>
      <w:spacing w:after="240" w:before="480"/>
    </w:pPr>
    <w:rPr>
      <w:rFonts w:ascii="Arial Narrow" w:hAnsi="Arial Narrow"/>
      <w:b w:val="1"/>
      <w:sz w:val="32"/>
      <w:szCs w:val="32"/>
    </w:rPr>
  </w:style>
  <w:style w:type="character" w:styleId="VersionCharChar" w:customStyle="1">
    <w:name w:val="Version Char Char"/>
    <w:basedOn w:val="DefaultParagraphFont"/>
    <w:link w:val="Version"/>
    <w:rPr>
      <w:rFonts w:ascii="Arial Narrow" w:hAnsi="Arial Narrow"/>
      <w:b w:val="1"/>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styleId="UnnumberedHeading" w:customStyle="1">
    <w:name w:val="Unnumbered Heading"/>
    <w:next w:val="Normal"/>
    <w:qFormat w:val="1"/>
    <w:pPr>
      <w:keepNext w:val="1"/>
      <w:keepLines w:val="1"/>
      <w:spacing w:after="60" w:before="240"/>
    </w:pPr>
    <w:rPr>
      <w:rFonts w:ascii="Arial Narrow" w:hAnsi="Arial Narrow"/>
      <w:b w:val="1"/>
      <w:sz w:val="26"/>
    </w:rPr>
  </w:style>
  <w:style w:type="paragraph" w:styleId="Reference" w:customStyle="1">
    <w:name w:val="Reference"/>
    <w:basedOn w:val="Normal"/>
    <w:qFormat w:val="1"/>
  </w:style>
  <w:style w:type="paragraph" w:styleId="Disclaimer" w:customStyle="1">
    <w:name w:val="Disclaimer"/>
    <w:pPr>
      <w:spacing w:after="60" w:before="60"/>
    </w:pPr>
    <w:rPr>
      <w:rFonts w:ascii="Arial Narrow" w:hAnsi="Arial Narrow"/>
      <w:noProof w:val="1"/>
      <w:sz w:val="22"/>
    </w:rPr>
  </w:style>
  <w:style w:type="paragraph" w:styleId="LineSpacer" w:customStyle="1">
    <w:name w:val="Line Spacer"/>
    <w:qFormat w:val="1"/>
    <w:rPr>
      <w:noProof w:val="1"/>
    </w:rPr>
  </w:style>
  <w:style w:type="paragraph" w:styleId="TableBulletIndented" w:customStyle="1">
    <w:name w:val="TableBullet Indented"/>
    <w:qFormat w:val="1"/>
    <w:pPr>
      <w:numPr>
        <w:numId w:val="13"/>
      </w:numPr>
    </w:pPr>
    <w:rPr>
      <w:rFonts w:ascii="Arial" w:hAnsi="Arial"/>
    </w:rPr>
  </w:style>
  <w:style w:type="paragraph" w:styleId="HeaderLineSpacer" w:customStyle="1">
    <w:name w:val="Header Line Spacer"/>
    <w:basedOn w:val="Header"/>
    <w:pPr>
      <w:jc w:val="left"/>
    </w:pPr>
    <w:rPr>
      <w:rFonts w:ascii="Arial Narrow" w:hAnsi="Arial Narrow"/>
      <w:b w:val="0"/>
      <w:noProof w:val="1"/>
      <w:sz w:val="18"/>
      <w:szCs w:val="18"/>
    </w:rPr>
  </w:style>
  <w:style w:type="paragraph" w:styleId="TableTextCenter" w:customStyle="1">
    <w:name w:val="TableTextCenter"/>
    <w:basedOn w:val="Normal"/>
    <w:qFormat w:val="1"/>
    <w:pPr>
      <w:tabs>
        <w:tab w:val="center" w:pos="4320"/>
      </w:tabs>
      <w:spacing w:after="40" w:before="40"/>
      <w:jc w:val="center"/>
    </w:pPr>
    <w:rPr>
      <w:rFonts w:ascii="Arial" w:hAnsi="Arial"/>
      <w:noProof w:val="1"/>
      <w:sz w:val="20"/>
    </w:rPr>
  </w:style>
  <w:style w:type="paragraph" w:styleId="CustomerProgram" w:customStyle="1">
    <w:name w:val="CustomerProgram"/>
    <w:basedOn w:val="ProgramName"/>
    <w:link w:val="CustomerProgramChar"/>
    <w:pPr>
      <w:jc w:val="left"/>
    </w:pPr>
    <w:rPr>
      <w:sz w:val="32"/>
    </w:rPr>
  </w:style>
  <w:style w:type="paragraph" w:styleId="Draft1" w:customStyle="1">
    <w:name w:val="Draft1"/>
    <w:basedOn w:val="Normal"/>
    <w:pPr>
      <w:spacing w:after="240" w:before="600"/>
    </w:pPr>
    <w:rPr>
      <w:rFonts w:ascii="Arial Narrow" w:hAnsi="Arial Narrow"/>
      <w:b w:val="1"/>
      <w:sz w:val="32"/>
    </w:rPr>
  </w:style>
  <w:style w:type="character" w:styleId="ProgramNameChar" w:customStyle="1">
    <w:name w:val="Program Name Char"/>
    <w:basedOn w:val="DefaultParagraphFont"/>
    <w:link w:val="ProgramName"/>
    <w:rPr>
      <w:rFonts w:ascii="Arial Narrow" w:hAnsi="Arial Narrow"/>
      <w:b w:val="1"/>
      <w:sz w:val="40"/>
      <w:lang w:bidi="ar-SA" w:eastAsia="en-US" w:val="en-US"/>
    </w:rPr>
  </w:style>
  <w:style w:type="character" w:styleId="CustomerProgramChar" w:customStyle="1">
    <w:name w:val="CustomerProgram Char"/>
    <w:basedOn w:val="ProgramNameChar"/>
    <w:link w:val="CustomerProgram"/>
    <w:rPr>
      <w:rFonts w:ascii="Arial Narrow" w:hAnsi="Arial Narrow"/>
      <w:b w:val="1"/>
      <w:sz w:val="32"/>
      <w:lang w:bidi="ar-SA" w:eastAsia="en-US" w:val="en-US"/>
    </w:rPr>
  </w:style>
  <w:style w:type="character" w:styleId="TableTextChar" w:customStyle="1">
    <w:name w:val="TableText Char"/>
    <w:aliases w:val="tt Char"/>
    <w:basedOn w:val="DefaultParagraphFont"/>
    <w:link w:val="TableText"/>
    <w:rPr>
      <w:rFonts w:ascii="Arial" w:hAnsi="Arial"/>
    </w:rPr>
  </w:style>
  <w:style w:type="paragraph" w:styleId="BalloonText">
    <w:name w:val="Balloon Text"/>
    <w:basedOn w:val="Normal"/>
    <w:semiHidden w:val="1"/>
    <w:rPr>
      <w:rFonts w:ascii="Tahoma" w:cs="Tahoma" w:hAnsi="Tahoma"/>
      <w:sz w:val="16"/>
      <w:szCs w:val="16"/>
    </w:rPr>
  </w:style>
  <w:style w:type="paragraph" w:styleId="Caption">
    <w:name w:val="caption"/>
    <w:basedOn w:val="Normal"/>
    <w:next w:val="Normal"/>
    <w:rPr>
      <w:b w:val="1"/>
      <w:bCs w:val="1"/>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val="1"/>
      <w:bCs w:val="1"/>
    </w:rPr>
  </w:style>
  <w:style w:type="paragraph" w:styleId="DocumentMap">
    <w:name w:val="Document Map"/>
    <w:basedOn w:val="Normal"/>
    <w:pPr>
      <w:shd w:color="auto" w:fill="000080" w:val="clear"/>
    </w:pPr>
    <w:rPr>
      <w:rFonts w:ascii="Tahoma" w:cs="Tahoma" w:hAnsi="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val="1"/>
    <w:pPr>
      <w:ind w:left="240" w:hanging="240"/>
    </w:pPr>
  </w:style>
  <w:style w:type="paragraph" w:styleId="Index2">
    <w:name w:val="index 2"/>
    <w:basedOn w:val="Normal"/>
    <w:next w:val="Normal"/>
    <w:autoRedefine w:val="1"/>
    <w:pPr>
      <w:ind w:left="480" w:hanging="240"/>
    </w:pPr>
  </w:style>
  <w:style w:type="paragraph" w:styleId="Index3">
    <w:name w:val="index 3"/>
    <w:basedOn w:val="Normal"/>
    <w:next w:val="Normal"/>
    <w:autoRedefine w:val="1"/>
    <w:pPr>
      <w:ind w:left="720" w:hanging="240"/>
    </w:pPr>
  </w:style>
  <w:style w:type="paragraph" w:styleId="Index4">
    <w:name w:val="index 4"/>
    <w:basedOn w:val="Normal"/>
    <w:next w:val="Normal"/>
    <w:autoRedefine w:val="1"/>
    <w:pPr>
      <w:ind w:left="960" w:hanging="240"/>
    </w:pPr>
  </w:style>
  <w:style w:type="paragraph" w:styleId="Index5">
    <w:name w:val="index 5"/>
    <w:basedOn w:val="Normal"/>
    <w:next w:val="Normal"/>
    <w:autoRedefine w:val="1"/>
    <w:pPr>
      <w:ind w:left="1200" w:hanging="240"/>
    </w:pPr>
  </w:style>
  <w:style w:type="paragraph" w:styleId="Index6">
    <w:name w:val="index 6"/>
    <w:basedOn w:val="Normal"/>
    <w:next w:val="Normal"/>
    <w:autoRedefine w:val="1"/>
    <w:pPr>
      <w:ind w:left="1440" w:hanging="240"/>
    </w:pPr>
  </w:style>
  <w:style w:type="paragraph" w:styleId="Index7">
    <w:name w:val="index 7"/>
    <w:basedOn w:val="Normal"/>
    <w:next w:val="Normal"/>
    <w:autoRedefine w:val="1"/>
    <w:pPr>
      <w:ind w:left="1680" w:hanging="240"/>
    </w:pPr>
  </w:style>
  <w:style w:type="paragraph" w:styleId="Index8">
    <w:name w:val="index 8"/>
    <w:basedOn w:val="Normal"/>
    <w:next w:val="Normal"/>
    <w:autoRedefine w:val="1"/>
    <w:pPr>
      <w:ind w:left="1920" w:hanging="240"/>
    </w:pPr>
  </w:style>
  <w:style w:type="paragraph" w:styleId="Index9">
    <w:name w:val="index 9"/>
    <w:basedOn w:val="Normal"/>
    <w:next w:val="Normal"/>
    <w:autoRedefine w:val="1"/>
    <w:pPr>
      <w:ind w:left="2160" w:hanging="240"/>
    </w:pPr>
  </w:style>
  <w:style w:type="paragraph" w:styleId="IndexHeading">
    <w:name w:val="index heading"/>
    <w:basedOn w:val="Normal"/>
    <w:next w:val="Index1"/>
    <w:rPr>
      <w:rFonts w:ascii="Arial" w:cs="Arial" w:hAnsi="Arial"/>
      <w:b w:val="1"/>
      <w:bCs w:val="1"/>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after="120" w:before="120"/>
    </w:pPr>
    <w:rPr>
      <w:rFonts w:ascii="Courier New" w:cs="Courier New" w:hAnsi="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cs="Arial" w:hAnsi="Arial"/>
      <w:b w:val="1"/>
      <w:bCs w:val="1"/>
    </w:rPr>
  </w:style>
  <w:style w:type="paragraph" w:styleId="VersionDateLineFooter" w:customStyle="1">
    <w:name w:val="VersionDateLine Footer"/>
    <w:basedOn w:val="Footer"/>
    <w:pPr>
      <w:spacing w:before="0"/>
    </w:pPr>
  </w:style>
  <w:style w:type="paragraph" w:styleId="NumberedList" w:customStyle="1">
    <w:name w:val="Numbered List"/>
    <w:basedOn w:val="Normal"/>
    <w:qFormat w:val="1"/>
    <w:pPr>
      <w:numPr>
        <w:numId w:val="69"/>
      </w:numPr>
    </w:pPr>
    <w:rPr>
      <w:szCs w:val="20"/>
    </w:rPr>
  </w:style>
  <w:style w:type="paragraph" w:styleId="NumberedListLast" w:customStyle="1">
    <w:name w:val="Numbered List Last"/>
    <w:basedOn w:val="NumberedList"/>
    <w:qFormat w:val="1"/>
    <w:pPr>
      <w:spacing w:after="280"/>
    </w:pPr>
  </w:style>
  <w:style w:type="paragraph" w:styleId="Instruction" w:customStyle="1">
    <w:name w:val="Instruction"/>
    <w:basedOn w:val="Normal"/>
    <w:rPr>
      <w:color w:val="0070c0"/>
    </w:rPr>
  </w:style>
  <w:style w:type="table" w:styleId="TableGrid">
    <w:name w:val="Table Grid"/>
    <w:basedOn w:val="TableNormal"/>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rPr>
      <w:color w:val="0000ff" w:themeColor="hyperlink"/>
      <w:u w:val="single"/>
    </w:rPr>
  </w:style>
  <w:style w:type="paragraph" w:styleId="NumberedList2bulleted" w:customStyle="1">
    <w:name w:val="Numbered List 2 (bulleted)"/>
    <w:qFormat w:val="1"/>
    <w:pPr>
      <w:numPr>
        <w:numId w:val="36"/>
      </w:numPr>
      <w:spacing w:after="60" w:before="60"/>
    </w:pPr>
    <w:rPr>
      <w:rFonts w:cs="Arial" w:eastAsiaTheme="majorEastAsia"/>
      <w:bCs w:val="1"/>
      <w:kern w:val="32"/>
      <w:sz w:val="24"/>
      <w:szCs w:val="22"/>
    </w:rPr>
  </w:style>
  <w:style w:type="paragraph" w:styleId="TableVerticalHeading1" w:customStyle="1">
    <w:name w:val="TableVerticalHeading1"/>
    <w:aliases w:val="tvh1"/>
    <w:next w:val="TableVerticalHeading"/>
    <w:pPr>
      <w:widowControl w:val="0"/>
      <w:jc w:val="center"/>
    </w:pPr>
    <w:rPr>
      <w:rFonts w:ascii="Arial" w:hAnsi="Arial"/>
      <w:b w:val="1"/>
    </w:rPr>
  </w:style>
  <w:style w:type="character" w:styleId="numberreference" w:customStyle="1">
    <w:name w:val="number reference"/>
    <w:basedOn w:val="DefaultParagraphFont"/>
    <w:uiPriority w:val="1"/>
    <w:qFormat w:val="1"/>
    <w:rPr>
      <w:rFonts w:ascii="Arial" w:hAnsi="Arial"/>
      <w:b w:val="1"/>
      <w:i w:val="0"/>
      <w:color w:val="ff0000"/>
    </w:rPr>
  </w:style>
  <w:style w:type="paragraph" w:styleId="FAQ" w:customStyle="1">
    <w:name w:val="FAQ"/>
    <w:basedOn w:val="Normal"/>
    <w:qFormat w:val="1"/>
    <w:pPr>
      <w:spacing w:before="240"/>
    </w:pPr>
    <w:rPr>
      <w:rFonts w:ascii="Arial Narrow Bold" w:hAnsi="Arial Narrow Bold"/>
    </w:rPr>
  </w:style>
  <w:style w:type="paragraph" w:styleId="Revision">
    <w:name w:val="Revision"/>
    <w:hidden w:val="1"/>
    <w:uiPriority w:val="99"/>
    <w:semiHidden w:val="1"/>
    <w:rPr>
      <w:sz w:val="24"/>
    </w:rPr>
  </w:style>
  <w:style w:type="character" w:styleId="FollowedHyperlink">
    <w:name w:val="FollowedHyperlink"/>
    <w:basedOn w:val="DefaultParagraphFont"/>
    <w:semiHidden w:val="1"/>
    <w:unhideWhenUsed w:val="1"/>
    <w:rPr>
      <w:color w:val="800080" w:themeColor="followedHyperlink"/>
      <w:u w:val="single"/>
    </w:rPr>
  </w:style>
  <w:style w:type="paragraph" w:styleId="CoverFooter" w:customStyle="1">
    <w:name w:val="CoverFooter"/>
    <w:basedOn w:val="Normal"/>
    <w:qFormat w:val="1"/>
  </w:style>
  <w:style w:type="paragraph" w:styleId="ListParagraph">
    <w:name w:val="List Paragraph"/>
    <w:basedOn w:val="Normal"/>
    <w:uiPriority w:val="3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7.png"/><Relationship Id="rId42" Type="http://schemas.openxmlformats.org/officeDocument/2006/relationships/image" Target="media/image27.png"/><Relationship Id="rId41" Type="http://schemas.openxmlformats.org/officeDocument/2006/relationships/image" Target="media/image19.png"/><Relationship Id="rId22" Type="http://schemas.openxmlformats.org/officeDocument/2006/relationships/image" Target="media/image13.png"/><Relationship Id="rId44" Type="http://schemas.openxmlformats.org/officeDocument/2006/relationships/header" Target="header8.xml"/><Relationship Id="rId21" Type="http://schemas.openxmlformats.org/officeDocument/2006/relationships/image" Target="media/image23.png"/><Relationship Id="rId43" Type="http://schemas.openxmlformats.org/officeDocument/2006/relationships/image" Target="media/image12.png"/><Relationship Id="rId24" Type="http://schemas.openxmlformats.org/officeDocument/2006/relationships/image" Target="media/image25.png"/><Relationship Id="rId46" Type="http://schemas.openxmlformats.org/officeDocument/2006/relationships/header" Target="header7.xml"/><Relationship Id="rId23" Type="http://schemas.openxmlformats.org/officeDocument/2006/relationships/hyperlink" Target="https://uts.nlm.nih.gov/" TargetMode="External"/><Relationship Id="rId45" Type="http://schemas.openxmlformats.org/officeDocument/2006/relationships/hyperlink" Target="http://jira.oncprojectracking.org/browse/BONN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image" Target="media/image20.png"/><Relationship Id="rId48" Type="http://schemas.openxmlformats.org/officeDocument/2006/relationships/header" Target="header4.xml"/><Relationship Id="rId25" Type="http://schemas.openxmlformats.org/officeDocument/2006/relationships/image" Target="media/image9.png"/><Relationship Id="rId47" Type="http://schemas.openxmlformats.org/officeDocument/2006/relationships/hyperlink" Target="https://uts.nlm.nih.gov/license.html" TargetMode="External"/><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customXml" Target="../customXML/item1.xml"/><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footer" Target="footer2.xml"/><Relationship Id="rId33" Type="http://schemas.openxmlformats.org/officeDocument/2006/relationships/image" Target="media/image10.png"/><Relationship Id="rId10" Type="http://schemas.openxmlformats.org/officeDocument/2006/relationships/header" Target="header2.xml"/><Relationship Id="rId32" Type="http://schemas.openxmlformats.org/officeDocument/2006/relationships/image" Target="media/image26.png"/><Relationship Id="rId13" Type="http://schemas.openxmlformats.org/officeDocument/2006/relationships/footer" Target="footer3.xml"/><Relationship Id="rId35" Type="http://schemas.openxmlformats.org/officeDocument/2006/relationships/image" Target="media/image18.png"/><Relationship Id="rId12" Type="http://schemas.openxmlformats.org/officeDocument/2006/relationships/header" Target="header3.xml"/><Relationship Id="rId34" Type="http://schemas.openxmlformats.org/officeDocument/2006/relationships/image" Target="media/image14.png"/><Relationship Id="rId15" Type="http://schemas.openxmlformats.org/officeDocument/2006/relationships/image" Target="media/image15.png"/><Relationship Id="rId37" Type="http://schemas.openxmlformats.org/officeDocument/2006/relationships/image" Target="media/image1.png"/><Relationship Id="rId14" Type="http://schemas.openxmlformats.org/officeDocument/2006/relationships/image" Target="media/image8.png"/><Relationship Id="rId36" Type="http://schemas.openxmlformats.org/officeDocument/2006/relationships/image" Target="media/image11.png"/><Relationship Id="rId17" Type="http://schemas.openxmlformats.org/officeDocument/2006/relationships/image" Target="media/image17.png"/><Relationship Id="rId39" Type="http://schemas.openxmlformats.org/officeDocument/2006/relationships/image" Target="media/image24.png"/><Relationship Id="rId16" Type="http://schemas.openxmlformats.org/officeDocument/2006/relationships/image" Target="media/image16.png"/><Relationship Id="rId38" Type="http://schemas.openxmlformats.org/officeDocument/2006/relationships/header" Target="header5.xml"/><Relationship Id="rId19" Type="http://schemas.openxmlformats.org/officeDocument/2006/relationships/image" Target="media/image22.png"/><Relationship Id="rId18" Type="http://schemas.openxmlformats.org/officeDocument/2006/relationships/header" Target="header6.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lGIVPVa+TVGAT2G0MBKaaWhsNQ==">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2019-08-20T19:03:00Z</dcterms:created>
  <dc:creator>Centers for Medicare &amp; Medicaid Services and ONC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