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color w:val="697779"/>
          <w:sz w:val="18"/>
          <w:szCs w:val="18"/>
        </w:rPr>
        <w:t xml:space="preserve">MeasureStream · Measures &amp; Sensors Lab</w:t>
      </w:r>
    </w:p>
    <w:p>
      <w:pPr>
        <w:pStyle w:val="Title"/>
        <w:spacing w:after="100"/>
      </w:pPr>
      <w:r>
        <w:rPr>
          <w:rFonts w:ascii="Cambria" w:cs="Cambria" w:eastAsia="Cambria" w:hAnsi="Cambria"/>
          <w:b/>
          <w:bCs/>
          <w:color w:val="12333A"/>
          <w:sz w:val="44"/>
          <w:szCs w:val="44"/>
        </w:rPr>
        <w:t xml:space="preserve">Schede di progetto dei template sensori</w:t>
      </w:r>
    </w:p>
    <w:p>
      <w:pPr>
        <w:spacing w:after="120" w:line="276"/>
      </w:pPr>
      <w:r>
        <w:rPr>
          <w:color w:val="3D4A4D"/>
          <w:sz w:val="22"/>
          <w:szCs w:val="22"/>
        </w:rPr>
        <w:t xml:space="preserve">Giustificazione dei valori adottati in sensor-templates</w:t>
      </w:r>
    </w:p>
    <w:p>
      <w:pPr>
        <w:spacing w:after="260" w:line="276"/>
      </w:pPr>
      <w:r>
        <w:rPr>
          <w:color w:val="697779"/>
          <w:sz w:val="18"/>
          <w:szCs w:val="18"/>
        </w:rPr>
        <w:t xml:space="preserve">Aggiornato al 1 settembre 2026</w:t>
      </w:r>
    </w:p>
    <w:p>
      <w:pPr>
        <w:pBdr>
          <w:bottom w:val="single" w:color="AEBABA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20"/>
      </w:pPr>
      <w:r>
        <w:t xml:space="preserve">Scopo</w:t>
      </w:r>
    </w:p>
    <w:p>
      <w:pPr>
        <w:spacing w:after="120" w:line="276"/>
      </w:pPr>
      <w:r>
        <w:rPr>
          <w:sz w:val="21"/>
          <w:szCs w:val="21"/>
        </w:rPr>
        <w:t xml:space="preserve">Un template di sensore contiene decine di valori numerici che, letti a distanza di mesi, sono indistinguibili fra loro: il fondo scala preso dal datasheet ha lo stesso aspetto della stima fatta a mano e della convenzione ereditata da un altro file. Questo documento raccoglie, per ogni sensore trasposto in template, l’origine di ciascun valore.</w:t>
      </w:r>
    </w:p>
    <w:p>
      <w:pPr>
        <w:spacing w:after="120" w:line="276"/>
      </w:pPr>
      <w:r>
        <w:rPr>
          <w:sz w:val="21"/>
          <w:szCs w:val="21"/>
        </w:rPr>
        <w:t xml:space="preserve">Serve a due cose: rendere rivedibile un template senza ripercorrere il datasheet, e impedire che una stima passi per dato di targa. Ogni scheda va aggiornata insieme al file JSON che descrive, non dopo.</w:t>
      </w:r>
    </w:p>
    <w:p>
      <w:pPr>
        <w:pStyle w:val="Heading1"/>
        <w:spacing w:after="180" w:before="320"/>
      </w:pPr>
      <w:r>
        <w:t xml:space="preserve">Come si compila una scheda</w:t>
      </w:r>
    </w:p>
    <w:p>
      <w:pPr>
        <w:spacing w:after="120" w:line="276"/>
      </w:pPr>
      <w:r>
        <w:rPr>
          <w:sz w:val="21"/>
          <w:szCs w:val="21"/>
        </w:rPr>
        <w:t xml:space="preserve">Ogni scheda segue la stessa struttura: identificazione, motivazione del template, grandezza e unità, intervalli, proprietà fisiche, calibrazione, metriche supportate, metrologia, punti aperti.</w:t>
      </w:r>
    </w:p>
    <w:p>
      <w:pPr>
        <w:spacing w:after="120" w:line="276"/>
      </w:pPr>
      <w:r>
        <w:rPr>
          <w:sz w:val="21"/>
          <w:szCs w:val="21"/>
        </w:rPr>
        <w:t xml:space="preserve">La regola che tiene insieme il documento è una sola: ogni valore numerico deve dichiarare la propria origine, scelta fra queste quattro.</w:t>
      </w:r>
    </w:p>
    <w:tbl>
      <w:tblPr>
        <w:tblW w:type="dxa" w:w="9026"/>
        <w:tblBorders>
          <w:top w:val="single" w:color="AEBABA" w:sz="4"/>
          <w:left w:val="single" w:color="AEBABA" w:sz="4"/>
          <w:bottom w:val="single" w:color="AEBABA" w:sz="4"/>
          <w:right w:val="single" w:color="AEBABA" w:sz="4"/>
          <w:insideH w:val="single" w:color="D3DBDB" w:sz="2"/>
          <w:insideV w:val="single" w:color="D3DBDB" w:sz="2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Origine</w:t>
            </w:r>
          </w:p>
        </w:tc>
        <w:tc>
          <w:tcPr>
            <w:tcW w:type="dxa" w:w="7326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Significato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Targa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Dichiarato dal datasheet. Va citato il simbolo del costruttore e la tabella da cui proviene, così da poterlo ritrovare.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Derivato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Calcolato a partire da valori di targa. Il calcolo va scritto per esteso, comprese le ipotesi che lo rendono valido.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Convenzione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Scelto per coerenza con gli altri template o per riempire un campo obbligatorio. Non è misurato e non ha autorità: va rivisto quando il dato vero esiste.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 taratura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Determinato sul singolo esemplare. Nel template compare un segnaposto, tipicamente zero, e il valore di targa serve solo come ordine di grandezza.</w:t>
            </w:r>
          </w:p>
        </w:tc>
      </w:tr>
    </w:tbl>
    <w:p>
      <w:pPr>
        <w:spacing w:after="60" w:line="276"/>
      </w:pPr>
      <w:r>
        <w:rPr>
          <w:sz w:val="21"/>
          <w:szCs w:val="21"/>
        </w:rPr>
        <w:t xml:space="preserve"/>
      </w:r>
    </w:p>
    <w:p>
      <w:pPr>
        <w:spacing w:after="120" w:line="276"/>
      </w:pPr>
      <w:r>
        <w:rPr>
          <w:sz w:val="21"/>
          <w:szCs w:val="21"/>
        </w:rPr>
        <w:t xml:space="preserve">Un valore senza origine dichiarata è un difetto della scheda, non un dettaglio di stile: è esattamente il caso in cui, fra sei mesi, nessuno saprà più se si può toccare.</w:t>
      </w:r>
    </w:p>
    <w:p>
      <w:r>
        <w:br w:type="page"/>
      </w:r>
    </w:p>
    <w:p>
      <w:pPr>
        <w:pStyle w:val="Heading1"/>
        <w:spacing w:after="180" w:before="320"/>
      </w:pPr>
      <w:r>
        <w:t xml:space="preserve">Giroscopio LSM6DSM</w:t>
      </w:r>
    </w:p>
    <w:p>
      <w:pPr>
        <w:spacing w:after="120" w:line="276"/>
      </w:pPr>
      <w:r>
        <w:rPr>
          <w:rFonts w:ascii="Consolas" w:cs="Consolas" w:eastAsia="Consolas" w:hAnsi="Consolas"/>
          <w:color w:val="697779"/>
          <w:sz w:val="19"/>
          <w:szCs w:val="19"/>
        </w:rPr>
        <w:t xml:space="preserve">File: gyroscope_lsm6dsm.json · templateId 205 · templateVersion 2.0.0</w:t>
      </w:r>
    </w:p>
    <w:p>
      <w:pPr>
        <w:pStyle w:val="Heading2"/>
        <w:spacing w:after="140" w:before="280"/>
      </w:pPr>
      <w:r>
        <w:t xml:space="preserve">Identificazione</w:t>
      </w:r>
    </w:p>
    <w:tbl>
      <w:tblPr>
        <w:tblW w:type="dxa" w:w="9026"/>
        <w:tblBorders>
          <w:top w:val="single" w:color="AEBABA" w:sz="4"/>
          <w:left w:val="single" w:color="AEBABA" w:sz="4"/>
          <w:bottom w:val="single" w:color="AEBABA" w:sz="4"/>
          <w:right w:val="single" w:color="AEBABA" w:sz="4"/>
          <w:insideH w:val="single" w:color="D3DBDB" w:sz="2"/>
          <w:insideV w:val="single" w:color="D3DBDB" w:sz="2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30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Valore</w:t>
            </w:r>
          </w:p>
        </w:tc>
        <w:tc>
          <w:tcPr>
            <w:tcW w:type="dxa" w:w="3826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modelName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GyroscopeLSM6DSM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Chiave di lookup lato backend, in parallelo a AccelerometerLSM6DSM.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templateId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205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Primo identificativo libero dopo 204. La serie 2xx è dei sensori, la 3xx dei campioni di riferimento.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mpn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LSM6DSMTR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 stesso componente dell’accelerometro: è un’unica IMU a sei assi.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type / quantity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gyroscope / angular_velocity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type è il tipo di sensore, quantity la grandezza misurata, secondo la separazione già adottata negli altri template.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templateVersion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2.0.0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File nuovo, quindi scritto nella semantica corrente: formula esplicita, input[], coefficienti in c[] con unità individuali. Sul filo del protocollo viaggia il solo numero MAJOR.</w:t>
            </w:r>
          </w:p>
        </w:tc>
      </w:tr>
    </w:tbl>
    <w:p>
      <w:pPr>
        <w:pStyle w:val="Heading2"/>
        <w:spacing w:after="140" w:before="280"/>
      </w:pPr>
      <w:r>
        <w:t xml:space="preserve">Perché è un template distinto dall’accelerometro</w:t>
      </w:r>
    </w:p>
    <w:p>
      <w:pPr>
        <w:spacing w:after="120" w:line="276"/>
      </w:pPr>
      <w:r>
        <w:rPr>
          <w:sz w:val="21"/>
          <w:szCs w:val="21"/>
        </w:rPr>
        <w:t xml:space="preserve">Accelerometro e giroscopio sono la stessa parte fisica, con lo stesso codice di ordinazione, ma il template descrive un modello di misura, non un componente. Le due sezioni misurano grandezze diverse e non condividono nessuno dei campi che contano: unità, fondo scala, sensibilità, rumore e intervallo di frequenza di campionamento sono tutti diversi.</w:t>
      </w:r>
    </w:p>
    <w:p>
      <w:pPr>
        <w:spacing w:after="120" w:line="276"/>
      </w:pPr>
      <w:r>
        <w:rPr>
          <w:sz w:val="21"/>
          <w:szCs w:val="21"/>
        </w:rPr>
        <w:t xml:space="preserve">I tre assi di ciascuna sezione, al contrario, sono identici in ogni campo che il template trasporta. Un file per tre assi non è quindi un compromesso: è la descrizione corretta, e l’identità dell’asse vive nella mappa dei sensori della MU, dove può distinguerli.</w:t>
      </w:r>
    </w:p>
    <w:p>
      <w:pPr>
        <w:pStyle w:val="Heading2"/>
        <w:spacing w:after="140" w:before="280"/>
      </w:pPr>
      <w:r>
        <w:t xml:space="preserve">Grandezza, unità e vettore SI</w:t>
      </w:r>
    </w:p>
    <w:p>
      <w:pPr>
        <w:spacing w:after="120" w:line="276"/>
      </w:pPr>
      <w:r>
        <w:rPr>
          <w:sz w:val="21"/>
          <w:szCs w:val="21"/>
        </w:rPr>
        <w:t xml:space="preserve">L’unità dichiarata è </w:t>
      </w:r>
      <w:r>
        <w:rPr>
          <w:rFonts w:ascii="Consolas" w:cs="Consolas" w:eastAsia="Consolas" w:hAnsi="Consolas"/>
          <w:sz w:val="21"/>
          <w:szCs w:val="21"/>
        </w:rPr>
        <w:t xml:space="preserve">\degree\per\second</w:t>
      </w:r>
      <w:r>
        <w:rPr>
          <w:sz w:val="21"/>
          <w:szCs w:val="21"/>
        </w:rPr>
        <w:t xml:space="preserve">. Il vettore </w:t>
      </w:r>
      <w:r>
        <w:rPr>
          <w:rFonts w:ascii="Consolas" w:cs="Consolas" w:eastAsia="Consolas" w:hAnsi="Consolas"/>
          <w:sz w:val="21"/>
          <w:szCs w:val="21"/>
        </w:rPr>
        <w:t xml:space="preserve">si</w:t>
      </w:r>
      <w:r>
        <w:rPr>
          <w:sz w:val="21"/>
          <w:szCs w:val="21"/>
        </w:rPr>
        <w:t xml:space="preserve"> porta il solo esponente −1 sui secondi, </w:t>
      </w:r>
      <w:r>
        <w:rPr>
          <w:rFonts w:ascii="Consolas" w:cs="Consolas" w:eastAsia="Consolas" w:hAnsi="Consolas"/>
          <w:sz w:val="21"/>
          <w:szCs w:val="21"/>
        </w:rPr>
        <w:t xml:space="preserve">[0, 0, −1, 0, 0, 0, 0, 0]</w:t>
      </w:r>
      <w:r>
        <w:rPr>
          <w:sz w:val="21"/>
          <w:szCs w:val="21"/>
        </w:rPr>
        <w:t xml:space="preserve">, perché l’angolo piano è adimensionale nel SI: il grado sopravvive nella notazione D-SI ma non nella dimensione fisica. È la stessa scelta già fatta per la percentuale nel template di umidità.</w:t>
      </w:r>
    </w:p>
    <w:p>
      <w:pPr>
        <w:pStyle w:val="Heading2"/>
        <w:spacing w:after="140" w:before="280"/>
      </w:pPr>
      <w:r>
        <w:t xml:space="preserve">Intervalli</w:t>
      </w:r>
    </w:p>
    <w:tbl>
      <w:tblPr>
        <w:tblW w:type="dxa" w:w="9026"/>
        <w:tblBorders>
          <w:top w:val="single" w:color="AEBABA" w:sz="4"/>
          <w:left w:val="single" w:color="AEBABA" w:sz="4"/>
          <w:bottom w:val="single" w:color="AEBABA" w:sz="4"/>
          <w:right w:val="single" w:color="AEBABA" w:sz="4"/>
          <w:insideH w:val="single" w:color="D3DBDB" w:sz="2"/>
          <w:insideV w:val="single" w:color="D3DBDB" w:sz="2"/>
        </w:tblBorders>
      </w:tblPr>
      <w:tblGrid>
        <w:gridCol w:w="1500"/>
        <w:gridCol w:w="2100"/>
        <w:gridCol w:w="1400"/>
        <w:gridCol w:w="4026"/>
      </w:tblGrid>
      <w:tr>
        <w:trPr>
          <w:tblHeader/>
        </w:trPr>
        <w:tc>
          <w:tcPr>
            <w:tcW w:type="dxa" w:w="15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21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Valore</w:t>
            </w:r>
          </w:p>
        </w:tc>
        <w:tc>
          <w:tcPr>
            <w:tcW w:type="dxa" w:w="14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Origine</w:t>
            </w:r>
          </w:p>
        </w:tc>
        <w:tc>
          <w:tcPr>
            <w:tcW w:type="dxa" w:w="4026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Motivazione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phys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±2000 °/s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Targa (G_FS)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Fondo scala scelto fra i cinque disponibili. Vedi la nota sul compromesso, sotto.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elec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−32768 … 32767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Targa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Registri di uscita a 16 bit in complemento a due, identici a quelli dell’accelerometro.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sampling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0,00015 … 0,08 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Derivato (G_ODR)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Reciproco degli ODR estremi: 1/6664 Hz = 150 µs e 1/12,5 Hz = 80 ms.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physROC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±200000 °/s²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Convenzione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Cento volte il fondo scala, per coerenza con il template dell’accelerometro. Nessun dato di targa lo sostiene: è un riempitivo da rivedere.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threshold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±2000 °/s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Derivato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Coincide con phys, espresso in unità fisiche secondo la regola adottata con il protocollo v1.0.</w:t>
            </w:r>
          </w:p>
        </w:tc>
      </w:tr>
    </w:tbl>
    <w:p>
      <w:pPr>
        <w:pStyle w:val="Heading3"/>
        <w:spacing w:after="100" w:before="220"/>
      </w:pPr>
      <w:r>
        <w:t xml:space="preserve">Il limite inferiore di ODR è diverso da quello dell’accelerometro</w:t>
      </w:r>
    </w:p>
    <w:p>
      <w:pPr>
        <w:spacing w:after="120" w:line="276"/>
      </w:pPr>
      <w:r>
        <w:rPr>
          <w:sz w:val="21"/>
          <w:szCs w:val="21"/>
        </w:rPr>
        <w:t xml:space="preserve">È la differenza più concreta fra i due template e vale la pena non perderla. L’accelerometro scende a 1,6 Hz, quindi ammette periodi fino a 0,625 s; il giroscopio si ferma a 12,5 Hz, cioè 0,08 s. Un periodo di campionamento accettabile per l’accelerometro può quindi essere irrealizzabile per il giroscopio, e la validazione della configurazione deve accorgersene.</w:t>
      </w:r>
    </w:p>
    <w:p>
      <w:pPr>
        <w:pStyle w:val="Heading3"/>
        <w:spacing w:after="100" w:before="220"/>
      </w:pPr>
      <w:r>
        <w:t xml:space="preserve">Compromesso sul fondo scala</w:t>
      </w:r>
    </w:p>
    <w:p>
      <w:pPr>
        <w:spacing w:after="120" w:line="276"/>
      </w:pPr>
      <w:r>
        <w:rPr>
          <w:sz w:val="21"/>
          <w:szCs w:val="21"/>
        </w:rPr>
        <w:t xml:space="preserve">La sensibilità peggiora linearmente con il fondo scala: 4,375 mdps/LSB a ±125 °/s contro 70 mdps/LSB a ±2000 °/s, cioè un fattore sedici di risoluzione perso. La scelta di ±2000 °/s privilegia l’immunità alla saturazione, che è il rischio dominante in monitoraggio strutturale e di vibrazione, dove un urto genera transitori molto più rapidi del fenomeno osservato.</w:t>
      </w:r>
    </w:p>
    <w:p>
      <w:pPr>
        <w:spacing w:after="120" w:line="276"/>
      </w:pPr>
      <w:r>
        <w:rPr>
          <w:sz w:val="21"/>
          <w:szCs w:val="21"/>
        </w:rPr>
        <w:t xml:space="preserve">Se l’applicazione fosse invece l’inclinazione lenta o l’assetto, un fondo scala ridotto darebbe una risoluzione molto migliore a parità di tutto il resto. La scelta va confermata quando l’uso sarà fissato: è l’unico parametro del template che dipende dall’applicazione e non dal componente.</w:t>
      </w:r>
    </w:p>
    <w:p>
      <w:pPr>
        <w:pStyle w:val="Heading2"/>
        <w:spacing w:after="140" w:before="280"/>
      </w:pPr>
      <w:r>
        <w:t xml:space="preserve">Proprietà fisiche</w:t>
      </w:r>
    </w:p>
    <w:p>
      <w:pPr>
        <w:pStyle w:val="Heading3"/>
        <w:spacing w:after="100" w:before="220"/>
      </w:pPr>
      <w:r>
        <w:t xml:space="preserve">responseTime = 0,035 s</w:t>
      </w:r>
    </w:p>
    <w:p>
      <w:pPr>
        <w:spacing w:after="120" w:line="276"/>
      </w:pPr>
      <w:r>
        <w:rPr>
          <w:sz w:val="21"/>
          <w:szCs w:val="21"/>
        </w:rPr>
        <w:t xml:space="preserve">Origine: targa (</w:t>
      </w:r>
      <w:r>
        <w:rPr>
          <w:rFonts w:ascii="Consolas" w:cs="Consolas" w:eastAsia="Consolas" w:hAnsi="Consolas"/>
          <w:sz w:val="21"/>
          <w:szCs w:val="21"/>
        </w:rPr>
        <w:t xml:space="preserve">Ton</w:t>
      </w:r>
      <w:r>
        <w:rPr>
          <w:sz w:val="21"/>
          <w:szCs w:val="21"/>
        </w:rPr>
        <w:t xml:space="preserve">, turn-on time). È il tempo che intercorre fra l’accensione della sezione giroscopica e la disponibilità di una lettura valida, quindi il ritardo che il campionamento deve rispettare.</w:t>
      </w:r>
    </w:p>
    <w:p>
      <w:pPr>
        <w:spacing w:after="120" w:line="276"/>
      </w:pPr>
      <w:r>
        <w:rPr>
          <w:sz w:val="21"/>
          <w:szCs w:val="21"/>
        </w:rPr>
        <w:t xml:space="preserve">Attenzione a una divergenza: nel template dell’accelerometro </w:t>
      </w:r>
      <w:r>
        <w:rPr>
          <w:rFonts w:ascii="Consolas" w:cs="Consolas" w:eastAsia="Consolas" w:hAnsi="Consolas"/>
          <w:sz w:val="21"/>
          <w:szCs w:val="21"/>
        </w:rPr>
        <w:t xml:space="preserve">responseTime</w:t>
      </w:r>
      <w:r>
        <w:rPr>
          <w:sz w:val="21"/>
          <w:szCs w:val="21"/>
        </w:rPr>
        <w:t xml:space="preserve"> vale 0,00015 s, cioè il periodo dell’ODR massimo, non il turn-on time. I due file usano quindi lo stesso campo per due grandezze diverse. Qui è stato scelto il turn-on time perché è quello che vincola davvero l’acquisizione a freddo; la convenzione va uniformata, ed è riportata fra i punti aperti.</w:t>
      </w:r>
    </w:p>
    <w:p>
      <w:pPr>
        <w:pStyle w:val="Heading3"/>
        <w:spacing w:after="100" w:before="220"/>
      </w:pPr>
      <w:r>
        <w:t xml:space="preserve">readingConsumption = 17,5 µC</w:t>
      </w:r>
    </w:p>
    <w:p>
      <w:pPr>
        <w:spacing w:after="120" w:line="276"/>
      </w:pPr>
      <w:r>
        <w:rPr>
          <w:sz w:val="21"/>
          <w:szCs w:val="21"/>
        </w:rPr>
        <w:t xml:space="preserve">Origine: derivato, con un’ipotesi dichiarata. Il datasheet non fornisce il consumo della sola sezione giroscopica: dichiara la corrente complessiva dell’IMU e quella del solo accelerometro.</w:t>
      </w:r>
    </w:p>
    <w:tbl>
      <w:tblPr>
        <w:tblW w:type="dxa" w:w="9026"/>
        <w:tblBorders>
          <w:top w:val="single" w:color="AEBABA" w:sz="4"/>
          <w:left w:val="single" w:color="AEBABA" w:sz="4"/>
          <w:bottom w:val="single" w:color="AEBABA" w:sz="4"/>
          <w:right w:val="single" w:color="AEBABA" w:sz="4"/>
          <w:insideH w:val="single" w:color="D3DBDB" w:sz="2"/>
          <w:insideV w:val="single" w:color="D3DBDB" w:sz="2"/>
        </w:tblBorders>
      </w:tblPr>
      <w:tblGrid>
        <w:gridCol w:w="1500"/>
        <w:gridCol w:w="1500"/>
        <w:gridCol w:w="2300"/>
        <w:gridCol w:w="3726"/>
      </w:tblGrid>
      <w:tr>
        <w:trPr>
          <w:tblHeader/>
        </w:trPr>
        <w:tc>
          <w:tcPr>
            <w:tcW w:type="dxa" w:w="15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Simbolo</w:t>
            </w:r>
          </w:p>
        </w:tc>
        <w:tc>
          <w:tcPr>
            <w:tcW w:type="dxa" w:w="15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Valore</w:t>
            </w:r>
          </w:p>
        </w:tc>
        <w:tc>
          <w:tcPr>
            <w:tcW w:type="dxa" w:w="23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Condizione</w:t>
            </w:r>
          </w:p>
        </w:tc>
        <w:tc>
          <w:tcPr>
            <w:tcW w:type="dxa" w:w="3726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IddHP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0,65 mA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giroscopio + accelerometro, high-performance, ODR 1,6 kHz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totale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LA_IddHP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0,15 mA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solo accelerometro, high-performance, ODR &lt; 1,6 kHz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sottratto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35 ms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turn-on time</w:t>
            </w:r>
          </w:p>
        </w:tc>
        <w:tc>
          <w:tcPr>
            <w:tcW w:type="dxa" w:w="3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durata</w:t>
            </w:r>
          </w:p>
        </w:tc>
      </w:tr>
    </w:tbl>
    <w:p>
      <w:pPr>
        <w:spacing w:after="60" w:line="276"/>
      </w:pPr>
      <w:r>
        <w:rPr>
          <w:sz w:val="21"/>
          <w:szCs w:val="21"/>
        </w:rPr>
        <w:t xml:space="preserve"/>
      </w:r>
    </w:p>
    <w:p>
      <w:pPr>
        <w:spacing w:after="120" w:line="276"/>
      </w:pPr>
      <w:r>
        <w:rPr>
          <w:sz w:val="21"/>
          <w:szCs w:val="21"/>
        </w:rPr>
        <w:t xml:space="preserve">Da cui: (0,65 − 0,15) mA × 35 ms = </w:t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17,5 µC</w:t>
      </w:r>
      <w:r>
        <w:rPr>
          <w:sz w:val="21"/>
          <w:szCs w:val="21"/>
        </w:rPr>
        <w:t xml:space="preserve">. La sottrazione mescola due correnti dichiarate a condizioni di ODR diverse, quindi il risultato è un ordine di grandezza e non un dato di targa. Vale per confrontare il costo energetico di una lettura fra sensori diversi, non per dimensionare una batteria.</w:t>
      </w:r>
    </w:p>
    <w:p>
      <w:pPr>
        <w:spacing w:after="120" w:line="276"/>
      </w:pPr>
      <w:r>
        <w:rPr>
          <w:sz w:val="21"/>
          <w:szCs w:val="21"/>
        </w:rPr>
        <w:t xml:space="preserve">La stessa avvertenza è scritta dentro il file JSON, in un usercomment adiacente al valore, perché chi legge il template senza questa scheda non abbia modo di scambiarlo per una misura.</w:t>
      </w:r>
    </w:p>
    <w:p>
      <w:pPr>
        <w:pStyle w:val="Heading3"/>
        <w:spacing w:after="100" w:before="220"/>
      </w:pPr>
      <w:r>
        <w:t xml:space="preserve">rateNoiseDensity = 3,8 mdps/√Hz</w:t>
      </w:r>
    </w:p>
    <w:p>
      <w:pPr>
        <w:spacing w:after="120" w:line="276"/>
      </w:pPr>
      <w:r>
        <w:rPr>
          <w:sz w:val="21"/>
          <w:szCs w:val="21"/>
        </w:rPr>
        <w:t xml:space="preserve">Origine: targa (</w:t>
      </w:r>
      <w:r>
        <w:rPr>
          <w:rFonts w:ascii="Consolas" w:cs="Consolas" w:eastAsia="Consolas" w:hAnsi="Consolas"/>
          <w:sz w:val="21"/>
          <w:szCs w:val="21"/>
        </w:rPr>
        <w:t xml:space="preserve">Rn</w:t>
      </w:r>
      <w:r>
        <w:rPr>
          <w:sz w:val="21"/>
          <w:szCs w:val="21"/>
        </w:rPr>
        <w:t xml:space="preserve">, modalità high-performance). Campo aggiunto rispetto agli altri template, che non lo prevedono, perché per un giroscopio la densità di rumore è il parametro che determina l’incertezza a valle dell’integrazione: l’errore d’angolo cresce come la radice del tempo di integrazione, e senza questo numero non è stimabile.</w:t>
      </w:r>
    </w:p>
    <w:p>
      <w:pPr>
        <w:spacing w:after="120" w:line="276"/>
      </w:pPr>
      <w:r>
        <w:rPr>
          <w:sz w:val="21"/>
          <w:szCs w:val="21"/>
        </w:rPr>
        <w:t xml:space="preserve">Il vettore </w:t>
      </w:r>
      <w:r>
        <w:rPr>
          <w:rFonts w:ascii="Consolas" w:cs="Consolas" w:eastAsia="Consolas" w:hAnsi="Consolas"/>
          <w:sz w:val="21"/>
          <w:szCs w:val="21"/>
        </w:rPr>
        <w:t xml:space="preserve">si</w:t>
      </w:r>
      <w:r>
        <w:rPr>
          <w:sz w:val="21"/>
          <w:szCs w:val="21"/>
        </w:rPr>
        <w:t xml:space="preserve"> porta un esponente semi-intero, −0,5 sui secondi. È dimensionalmente corretto ma insolito, ed è il primo caso nel repo: se lo schema dovesse ammettere solo esponenti interi, il campo va riespresso come varianza per unità di banda.</w:t>
      </w:r>
    </w:p>
    <w:p>
      <w:pPr>
        <w:pStyle w:val="Heading2"/>
        <w:spacing w:after="140" w:before="280"/>
      </w:pPr>
      <w:r>
        <w:t xml:space="preserve">Calibrazione</w:t>
      </w:r>
    </w:p>
    <w:tbl>
      <w:tblPr>
        <w:tblW w:type="dxa" w:w="9026"/>
        <w:tblBorders>
          <w:top w:val="single" w:color="AEBABA" w:sz="4"/>
          <w:left w:val="single" w:color="AEBABA" w:sz="4"/>
          <w:bottom w:val="single" w:color="AEBABA" w:sz="4"/>
          <w:right w:val="single" w:color="AEBABA" w:sz="4"/>
          <w:insideH w:val="single" w:color="D3DBDB" w:sz="2"/>
          <w:insideV w:val="single" w:color="D3DBDB" w:sz="2"/>
        </w:tblBorders>
      </w:tblPr>
      <w:tblGrid>
        <w:gridCol w:w="1900"/>
        <w:gridCol w:w="2200"/>
        <w:gridCol w:w="1500"/>
        <w:gridCol w:w="3426"/>
      </w:tblGrid>
      <w:tr>
        <w:trPr>
          <w:tblHeader/>
        </w:trPr>
        <w:tc>
          <w:tcPr>
            <w:tcW w:type="dxa" w:w="19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22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Valore</w:t>
            </w:r>
          </w:p>
        </w:tc>
        <w:tc>
          <w:tcPr>
            <w:tcW w:type="dxa" w:w="15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Origine</w:t>
            </w:r>
          </w:p>
        </w:tc>
        <w:tc>
          <w:tcPr>
            <w:tcW w:type="dxa" w:w="3426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Motivazione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type / formula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linear — c[0] + c[1]*x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La conversione del giroscopio è una moltiplicazione per la sensibilità più un offset.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c[1]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0,07 °/s per LSB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Targa (G_So)</w:t>
            </w:r>
          </w:p>
        </w:tc>
        <w:tc>
          <w:tcPr>
            <w:tcW w:type="dxa" w:w="3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Sensibilità dichiarata a ±2000 °/s: 70 mdps/LSB.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c[0]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0,0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 taratura</w:t>
            </w:r>
          </w:p>
        </w:tc>
        <w:tc>
          <w:tcPr>
            <w:tcW w:type="dxa" w:w="3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Zero-rate level del singolo esemplare. Il valore di targa è ±2 °/s (G_TyOff): a 0,07 °/s per LSB sono circa 29 LSB, quindi non è trascurabile e va determinato.</w:t>
            </w:r>
          </w:p>
        </w:tc>
      </w:tr>
    </w:tbl>
    <w:p>
      <w:pPr>
        <w:pStyle w:val="Heading2"/>
        <w:spacing w:after="140" w:before="280"/>
      </w:pPr>
      <w:r>
        <w:t xml:space="preserve">Metriche supportate</w:t>
      </w:r>
    </w:p>
    <w:p>
      <w:pPr>
        <w:spacing w:after="120" w:line="276"/>
      </w:pPr>
      <w:r>
        <w:rPr>
          <w:sz w:val="21"/>
          <w:szCs w:val="21"/>
        </w:rPr>
        <w:t xml:space="preserve">Le sei metriche dichiarate, con la dimensione del campo nel report dati e la classe di cadenza del protocollo v1.0.</w:t>
      </w:r>
    </w:p>
    <w:tbl>
      <w:tblPr>
        <w:tblW w:type="dxa" w:w="9026"/>
        <w:tblBorders>
          <w:top w:val="single" w:color="AEBABA" w:sz="4"/>
          <w:left w:val="single" w:color="AEBABA" w:sz="4"/>
          <w:bottom w:val="single" w:color="AEBABA" w:sz="4"/>
          <w:right w:val="single" w:color="AEBABA" w:sz="4"/>
          <w:insideH w:val="single" w:color="D3DBDB" w:sz="2"/>
          <w:insideV w:val="single" w:color="D3DBDB" w:sz="2"/>
        </w:tblBorders>
      </w:tblPr>
      <w:tblGrid>
        <w:gridCol w:w="700"/>
        <w:gridCol w:w="1600"/>
        <w:gridCol w:w="1500"/>
        <w:gridCol w:w="800"/>
        <w:gridCol w:w="4426"/>
      </w:tblGrid>
      <w:tr>
        <w:trPr>
          <w:tblHeader/>
        </w:trPr>
        <w:tc>
          <w:tcPr>
            <w:tcW w:type="dxa" w:w="7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Metrica</w:t>
            </w:r>
          </w:p>
        </w:tc>
        <w:tc>
          <w:tcPr>
            <w:tcW w:type="dxa" w:w="15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Classe</w:t>
            </w:r>
          </w:p>
        </w:tc>
        <w:tc>
          <w:tcPr>
            <w:tcW w:type="dxa" w:w="8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Byte</w:t>
            </w:r>
          </w:p>
        </w:tc>
        <w:tc>
          <w:tcPr>
            <w:tcW w:type="dxa" w:w="4426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Unità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mean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BASE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\degree\per\second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variance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BASE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\degree\tothe{2}\per\second\tothe{2}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max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EXTENDED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\degree\per\second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min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EXTENDED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\degree\per\second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integral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EXTENDED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\degree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zcr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RARE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\hertz</w:t>
            </w:r>
          </w:p>
        </w:tc>
      </w:tr>
    </w:tbl>
    <w:p>
      <w:pPr>
        <w:spacing w:after="60" w:line="276"/>
      </w:pPr>
      <w:r>
        <w:rPr>
          <w:sz w:val="21"/>
          <w:szCs w:val="21"/>
        </w:rPr>
        <w:t xml:space="preserve"/>
      </w:r>
    </w:p>
    <w:p>
      <w:pPr>
        <w:spacing w:after="120" w:line="276"/>
      </w:pPr>
      <w:r>
        <w:rPr>
          <w:sz w:val="21"/>
          <w:szCs w:val="21"/>
        </w:rPr>
        <w:t xml:space="preserve">Due scelte da motivare. L’integrale è l’unica metrica che cambia dimensione rispetto alla grandezza base: l’integrale di una velocità angolare è un angolo, quindi si misura in gradi e il suo vettore SI è nullo. Per un giroscopio è probabilmente la più interessante delle metriche estese, perché restituisce la rotazione accumulata nella finestra di trasmissione.</w:t>
      </w:r>
    </w:p>
    <w:p>
      <w:pPr>
        <w:spacing w:after="120" w:line="276"/>
      </w:pPr>
      <w:r>
        <w:rPr>
          <w:sz w:val="21"/>
          <w:szCs w:val="21"/>
        </w:rPr>
        <w:t xml:space="preserve">Lo ZCR è dichiarato qui e non nei template di temperatura, umidità e pressione, dove il segnale non oscilla intorno allo zero e il tasso di attraversamenti non avrebbe significato. Per una grandezza vibratoria è invece un indicatore di frequenza a costo quasi nullo.</w:t>
      </w:r>
    </w:p>
    <w:p>
      <w:pPr>
        <w:spacing w:after="120" w:line="276"/>
      </w:pPr>
      <w:r>
        <w:rPr>
          <w:sz w:val="21"/>
          <w:szCs w:val="21"/>
        </w:rPr>
        <w:t xml:space="preserve">L’integrale occupa 4 byte e non 2 come le altre: a 2 byte saturerebbe con qualunque periodo di trasmissione realistico. </w:t>
      </w:r>
      <w:r>
        <w:rPr>
          <w:rFonts w:ascii="Consolas" w:cs="Consolas" w:eastAsia="Consolas" w:hAnsi="Consolas"/>
          <w:sz w:val="21"/>
          <w:szCs w:val="21"/>
        </w:rPr>
        <w:t xml:space="preserve">Il campo id</w:t>
      </w:r>
      <w:r>
        <w:rPr>
          <w:sz w:val="21"/>
          <w:szCs w:val="21"/>
        </w:rPr>
        <w:t xml:space="preserve"> è la posizione nell’ordine canonico del protocollo e determina l’ordine sul filo: le metriche assenti non lasciano spazio nel payload, ma quelle presenti devono rispettare la sequenza.</w:t>
      </w:r>
    </w:p>
    <w:p>
      <w:pPr>
        <w:pStyle w:val="Heading2"/>
        <w:spacing w:after="140" w:before="280"/>
      </w:pPr>
      <w:r>
        <w:t xml:space="preserve">Metrologia</w:t>
      </w:r>
    </w:p>
    <w:p>
      <w:pPr>
        <w:spacing w:after="120" w:line="276"/>
      </w:pPr>
      <w:r>
        <w:rPr>
          <w:sz w:val="21"/>
          <w:szCs w:val="21"/>
        </w:rPr>
        <w:t xml:space="preserve">I contributi di lettura sono espressi in LSB, coerentemente con elecUnit, e convertiti con la sensibilità di targa di 0,07 °/s per LSB. La formula di valutazione è RSS, cioè somma quadratica: i tre contributi sono indipendenti.</w:t>
      </w:r>
    </w:p>
    <w:tbl>
      <w:tblPr>
        <w:tblW w:type="dxa" w:w="9026"/>
        <w:tblBorders>
          <w:top w:val="single" w:color="AEBABA" w:sz="4"/>
          <w:left w:val="single" w:color="AEBABA" w:sz="4"/>
          <w:bottom w:val="single" w:color="AEBABA" w:sz="4"/>
          <w:right w:val="single" w:color="AEBABA" w:sz="4"/>
          <w:insideH w:val="single" w:color="D3DBDB" w:sz="2"/>
          <w:insideV w:val="single" w:color="D3DBDB" w:sz="2"/>
        </w:tblBorders>
      </w:tblPr>
      <w:tblGrid>
        <w:gridCol w:w="2100"/>
        <w:gridCol w:w="1100"/>
        <w:gridCol w:w="1700"/>
        <w:gridCol w:w="4126"/>
      </w:tblGrid>
      <w:tr>
        <w:trPr>
          <w:tblHeader/>
        </w:trPr>
        <w:tc>
          <w:tcPr>
            <w:tcW w:type="dxa" w:w="21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Contributo</w:t>
            </w:r>
          </w:p>
        </w:tc>
        <w:tc>
          <w:tcPr>
            <w:tcW w:type="dxa" w:w="11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LSB</w:t>
            </w:r>
          </w:p>
        </w:tc>
        <w:tc>
          <w:tcPr>
            <w:tcW w:type="dxa" w:w="1700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Fisico</w:t>
            </w:r>
          </w:p>
        </w:tc>
        <w:tc>
          <w:tcPr>
            <w:tcW w:type="dxa" w:w="4126"/>
            <w:shd w:fill="DC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Origine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resolution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1,0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0,07 °/s</w:t>
            </w:r>
          </w:p>
        </w:tc>
        <w:tc>
          <w:tcPr>
            <w:tcW w:type="dxa" w:w="4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Quantizzazione di un bit.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zeroRateLevel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28,6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 °/s</w:t>
            </w:r>
          </w:p>
        </w:tc>
        <w:tc>
          <w:tcPr>
            <w:tcW w:type="dxa" w:w="4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Targa G_TyOff, non compensato. Sparisce quando c[0] viene determinato in taratura.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rmsNoise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1,07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75 mdps</w:t>
            </w:r>
          </w:p>
        </w:tc>
        <w:tc>
          <w:tcPr>
            <w:tcW w:type="dxa" w:w="4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Targa RnRMS, modalità normal e low-power.</w:t>
            </w:r>
          </w:p>
        </w:tc>
      </w:tr>
    </w:tbl>
    <w:p>
      <w:pPr>
        <w:spacing w:after="60" w:line="276"/>
      </w:pPr>
      <w:r>
        <w:rPr>
          <w:sz w:val="21"/>
          <w:szCs w:val="21"/>
        </w:rPr>
        <w:t xml:space="preserve"/>
      </w:r>
    </w:p>
    <w:p>
      <w:pPr>
        <w:spacing w:after="120" w:line="276"/>
      </w:pPr>
      <w:r>
        <w:rPr>
          <w:sz w:val="21"/>
          <w:szCs w:val="21"/>
        </w:rPr>
        <w:t xml:space="preserve">I contributi sistematici, che scalano con la lettura o con la temperatura, sono raccolti separatamente: tolleranza di sensibilità ±1 % del valore letto, deriva di sensibilità 0,007 % per grado, deriva dello zero 0,015 °/s per grado. Non sono sommabili ai precedenti senza conoscere il punto di lavoro, quindi restano distinti.</w:t>
      </w:r>
    </w:p>
    <w:p>
      <w:pPr>
        <w:pStyle w:val="Heading2"/>
        <w:spacing w:after="140" w:before="280"/>
      </w:pPr>
      <w:r>
        <w:t xml:space="preserve">Punti aperti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Fondo scala da confermare quando l’applicazione sarà fissata: ±2000 °/s protegge dalla saturazione, ma costa un fattore sedici di risoluzione rispetto a ±125 °/s.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Convenzione di responseTime da uniformare: qui è il turn-on time, nel template dell’accelerometro è il periodo dell’ODR massimo.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physROC è una convenzione ereditata, cento volte il fondo scala, senza alcun fondamento nel datasheet. Da sostituire con un limite motivato o da rimuovere.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readingConsumption è una stima per differenza fra correnti dichiarate a ODR diversi. Da sostituire con una misura a banco quando l’hardware sarà disponibile.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Esponente semi-intero nel vettore si di rateNoiseDensity: da verificare che lo schema lo ammetta.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La lettura del giroscopio non è implementata nel firmware della MU, che oggi gestisce quattro sensori in tutto. Il template descrive una capacità non ancora disponibile.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Il template dell’accelerometro ha una sezione metrologica ancora da riempire, con valori a zero e un commento segnaposto: ora è asimmetrico rispetto a questo.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0C6570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2333A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3D4A4D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Schede di progetto dei template sensori</dc:title>
  <dc:creator>Measures &amp; Sensors Lab</dc:creator>
  <dc:description>Giustificazione dei valori adottati nei template di sensor-templates</dc:description>
  <cp:lastModifiedBy>Un-named</cp:lastModifiedBy>
  <cp:revision>1</cp:revision>
  <dcterms:created xsi:type="dcterms:W3CDTF">2026-09-01T14:06:11.177Z</dcterms:created>
  <dcterms:modified xsi:type="dcterms:W3CDTF">2026-09-01T14:06:11.178Z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