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Mission &amp; Vision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(Could be added as a separate tab with photographs of the institution – elaborately and explicitly mentioning the same – better to add the same as one among the options in the upper taskbar of the website)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Promote widespread awareness and practical use of Alternative Dispute Resolution (ADR) methods across sectors.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Undertake dedicated research and development to enhance ADR frameworks and adapt them to the evolving needs of modern economies worldwide.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Design, implement, and continuously refine dynamic rules tailored to evolving ADR needs.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Recognize and accredit qualified professionals committed to excellence in ADR practice.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emerge as a premier ADR institution that not only facilitates seamless and amicable dispute resolution but also sets benchmarks in accrediting competent ADR practitioners, while fostering research and development as a cornerstone of institutional excellence in ADR.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017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017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017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017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017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017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017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017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017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017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017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0177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017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017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017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017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017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017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017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017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017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uS47pXF6/KAiwfNBWAT668b4OA==">CgMxLjA4AHIhMS1xN2pmbGZIdXJqUklpYmZWRm9ha1FFNllzM1VSNlht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2025-06-12T08:57:00Z</dcterms:created>
  <dc:creator>DEVADATHAN V</dc:creator>
</cp:coreProperties>
</file>