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highlight w:val="yellow"/>
          <w:u w:val="single"/>
        </w:rPr>
      </w:pPr>
      <w:r w:rsidDel="00000000" w:rsidR="00000000" w:rsidRPr="00000000">
        <w:rPr>
          <w:rFonts w:ascii="Times New Roman" w:cs="Times New Roman" w:eastAsia="Times New Roman" w:hAnsi="Times New Roman"/>
          <w:b w:val="1"/>
          <w:bCs w:val="1"/>
          <w:highlight w:val="yellow"/>
          <w:u w:val="single"/>
          <w:rtl w:val="0"/>
        </w:rPr>
        <w:t xml:space="preserve">Pathway We Crossed</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highlight w:val="yellow"/>
          <w:u w:val="single"/>
        </w:rPr>
      </w:pPr>
      <w:r w:rsidDel="00000000" w:rsidR="00000000" w:rsidRPr="00000000">
        <w:rPr>
          <w:rtl w:val="0"/>
        </w:rPr>
      </w:r>
    </w:p>
    <w:p w:rsidR="00000000" w:rsidDel="00000000" w:rsidP="00000000" w:rsidRDefault="00000000" w:rsidRPr="00000000" w14:paraId="00000003">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Kovise Foundation Conflict Resolution International (KFCRI), established on 15th October 2016 under the aegis of the Kovise Foundation, is a pioneering institution dedicated to advancing Alternative Dispute Resolution (ADR) practices across the globe. Founded by Mrs. Surya Narmada, a Horticulturist and Agri-Arbitration Consultant, KFCRI was envisioned as a platform to make dispute resolution more accessible, inclusive, and impactful—especially in sectors like agriculture that are often underserved in traditional legal frameworks.</w:t>
      </w:r>
    </w:p>
    <w:p w:rsidR="00000000" w:rsidDel="00000000" w:rsidP="00000000" w:rsidRDefault="00000000" w:rsidRPr="00000000" w14:paraId="00000004">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KFCRI is the first institution of its kind to offer accreditation in all areas of ADR, while also functioning as a global administrative hub for managing and enhancing dispute resolution systems. The institution operates under the global guidance of Mr. V. Inbavijayan, a renowned international arbitrator with over two decades of exclusive arbitration experience. As the Global Advisor of KFCRI, Mr. Inbavijayan brings unparalleled expertise, having presided over hundreds of domestic and numerous international arbitration cases, earning widespread recognition for his impartiality and deep subject-matter knowledge.</w:t>
      </w:r>
    </w:p>
    <w:p w:rsidR="00000000" w:rsidDel="00000000" w:rsidP="00000000" w:rsidRDefault="00000000" w:rsidRPr="00000000" w14:paraId="0000000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KFCRI has consistently championed diversity and inclusion in the ADR space, with a strong emphasis on the appointment of young and women arbitrators. The institution has facilitated arbitrator appointments in thousands of banking, financial, and domestic disputes, playing a vital role in strengthening India’s ADR ecosystem.</w:t>
      </w:r>
    </w:p>
    <w:p w:rsidR="00000000" w:rsidDel="00000000" w:rsidP="00000000" w:rsidRDefault="00000000" w:rsidRPr="00000000" w14:paraId="0000000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date, KFCRI has conducted over 40 structured training programs globally and participated in more than 100 seminars and conferences. In collaboration with the Indian Institution of Technical Arbitrators (IITArb), KFCRI launched the IITArb – Empanelment Course, a specialized training initiative for engineers to enhance their competence in arbitration. Over 200 professionals from diverse fields have been accredited through KFCRI’s programs, reflecting its commitment to interdisciplinary ADR education.</w:t>
      </w:r>
    </w:p>
    <w:p w:rsidR="00000000" w:rsidDel="00000000" w:rsidP="00000000" w:rsidRDefault="00000000" w:rsidRPr="00000000" w14:paraId="0000000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KFCRI has signed 25+ MoUs with ADR institutions and law schools across India and abroad, promoting global ADR exchange and collaboration. Through ADR Roadshows at over 25 institutions, including premier law schools, KFCRI has actively engaged with the next generation of legal professionals. The institution has also trained and inducted over 150 interns, many of whom have served as tribunal secretaries in more than 120 cases in the past year alone.</w:t>
      </w:r>
    </w:p>
    <w:p w:rsidR="00000000" w:rsidDel="00000000" w:rsidP="00000000" w:rsidRDefault="00000000" w:rsidRPr="00000000" w14:paraId="0000000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during the challenges of the COVID-19 pandemic, KFCRI remained resilient and innovative, leveraging digital platforms to conduct webinars, training sessions, competitions, and conferences. It also introduced dedicated Virtual Dispute Resolution (VDR) rules, ensuring efficient and accessible proceedings in a digital-first world.</w:t>
      </w:r>
    </w:p>
    <w:p w:rsidR="00000000" w:rsidDel="00000000" w:rsidP="00000000" w:rsidRDefault="00000000" w:rsidRPr="00000000" w14:paraId="0000000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 appointing authority, KFCRI maintains a sector-wise panel of arbitrators with deep subject-matter expertise. The institution is also active in mediation, offering both training and actual mediation services, further expanding its impact in the ADR ecosystem.</w:t>
      </w:r>
    </w:p>
    <w:p w:rsidR="00000000" w:rsidDel="00000000" w:rsidP="00000000" w:rsidRDefault="00000000" w:rsidRPr="00000000" w14:paraId="0000000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2025, KFCRI proudly presents the 1st Congress of ADR Practitioners and Institutions in Global South Countries through the Global South ADR Thirunaal / Day, a 24-hour online event that underscores its commitment to global collaboration, innovation, and leadership in ADR.</w:t>
      </w:r>
    </w:p>
    <w:p w:rsidR="00000000" w:rsidDel="00000000" w:rsidP="00000000" w:rsidRDefault="00000000" w:rsidRPr="00000000" w14:paraId="0000000B">
      <w:pPr>
        <w:spacing w:line="360" w:lineRule="auto"/>
        <w:jc w:val="both"/>
        <w:rPr>
          <w:rFonts w:ascii="Times New Roman" w:cs="Times New Roman" w:eastAsia="Times New Roman" w:hAnsi="Times New Roman"/>
          <w:b w:val="1"/>
          <w:bCs w:val="1"/>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BC27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BC27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C27D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C27D9"/>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BC27D9"/>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BC27D9"/>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BC27D9"/>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BC27D9"/>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BC27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BC27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BC27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BC27D9"/>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BC27D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BC27D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BC27D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BC27D9"/>
    <w:rPr>
      <w:i w:val="1"/>
      <w:iCs w:val="1"/>
      <w:color w:val="404040" w:themeColor="text1" w:themeTint="0000BF"/>
    </w:rPr>
  </w:style>
  <w:style w:type="paragraph" w:styleId="ListParagraph">
    <w:name w:val="List Paragraph"/>
    <w:basedOn w:val="Normal"/>
    <w:uiPriority w:val="34"/>
    <w:qFormat w:val="1"/>
    <w:rsid w:val="00BC27D9"/>
    <w:pPr>
      <w:ind w:left="720"/>
      <w:contextualSpacing w:val="1"/>
    </w:pPr>
  </w:style>
  <w:style w:type="character" w:styleId="IntenseEmphasis">
    <w:name w:val="Intense Emphasis"/>
    <w:basedOn w:val="DefaultParagraphFont"/>
    <w:uiPriority w:val="21"/>
    <w:qFormat w:val="1"/>
    <w:rsid w:val="00BC27D9"/>
    <w:rPr>
      <w:i w:val="1"/>
      <w:iCs w:val="1"/>
      <w:color w:val="2f5496" w:themeColor="accent1" w:themeShade="0000BF"/>
    </w:rPr>
  </w:style>
  <w:style w:type="paragraph" w:styleId="IntenseQuote">
    <w:name w:val="Intense Quote"/>
    <w:basedOn w:val="Normal"/>
    <w:next w:val="Normal"/>
    <w:link w:val="IntenseQuoteChar"/>
    <w:uiPriority w:val="30"/>
    <w:qFormat w:val="1"/>
    <w:rsid w:val="00BC27D9"/>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BC27D9"/>
    <w:rPr>
      <w:i w:val="1"/>
      <w:iCs w:val="1"/>
      <w:color w:val="2f5496" w:themeColor="accent1" w:themeShade="0000BF"/>
    </w:rPr>
  </w:style>
  <w:style w:type="character" w:styleId="IntenseReference">
    <w:name w:val="Intense Reference"/>
    <w:basedOn w:val="DefaultParagraphFont"/>
    <w:uiPriority w:val="32"/>
    <w:qFormat w:val="1"/>
    <w:rsid w:val="00BC27D9"/>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QL8gqfiJfQeaBZ/Ogn2YHW5Q2Q==">CgMxLjA4AHIhMUUyOUdvZVFVUFpnVjhSeVZjSUloeU50T19BT28xYk1H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2025-05-26T11:09:00Z</dcterms:created>
  <dc:creator>DEVADATHAN V</dc:creator>
</cp:coreProperties>
</file>