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 du Matériel</w:t>
      </w:r>
    </w:p>
    <w:p>
      <w:pPr>
        <w:pStyle w:val="Heading2"/>
      </w:pPr>
      <w:r>
        <w:t>Matériel Général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Quantité</w:t>
            </w:r>
          </w:p>
        </w:tc>
        <w:tc>
          <w:tcPr>
            <w:tcW w:type="dxa" w:w="4320"/>
          </w:tcPr>
          <w:p>
            <w:r>
              <w:t>Élément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Ordinateur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AGV</w:t>
            </w:r>
          </w:p>
        </w:tc>
      </w:tr>
    </w:tbl>
    <w:p>
      <w:pPr>
        <w:pStyle w:val="Heading2"/>
      </w:pPr>
      <w:r>
        <w:t>Matériel pour 1 AGV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Quantité</w:t>
            </w:r>
          </w:p>
        </w:tc>
        <w:tc>
          <w:tcPr>
            <w:tcW w:type="dxa" w:w="4320"/>
          </w:tcPr>
          <w:p>
            <w:r>
              <w:t>Élément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Roue motrice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Roue avant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Capteurs ultra-son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Batterie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ESP 33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Raspberry Pi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Lidar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Capteur de poids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Châssis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Colle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Capteur limu GPS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Ressorts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