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A8056" w14:textId="77777777" w:rsidR="00B07B47" w:rsidRPr="00B07B47" w:rsidRDefault="00B07B47" w:rsidP="00B07B47">
      <w:r w:rsidRPr="00B07B47">
        <w:rPr>
          <w:b/>
          <w:bCs/>
        </w:rPr>
        <w:t>The Evolution of Central Processing Units: From Primitive Arithmetic to Parallel Powerhouses</w:t>
      </w:r>
    </w:p>
    <w:p w14:paraId="033A37D7" w14:textId="77777777" w:rsidR="00B07B47" w:rsidRPr="00B07B47" w:rsidRDefault="00B07B47" w:rsidP="00B07B47">
      <w:r w:rsidRPr="00B07B47">
        <w:t xml:space="preserve">The Central Processing Unit (CPU) stands as the cornerstone of modern computing, orchestrating logical and arithmetic operations that define digital interaction. From its rudimentary origins in vacuum tube logic to today’s intricate, </w:t>
      </w:r>
      <w:proofErr w:type="spellStart"/>
      <w:r w:rsidRPr="00B07B47">
        <w:t>nanometer</w:t>
      </w:r>
      <w:proofErr w:type="spellEnd"/>
      <w:r w:rsidRPr="00B07B47">
        <w:t>-scale silicon microarchitectures, the CPU has undergone a remarkable transformation. This essay explores the evolution of CPUs across five key dimensions: architecture, fabrication technology, instruction set complexity, power efficiency, and parallelism.</w:t>
      </w:r>
    </w:p>
    <w:p w14:paraId="6B7CE95A" w14:textId="77777777" w:rsidR="00B07B47" w:rsidRPr="00B07B47" w:rsidRDefault="00B07B47" w:rsidP="00B07B47">
      <w:pPr>
        <w:rPr>
          <w:b/>
          <w:bCs/>
        </w:rPr>
      </w:pPr>
      <w:r w:rsidRPr="00B07B47">
        <w:rPr>
          <w:b/>
          <w:bCs/>
        </w:rPr>
        <w:t>1. Early Developments: From Vacuum Tubes to Transistors</w:t>
      </w:r>
    </w:p>
    <w:p w14:paraId="32110F05" w14:textId="77777777" w:rsidR="00B07B47" w:rsidRPr="00B07B47" w:rsidRDefault="00B07B47" w:rsidP="00B07B47">
      <w:r w:rsidRPr="00B07B47">
        <w:t>The conceptual foundation of CPUs traces back to the mid-20th century with John von Neumann’s architecture (von Neumann, 1945), which defined a stored-program model comprising an arithmetic logic unit (ALU), control unit, memory, and input/output. This model continues to underpin most modern CPUs. Early implementations, such as ENIAC (1945), used vacuum tubes and were constrained by high power consumption and limited reliability.</w:t>
      </w:r>
    </w:p>
    <w:p w14:paraId="5379FDD2" w14:textId="77777777" w:rsidR="00B07B47" w:rsidRPr="00B07B47" w:rsidRDefault="00B07B47" w:rsidP="00B07B47">
      <w:r w:rsidRPr="00B07B47">
        <w:t>The introduction of the transistor in 1947 at Bell Labs (Shockley et al., 1948) marked a critical inflection point. Transistors replaced bulky vacuum tubes, enabling more compact, faster, and reliable CPUs. This transition was evidenced by machines like the IBM 1401 and the UNIVAC series in the 1950s and 1960s, laying the groundwork for integrated circuits (ICs).</w:t>
      </w:r>
    </w:p>
    <w:p w14:paraId="0A0B3450" w14:textId="77777777" w:rsidR="00B07B47" w:rsidRPr="00B07B47" w:rsidRDefault="00B07B47" w:rsidP="00B07B47">
      <w:pPr>
        <w:rPr>
          <w:b/>
          <w:bCs/>
        </w:rPr>
      </w:pPr>
      <w:r w:rsidRPr="00B07B47">
        <w:rPr>
          <w:b/>
          <w:bCs/>
        </w:rPr>
        <w:t>2. Integrated Circuits and Moore’s Law</w:t>
      </w:r>
    </w:p>
    <w:p w14:paraId="6AE29E6D" w14:textId="77777777" w:rsidR="00B07B47" w:rsidRPr="00B07B47" w:rsidRDefault="00B07B47" w:rsidP="00B07B47">
      <w:r w:rsidRPr="00B07B47">
        <w:t xml:space="preserve">The 1970s ushered in the era of large-scale integration (LSI), followed by very-large-scale integration (VLSI), which allowed thousands and eventually millions of transistors to coexist on a single silicon die. Moore’s Law—postulated by Gordon Moore in 1965—accurately predicted a doubling of transistor counts approximately every two years (Moore, 1965), </w:t>
      </w:r>
      <w:proofErr w:type="spellStart"/>
      <w:r w:rsidRPr="00B07B47">
        <w:t>catalyzing</w:t>
      </w:r>
      <w:proofErr w:type="spellEnd"/>
      <w:r w:rsidRPr="00B07B47">
        <w:t xml:space="preserve"> exponential growth in processing power.</w:t>
      </w:r>
    </w:p>
    <w:p w14:paraId="12E4B2BD" w14:textId="77777777" w:rsidR="00B07B47" w:rsidRPr="00B07B47" w:rsidRDefault="00B07B47" w:rsidP="00B07B47">
      <w:r w:rsidRPr="00B07B47">
        <w:t>One of the earliest microprocessors, the Intel 4004 (1971), contained just 2,300 transistors and operated at 740 kHz. A decade later, the Intel 80386 (1985) surpassed 275,000 transistors and introduced 32-bit processing. This growth trajectory has continued into the 21st century, with contemporary CPUs like AMD’s Zen 4 and Apple’s M3 housing tens of billions of transistors.</w:t>
      </w:r>
    </w:p>
    <w:p w14:paraId="6AA9A8F1" w14:textId="77777777" w:rsidR="00B07B47" w:rsidRPr="00B07B47" w:rsidRDefault="00B07B47" w:rsidP="00B07B47">
      <w:pPr>
        <w:rPr>
          <w:b/>
          <w:bCs/>
        </w:rPr>
      </w:pPr>
      <w:r w:rsidRPr="00B07B47">
        <w:rPr>
          <w:b/>
          <w:bCs/>
        </w:rPr>
        <w:t>3. Instruction Set Evolution: CISC, RISC, and Beyond</w:t>
      </w:r>
    </w:p>
    <w:p w14:paraId="09C30CCE" w14:textId="77777777" w:rsidR="00B07B47" w:rsidRPr="00B07B47" w:rsidRDefault="00B07B47" w:rsidP="00B07B47">
      <w:r w:rsidRPr="00B07B47">
        <w:t xml:space="preserve">Throughout CPU history, instruction set architecture (ISA) has played a pivotal role in shaping performance and efficiency. Early processors employed complex instruction set computing (CISC), exemplified by the x86 architecture, which </w:t>
      </w:r>
      <w:proofErr w:type="spellStart"/>
      <w:r w:rsidRPr="00B07B47">
        <w:t>favored</w:t>
      </w:r>
      <w:proofErr w:type="spellEnd"/>
      <w:r w:rsidRPr="00B07B47">
        <w:t xml:space="preserve"> rich, multi-step instructions aimed at minimizing memory access and programmer burden.</w:t>
      </w:r>
    </w:p>
    <w:p w14:paraId="1ACEF9DA" w14:textId="77777777" w:rsidR="00B07B47" w:rsidRPr="00B07B47" w:rsidRDefault="00B07B47" w:rsidP="00B07B47">
      <w:r w:rsidRPr="00B07B47">
        <w:t>In contrast, the reduced instruction set computing (RISC) paradigm emerged in the 1980s, emphasizing a smaller set of simple, fast instructions. RISC architectures like MIPS and ARM improved performance-per-watt by simplifying hardware control logic and optimizing pipelining.</w:t>
      </w:r>
    </w:p>
    <w:p w14:paraId="1153F0D2" w14:textId="77777777" w:rsidR="00B07B47" w:rsidRPr="00B07B47" w:rsidRDefault="00B07B47" w:rsidP="00B07B47">
      <w:r w:rsidRPr="00B07B47">
        <w:t>Modern CPUs blend elements of both philosophies. While x86 CPUs retain CISC instruction sets, their microarchitectures often translate these into RISC-like micro-operations internally (Hennessy &amp; Patterson, 2017). Simultaneously, ARM-based processors dominate mobile and embedded markets due to their energy efficiency and streamlined design.</w:t>
      </w:r>
    </w:p>
    <w:p w14:paraId="5C4A6CD9" w14:textId="77777777" w:rsidR="00B07B47" w:rsidRPr="00B07B47" w:rsidRDefault="00B07B47" w:rsidP="00B07B47">
      <w:pPr>
        <w:rPr>
          <w:b/>
          <w:bCs/>
        </w:rPr>
      </w:pPr>
      <w:r w:rsidRPr="00B07B47">
        <w:rPr>
          <w:b/>
          <w:bCs/>
        </w:rPr>
        <w:t>4. The Rise of Parallelism and Multicore Processing</w:t>
      </w:r>
    </w:p>
    <w:p w14:paraId="2E3EA264" w14:textId="77777777" w:rsidR="00B07B47" w:rsidRPr="00B07B47" w:rsidRDefault="00B07B47" w:rsidP="00B07B47">
      <w:r w:rsidRPr="00B07B47">
        <w:t>As transistor scaling faced physical limitations—such as leakage current and heat dissipation—performance gains from clock speed increases plateaued in the early 2000s. This led to a paradigm shift toward parallel processing.</w:t>
      </w:r>
    </w:p>
    <w:p w14:paraId="33E89CD6" w14:textId="77777777" w:rsidR="00B07B47" w:rsidRPr="00B07B47" w:rsidRDefault="00B07B47" w:rsidP="00B07B47">
      <w:r w:rsidRPr="00B07B47">
        <w:t>Multicore processors, first mainstreamed by Intel and AMD in the mid-2000s, replicated entire CPU cores on a single chip to execute multiple threads simultaneously. This architectural change shifted optimization strategies from frequency scaling to thread-level parallelism. Consumer CPUs evolved from single-core units to configurations featuring up to 64 or more cores in workstation and server environments.</w:t>
      </w:r>
    </w:p>
    <w:p w14:paraId="7DD594A8" w14:textId="77777777" w:rsidR="00B07B47" w:rsidRPr="00B07B47" w:rsidRDefault="00B07B47" w:rsidP="00B07B47">
      <w:r w:rsidRPr="00B07B47">
        <w:t>Simultaneously, advances in simultaneous multithreading (SMT), notably Intel’s Hyper-Threading, allowed each core to execute multiple instruction streams concurrently. At the data-level, vector extensions like SSE, AVX, and NEON (in ARM) increased throughput for parallelizable workloads such as graphics and machine learning.</w:t>
      </w:r>
    </w:p>
    <w:p w14:paraId="05B4E5D9" w14:textId="77777777" w:rsidR="00B07B47" w:rsidRPr="00B07B47" w:rsidRDefault="00B07B47" w:rsidP="00B07B47">
      <w:pPr>
        <w:rPr>
          <w:b/>
          <w:bCs/>
        </w:rPr>
      </w:pPr>
      <w:r w:rsidRPr="00B07B47">
        <w:rPr>
          <w:b/>
          <w:bCs/>
        </w:rPr>
        <w:t>5. Fabrication and Heterogeneity in the Post-Moore Era</w:t>
      </w:r>
    </w:p>
    <w:p w14:paraId="07E27034" w14:textId="77777777" w:rsidR="00B07B47" w:rsidRPr="00B07B47" w:rsidRDefault="00B07B47" w:rsidP="00B07B47">
      <w:r w:rsidRPr="00B07B47">
        <w:t xml:space="preserve">As transistor miniaturization approaches atomic scales, traditional CMOS scaling is increasingly infeasible. Node sizes, now measured in </w:t>
      </w:r>
      <w:proofErr w:type="spellStart"/>
      <w:r w:rsidRPr="00B07B47">
        <w:t>nanometers</w:t>
      </w:r>
      <w:proofErr w:type="spellEnd"/>
      <w:r w:rsidRPr="00B07B47">
        <w:t xml:space="preserve"> (e.g., TSMC’s 3nm process), encounter quantum and thermal barriers. In response, CPU development has diversified beyond conventional scaling.</w:t>
      </w:r>
    </w:p>
    <w:p w14:paraId="14F7417A" w14:textId="77777777" w:rsidR="00B07B47" w:rsidRPr="00B07B47" w:rsidRDefault="00B07B47" w:rsidP="00B07B47">
      <w:r w:rsidRPr="00B07B47">
        <w:t>One avenue has been heterogeneous computing. Modern CPUs often integrate specialized cores—for instance, high-performance (P-cores) and efficiency-oriented (E-cores)—within the same die. This approach, adopted in Intel’s Alder Lake and Apple’s M-series chips, optimizes for both performance and power efficiency across varying workloads.</w:t>
      </w:r>
    </w:p>
    <w:p w14:paraId="6C979CD7" w14:textId="77777777" w:rsidR="00B07B47" w:rsidRPr="00B07B47" w:rsidRDefault="00B07B47" w:rsidP="00B07B47">
      <w:r w:rsidRPr="00B07B47">
        <w:t xml:space="preserve">Another development is </w:t>
      </w:r>
      <w:proofErr w:type="spellStart"/>
      <w:r w:rsidRPr="00B07B47">
        <w:t>chiplet</w:t>
      </w:r>
      <w:proofErr w:type="spellEnd"/>
      <w:r w:rsidRPr="00B07B47">
        <w:t>-based design, where multiple smaller dies are combined in a package to improve yield and scalability. AMD’s Ryzen processors exemplify this strategy, delivering high core counts without monolithic die complexity.</w:t>
      </w:r>
    </w:p>
    <w:p w14:paraId="0F68D4CD" w14:textId="77777777" w:rsidR="00B07B47" w:rsidRPr="00B07B47" w:rsidRDefault="00B07B47" w:rsidP="00B07B47">
      <w:pPr>
        <w:rPr>
          <w:b/>
          <w:bCs/>
        </w:rPr>
      </w:pPr>
      <w:r w:rsidRPr="00B07B47">
        <w:rPr>
          <w:b/>
          <w:bCs/>
        </w:rPr>
        <w:t>Conclusion</w:t>
      </w:r>
    </w:p>
    <w:p w14:paraId="43B87724" w14:textId="77777777" w:rsidR="00B07B47" w:rsidRPr="00B07B47" w:rsidRDefault="00B07B47" w:rsidP="00B07B47">
      <w:r w:rsidRPr="00B07B47">
        <w:t xml:space="preserve">The CPU's evolution reflects an interplay between architectural ingenuity, material science, and shifting computational demands. From the vacuum tubes of ENIAC to the </w:t>
      </w:r>
      <w:proofErr w:type="spellStart"/>
      <w:r w:rsidRPr="00B07B47">
        <w:t>nanometer</w:t>
      </w:r>
      <w:proofErr w:type="spellEnd"/>
      <w:r w:rsidRPr="00B07B47">
        <w:t xml:space="preserve">-scale hybrid architectures of today, CPUs have transformed from single-purpose logic engines to versatile, parallel, and power-efficient platforms. As Moore’s Law slows, future advances will likely depend not solely on transistor density but also on architectural innovation, </w:t>
      </w:r>
      <w:proofErr w:type="spellStart"/>
      <w:r w:rsidRPr="00B07B47">
        <w:t>chiplet</w:t>
      </w:r>
      <w:proofErr w:type="spellEnd"/>
      <w:r w:rsidRPr="00B07B47">
        <w:t xml:space="preserve"> integration, and co-processing with GPUs and accelerators. The CPU remains a dynamic nexus of computation—constantly adapting to the evolving frontier of technology.</w:t>
      </w:r>
    </w:p>
    <w:p w14:paraId="16BF8289" w14:textId="77777777" w:rsidR="00B07B47" w:rsidRPr="00B07B47" w:rsidRDefault="00B07B47" w:rsidP="00B07B47">
      <w:r w:rsidRPr="00B07B47">
        <w:pict w14:anchorId="104EAEF4">
          <v:rect id="_x0000_i1031" style="width:0;height:1.5pt" o:hralign="center" o:hrstd="t" o:hr="t" fillcolor="#a0a0a0" stroked="f"/>
        </w:pict>
      </w:r>
    </w:p>
    <w:p w14:paraId="4BFF8F2C" w14:textId="77777777" w:rsidR="00B07B47" w:rsidRPr="00B07B47" w:rsidRDefault="00B07B47" w:rsidP="00B07B47">
      <w:r w:rsidRPr="00B07B47">
        <w:rPr>
          <w:b/>
          <w:bCs/>
        </w:rPr>
        <w:t>References</w:t>
      </w:r>
    </w:p>
    <w:p w14:paraId="262456D0" w14:textId="77777777" w:rsidR="00B07B47" w:rsidRPr="00B07B47" w:rsidRDefault="00B07B47" w:rsidP="00B07B47">
      <w:pPr>
        <w:numPr>
          <w:ilvl w:val="0"/>
          <w:numId w:val="1"/>
        </w:numPr>
      </w:pPr>
      <w:r w:rsidRPr="00B07B47">
        <w:t xml:space="preserve">Hennessy, J. L., &amp; Patterson, D. A. (2017). </w:t>
      </w:r>
      <w:r w:rsidRPr="00B07B47">
        <w:rPr>
          <w:i/>
          <w:iCs/>
        </w:rPr>
        <w:t>Computer Architecture: A Quantitative Approach</w:t>
      </w:r>
      <w:r w:rsidRPr="00B07B47">
        <w:t xml:space="preserve"> (6th ed.). Morgan Kaufmann.</w:t>
      </w:r>
    </w:p>
    <w:p w14:paraId="5B233C82" w14:textId="77777777" w:rsidR="00B07B47" w:rsidRPr="00B07B47" w:rsidRDefault="00B07B47" w:rsidP="00B07B47">
      <w:pPr>
        <w:numPr>
          <w:ilvl w:val="0"/>
          <w:numId w:val="1"/>
        </w:numPr>
      </w:pPr>
      <w:r w:rsidRPr="00B07B47">
        <w:t xml:space="preserve">Moore, G. E. (1965). "Cramming More Components onto Integrated Circuits." </w:t>
      </w:r>
      <w:r w:rsidRPr="00B07B47">
        <w:rPr>
          <w:i/>
          <w:iCs/>
        </w:rPr>
        <w:t>Electronics</w:t>
      </w:r>
      <w:r w:rsidRPr="00B07B47">
        <w:t>, 38(8), 114–117.</w:t>
      </w:r>
    </w:p>
    <w:p w14:paraId="71D523FC" w14:textId="77777777" w:rsidR="00B07B47" w:rsidRPr="00B07B47" w:rsidRDefault="00B07B47" w:rsidP="00B07B47">
      <w:pPr>
        <w:numPr>
          <w:ilvl w:val="0"/>
          <w:numId w:val="1"/>
        </w:numPr>
      </w:pPr>
      <w:r w:rsidRPr="00B07B47">
        <w:t xml:space="preserve">Shockley, W., Bardeen, J., &amp; Brattain, W. (1948). "The Theory of p–n Junctions in Semiconductors and p–n Junction Transistors." </w:t>
      </w:r>
      <w:r w:rsidRPr="00B07B47">
        <w:rPr>
          <w:i/>
          <w:iCs/>
        </w:rPr>
        <w:t>Bell System Technical Journal</w:t>
      </w:r>
      <w:r w:rsidRPr="00B07B47">
        <w:t>.</w:t>
      </w:r>
    </w:p>
    <w:p w14:paraId="18D275CE" w14:textId="77777777" w:rsidR="00B07B47" w:rsidRPr="00B07B47" w:rsidRDefault="00B07B47" w:rsidP="00B07B47">
      <w:pPr>
        <w:numPr>
          <w:ilvl w:val="0"/>
          <w:numId w:val="1"/>
        </w:numPr>
      </w:pPr>
      <w:r w:rsidRPr="00B07B47">
        <w:t xml:space="preserve">von Neumann, J. (1945). </w:t>
      </w:r>
      <w:r w:rsidRPr="00B07B47">
        <w:rPr>
          <w:i/>
          <w:iCs/>
        </w:rPr>
        <w:t>First Draft of a Report on the EDVAC</w:t>
      </w:r>
      <w:r w:rsidRPr="00B07B47">
        <w:t>. Moore School of Electrical Engineering.</w:t>
      </w:r>
    </w:p>
    <w:p w14:paraId="2CBAA46F" w14:textId="77777777" w:rsidR="00FF21B8" w:rsidRDefault="00FF21B8"/>
    <w:sectPr w:rsidR="00FF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4056C1"/>
    <w:multiLevelType w:val="multilevel"/>
    <w:tmpl w:val="F58A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809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7B47"/>
    <w:rsid w:val="00695D8A"/>
    <w:rsid w:val="007C1050"/>
    <w:rsid w:val="00872DBB"/>
    <w:rsid w:val="009078FE"/>
    <w:rsid w:val="00B07B47"/>
    <w:rsid w:val="00C15143"/>
    <w:rsid w:val="00EC56C5"/>
    <w:rsid w:val="00FF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D6B9"/>
  <w15:chartTrackingRefBased/>
  <w15:docId w15:val="{17822778-C3D0-442A-94DF-8B645C3E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47"/>
    <w:rPr>
      <w:rFonts w:eastAsiaTheme="majorEastAsia" w:cstheme="majorBidi"/>
      <w:color w:val="272727" w:themeColor="text1" w:themeTint="D8"/>
    </w:rPr>
  </w:style>
  <w:style w:type="paragraph" w:styleId="Title">
    <w:name w:val="Title"/>
    <w:basedOn w:val="Normal"/>
    <w:next w:val="Normal"/>
    <w:link w:val="TitleChar"/>
    <w:uiPriority w:val="10"/>
    <w:qFormat/>
    <w:rsid w:val="00B07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B47"/>
    <w:pPr>
      <w:spacing w:before="160"/>
      <w:jc w:val="center"/>
    </w:pPr>
    <w:rPr>
      <w:i/>
      <w:iCs/>
      <w:color w:val="404040" w:themeColor="text1" w:themeTint="BF"/>
    </w:rPr>
  </w:style>
  <w:style w:type="character" w:customStyle="1" w:styleId="QuoteChar">
    <w:name w:val="Quote Char"/>
    <w:basedOn w:val="DefaultParagraphFont"/>
    <w:link w:val="Quote"/>
    <w:uiPriority w:val="29"/>
    <w:rsid w:val="00B07B47"/>
    <w:rPr>
      <w:i/>
      <w:iCs/>
      <w:color w:val="404040" w:themeColor="text1" w:themeTint="BF"/>
    </w:rPr>
  </w:style>
  <w:style w:type="paragraph" w:styleId="ListParagraph">
    <w:name w:val="List Paragraph"/>
    <w:basedOn w:val="Normal"/>
    <w:uiPriority w:val="34"/>
    <w:qFormat/>
    <w:rsid w:val="00B07B47"/>
    <w:pPr>
      <w:ind w:left="720"/>
      <w:contextualSpacing/>
    </w:pPr>
  </w:style>
  <w:style w:type="character" w:styleId="IntenseEmphasis">
    <w:name w:val="Intense Emphasis"/>
    <w:basedOn w:val="DefaultParagraphFont"/>
    <w:uiPriority w:val="21"/>
    <w:qFormat/>
    <w:rsid w:val="00B07B47"/>
    <w:rPr>
      <w:i/>
      <w:iCs/>
      <w:color w:val="0F4761" w:themeColor="accent1" w:themeShade="BF"/>
    </w:rPr>
  </w:style>
  <w:style w:type="paragraph" w:styleId="IntenseQuote">
    <w:name w:val="Intense Quote"/>
    <w:basedOn w:val="Normal"/>
    <w:next w:val="Normal"/>
    <w:link w:val="IntenseQuoteChar"/>
    <w:uiPriority w:val="30"/>
    <w:qFormat/>
    <w:rsid w:val="00B07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47"/>
    <w:rPr>
      <w:i/>
      <w:iCs/>
      <w:color w:val="0F4761" w:themeColor="accent1" w:themeShade="BF"/>
    </w:rPr>
  </w:style>
  <w:style w:type="character" w:styleId="IntenseReference">
    <w:name w:val="Intense Reference"/>
    <w:basedOn w:val="DefaultParagraphFont"/>
    <w:uiPriority w:val="32"/>
    <w:qFormat/>
    <w:rsid w:val="00B07B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Elemer Boros</dc:creator>
  <cp:keywords/>
  <dc:description/>
  <cp:lastModifiedBy>Norbert Elemer Boros</cp:lastModifiedBy>
  <cp:revision>1</cp:revision>
  <dcterms:created xsi:type="dcterms:W3CDTF">2025-07-31T08:57:00Z</dcterms:created>
  <dcterms:modified xsi:type="dcterms:W3CDTF">2025-07-31T08:57:00Z</dcterms:modified>
</cp:coreProperties>
</file>