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19CC70" w14:textId="77777777" w:rsidR="0023390D" w:rsidRPr="0023390D" w:rsidRDefault="0023390D" w:rsidP="0023390D">
      <w:pPr>
        <w:rPr>
          <w:b/>
          <w:bCs/>
        </w:rPr>
      </w:pPr>
      <w:r w:rsidRPr="0023390D">
        <w:rPr>
          <w:b/>
          <w:bCs/>
        </w:rPr>
        <w:t>The Evolution of Central Processing Units: From Mechanical Calculators to Modern Processors</w:t>
      </w:r>
    </w:p>
    <w:p w14:paraId="45C4B0E4" w14:textId="77777777" w:rsidR="0023390D" w:rsidRPr="0023390D" w:rsidRDefault="0023390D" w:rsidP="0023390D">
      <w:pPr>
        <w:rPr>
          <w:b/>
          <w:bCs/>
        </w:rPr>
      </w:pPr>
      <w:r w:rsidRPr="0023390D">
        <w:rPr>
          <w:b/>
          <w:bCs/>
        </w:rPr>
        <w:t>Introduction</w:t>
      </w:r>
    </w:p>
    <w:p w14:paraId="25C2EA41" w14:textId="77777777" w:rsidR="0023390D" w:rsidRPr="0023390D" w:rsidRDefault="0023390D" w:rsidP="0023390D">
      <w:r w:rsidRPr="0023390D">
        <w:t>The central processing unit (CPU) represents one of the most remarkable achievements in human technological development, transforming from mechanical calculation devices to sophisticated microprocessors capable of executing billions of operations per second. This evolution spans over seven decades and reflects humanity's relentless pursuit of computational efficiency, miniaturization, and performance optimization. Understanding the trajectory of CPU development provides crucial insights into the broader evolution of digital computing and its profound impact on modern society.</w:t>
      </w:r>
    </w:p>
    <w:p w14:paraId="41A187C5" w14:textId="77777777" w:rsidR="0023390D" w:rsidRPr="0023390D" w:rsidRDefault="0023390D" w:rsidP="0023390D">
      <w:pPr>
        <w:rPr>
          <w:b/>
          <w:bCs/>
        </w:rPr>
      </w:pPr>
      <w:r w:rsidRPr="0023390D">
        <w:rPr>
          <w:b/>
          <w:bCs/>
        </w:rPr>
        <w:t>The Foundation Era: Vacuum Tubes and Early Architecture (1940s-1950s)</w:t>
      </w:r>
    </w:p>
    <w:p w14:paraId="6CE26755" w14:textId="77777777" w:rsidR="0023390D" w:rsidRPr="0023390D" w:rsidRDefault="0023390D" w:rsidP="0023390D">
      <w:r w:rsidRPr="0023390D">
        <w:t>The earliest electronic computers utilized vacuum tube technology to create the first programmable processors. The Electronic Numerical Integrator and Computer (ENIAC), completed in 1946, employed approximately 17,468 vacuum tubes to perform calculations that previously required human computers working for weeks (Goldstine &amp; Goldstine, 1996). These early processors operated on fundamental principles that remain relevant today: the fetch-decode-execute cycle that forms the cornerstone of von Neumann architecture.</w:t>
      </w:r>
    </w:p>
    <w:p w14:paraId="44A30EC1" w14:textId="77777777" w:rsidR="0023390D" w:rsidRPr="0023390D" w:rsidRDefault="0023390D" w:rsidP="0023390D">
      <w:r w:rsidRPr="0023390D">
        <w:t>The transition from mechanical relay systems to vacuum tubes represented a quantum leap in processing speed, reducing calculation times from minutes to milliseconds. However, vacuum tube processors suffered from significant limitations, including enormous power consumption, heat generation, and frequent component failures. The IBM 701, introduced in 1952, exemplified this era's capabilities while highlighting the inherent constraints of vacuum tube technology.</w:t>
      </w:r>
    </w:p>
    <w:p w14:paraId="3E79EB17" w14:textId="77777777" w:rsidR="0023390D" w:rsidRPr="0023390D" w:rsidRDefault="0023390D" w:rsidP="0023390D">
      <w:pPr>
        <w:rPr>
          <w:b/>
          <w:bCs/>
        </w:rPr>
      </w:pPr>
      <w:r w:rsidRPr="0023390D">
        <w:rPr>
          <w:b/>
          <w:bCs/>
        </w:rPr>
        <w:t>The Transistor Revolution: Solid-State Processing (1950s-1960s)</w:t>
      </w:r>
    </w:p>
    <w:p w14:paraId="663C9730" w14:textId="77777777" w:rsidR="0023390D" w:rsidRPr="0023390D" w:rsidRDefault="0023390D" w:rsidP="0023390D">
      <w:r w:rsidRPr="0023390D">
        <w:t>The invention of the transistor at Bell Laboratories in 1947 fundamentally altered the trajectory of processor development. Transistors offered superior reliability, dramatically reduced power consumption, and enabled unprecedented miniaturization compared to their vacuum tube predecessors. The first transistor-based computers, such as the IBM 1401 series, demonstrated the practical advantages of solid-state electronics in commercial computing applications.</w:t>
      </w:r>
    </w:p>
    <w:p w14:paraId="3D80F15E" w14:textId="77777777" w:rsidR="0023390D" w:rsidRPr="0023390D" w:rsidRDefault="0023390D" w:rsidP="0023390D">
      <w:r w:rsidRPr="0023390D">
        <w:t>This period witnessed the emergence of instruction set architectures (ISAs) as standardized interfaces between hardware and software. The development of assembly languages and early compilers during this era established the conceptual framework for modern programming paradigms. Transistor-based processors also introduced the concept of modular design, allowing manufacturers to create families of compatible processors with varying performance characteristics.</w:t>
      </w:r>
    </w:p>
    <w:p w14:paraId="16B87054" w14:textId="77777777" w:rsidR="0023390D" w:rsidRPr="0023390D" w:rsidRDefault="0023390D" w:rsidP="0023390D">
      <w:pPr>
        <w:rPr>
          <w:b/>
          <w:bCs/>
        </w:rPr>
      </w:pPr>
      <w:r w:rsidRPr="0023390D">
        <w:rPr>
          <w:b/>
          <w:bCs/>
        </w:rPr>
        <w:t>Integrated Circuits and Microprocessor Genesis (1960s-1970s)</w:t>
      </w:r>
    </w:p>
    <w:p w14:paraId="3CB9FD70" w14:textId="77777777" w:rsidR="0023390D" w:rsidRPr="0023390D" w:rsidRDefault="0023390D" w:rsidP="0023390D">
      <w:r w:rsidRPr="0023390D">
        <w:t>The development of integrated circuit technology in the early 1960s enabled the consolidation of multiple transistors onto single semiconductor substrates. This advancement paved the way for increasingly complex processor designs while maintaining manageable physical dimensions. The progression from small-scale integration (SSI) to medium-scale integration (MSI) allowed engineers to implement more sophisticated control logic and arithmetic units within individual chips.</w:t>
      </w:r>
    </w:p>
    <w:p w14:paraId="463C90FF" w14:textId="77777777" w:rsidR="0023390D" w:rsidRPr="0023390D" w:rsidRDefault="0023390D" w:rsidP="0023390D">
      <w:r w:rsidRPr="0023390D">
        <w:t xml:space="preserve">Intel's introduction of the 4004 </w:t>
      </w:r>
      <w:proofErr w:type="gramStart"/>
      <w:r w:rsidRPr="0023390D">
        <w:t>microprocessor</w:t>
      </w:r>
      <w:proofErr w:type="gramEnd"/>
      <w:r w:rsidRPr="0023390D">
        <w:t xml:space="preserve"> in 1971 marked a watershed moment in computing history. This 4-bit processor, originally designed for calculator applications, demonstrated the feasibility of implementing complete CPU functionality on a single integrated circuit. The subsequent release of the 8008 and 8080 processors established the foundation for personal computing by providing sufficient computational power for desktop applications while maintaining reasonable cost structures.</w:t>
      </w:r>
    </w:p>
    <w:p w14:paraId="1C936247" w14:textId="77777777" w:rsidR="0023390D" w:rsidRPr="0023390D" w:rsidRDefault="0023390D" w:rsidP="0023390D">
      <w:pPr>
        <w:rPr>
          <w:b/>
          <w:bCs/>
        </w:rPr>
      </w:pPr>
      <w:r w:rsidRPr="0023390D">
        <w:rPr>
          <w:b/>
          <w:bCs/>
        </w:rPr>
        <w:t>The Personal Computing Era: Performance and Compatibility (1980s-1990s)</w:t>
      </w:r>
    </w:p>
    <w:p w14:paraId="5D2DF6E3" w14:textId="77777777" w:rsidR="0023390D" w:rsidRPr="0023390D" w:rsidRDefault="0023390D" w:rsidP="0023390D">
      <w:r w:rsidRPr="0023390D">
        <w:t>The 1980s witnessed explosive growth in processor performance driven by advances in semiconductor manufacturing and architectural innovation. Intel's x86 architecture, beginning with the 8086 processor, established backward compatibility as a crucial design principle that continues to influence modern processor development. This emphasis on compatibility enabled software ecosystems to evolve incrementally while maintaining investment protection for users and developers.</w:t>
      </w:r>
    </w:p>
    <w:p w14:paraId="47654C0A" w14:textId="77777777" w:rsidR="0023390D" w:rsidRPr="0023390D" w:rsidRDefault="0023390D" w:rsidP="0023390D">
      <w:r w:rsidRPr="0023390D">
        <w:t>Concurrent developments in reduced instruction set computer (RISC) architectures challenged the prevailing complex instruction set computer (CISC) paradigm. RISC processors, exemplified by designs from companies like MIPS and SPARC, demonstrated that simplified instruction sets could achieve superior performance through optimized execution pipelines and higher clock frequencies. This architectural diversity fostered innovation and established the foundation for modern processor design principles.</w:t>
      </w:r>
    </w:p>
    <w:p w14:paraId="1422F2DA" w14:textId="77777777" w:rsidR="0023390D" w:rsidRPr="0023390D" w:rsidRDefault="0023390D" w:rsidP="0023390D">
      <w:r w:rsidRPr="0023390D">
        <w:t>The introduction of cache memory hierarchies during this period addressed the growing disparity between processor and memory performance. Multi-level cache systems enabled processors to maintain high utilization rates by reducing memory access latencies, establishing cache design as a critical component of processor architecture.</w:t>
      </w:r>
    </w:p>
    <w:p w14:paraId="1BCB5928" w14:textId="77777777" w:rsidR="0023390D" w:rsidRPr="0023390D" w:rsidRDefault="0023390D" w:rsidP="0023390D">
      <w:pPr>
        <w:rPr>
          <w:b/>
          <w:bCs/>
        </w:rPr>
      </w:pPr>
      <w:r w:rsidRPr="0023390D">
        <w:rPr>
          <w:b/>
          <w:bCs/>
        </w:rPr>
        <w:t>Modern Era: Parallelism and Power Efficiency (2000s-Present)</w:t>
      </w:r>
    </w:p>
    <w:p w14:paraId="632823B4" w14:textId="77777777" w:rsidR="0023390D" w:rsidRPr="0023390D" w:rsidRDefault="0023390D" w:rsidP="0023390D">
      <w:r w:rsidRPr="0023390D">
        <w:t>The early 21st century marked the end of the "free lunch" provided by Moore's Law scaling, as physical limitations began constraining single-threaded performance improvements. Processor manufacturers responded by embracing parallel processing architectures, introducing multi-core designs that distribute computational workloads across multiple execution units. Intel's Core 2 Duo and AMD's Athlon X2 processors pioneered mainstream multi-core computing, fundamentally altering software development paradigms.</w:t>
      </w:r>
    </w:p>
    <w:p w14:paraId="15EE97DF" w14:textId="77777777" w:rsidR="0023390D" w:rsidRPr="0023390D" w:rsidRDefault="0023390D" w:rsidP="0023390D">
      <w:r w:rsidRPr="0023390D">
        <w:t>Contemporary processor development emphasizes power efficiency alongside performance, driven by mobile computing requirements and environmental considerations. Advanced power management techniques, including dynamic voltage and frequency scaling (DVFS), enable processors to optimize energy consumption based on workload characteristics. The emergence of heterogeneous computing architectures, incorporating specialized processing units for graphics, artificial intelligence, and signal processing, reflects the diversification of computational requirements in modern applications.</w:t>
      </w:r>
    </w:p>
    <w:p w14:paraId="7D44F391" w14:textId="77777777" w:rsidR="0023390D" w:rsidRPr="0023390D" w:rsidRDefault="0023390D" w:rsidP="0023390D">
      <w:pPr>
        <w:rPr>
          <w:b/>
          <w:bCs/>
        </w:rPr>
      </w:pPr>
      <w:r w:rsidRPr="0023390D">
        <w:rPr>
          <w:b/>
          <w:bCs/>
        </w:rPr>
        <w:t>Future Directions and Implications</w:t>
      </w:r>
    </w:p>
    <w:p w14:paraId="5940EC4C" w14:textId="77777777" w:rsidR="0023390D" w:rsidRPr="0023390D" w:rsidRDefault="0023390D" w:rsidP="0023390D">
      <w:r w:rsidRPr="0023390D">
        <w:t>The evolution of CPU technology continues to accelerate, with emerging paradigms including quantum computing, neuromorphic architectures, and advanced packaging technologies promising to redefine computational capabilities. The integration of artificial intelligence acceleration directly into processor cores represents a significant architectural shift that will likely influence future software development practices and application design.</w:t>
      </w:r>
    </w:p>
    <w:p w14:paraId="2AB60BBC" w14:textId="77777777" w:rsidR="0023390D" w:rsidRPr="0023390D" w:rsidRDefault="0023390D" w:rsidP="0023390D">
      <w:pPr>
        <w:rPr>
          <w:b/>
          <w:bCs/>
        </w:rPr>
      </w:pPr>
      <w:r w:rsidRPr="0023390D">
        <w:rPr>
          <w:b/>
          <w:bCs/>
        </w:rPr>
        <w:t>Conclusion</w:t>
      </w:r>
    </w:p>
    <w:p w14:paraId="24ECE2E5" w14:textId="77777777" w:rsidR="0023390D" w:rsidRPr="0023390D" w:rsidRDefault="0023390D" w:rsidP="0023390D">
      <w:r w:rsidRPr="0023390D">
        <w:t>The evolution of central processing units from vacuum tube behemoths to sophisticated multi-core processors represents one of humanity's most significant technological achievements. This progression reflects the continuous interplay between materials science, electrical engineering, and computer science in pursuing ever-greater computational capabilities. As processors continue evolving to address emerging challenges in artificial intelligence, quantum computing, and energy efficiency, their fundamental role as the engines of digital transformation remains unchanged. Understanding this evolutionary trajectory provides essential context for appreciating both current technological capabilities and future possibilities in computational systems.</w:t>
      </w:r>
    </w:p>
    <w:p w14:paraId="2EC93C7D" w14:textId="77777777" w:rsidR="0023390D" w:rsidRPr="0023390D" w:rsidRDefault="0023390D" w:rsidP="0023390D">
      <w:pPr>
        <w:rPr>
          <w:b/>
          <w:bCs/>
        </w:rPr>
      </w:pPr>
      <w:r w:rsidRPr="0023390D">
        <w:rPr>
          <w:b/>
          <w:bCs/>
        </w:rPr>
        <w:t>References</w:t>
      </w:r>
    </w:p>
    <w:p w14:paraId="79226451" w14:textId="77777777" w:rsidR="0023390D" w:rsidRPr="0023390D" w:rsidRDefault="0023390D" w:rsidP="0023390D">
      <w:r w:rsidRPr="0023390D">
        <w:t xml:space="preserve">Goldstine, H. H., &amp; Goldstine, A. (1996). </w:t>
      </w:r>
      <w:r w:rsidRPr="0023390D">
        <w:rPr>
          <w:i/>
          <w:iCs/>
        </w:rPr>
        <w:t>The Electronic Numerical Integrator and Computer (ENIAC)</w:t>
      </w:r>
      <w:r w:rsidRPr="0023390D">
        <w:t>. IEEE Annals of the History of Computing, 18(1), 10-16.</w:t>
      </w:r>
    </w:p>
    <w:p w14:paraId="376F809F" w14:textId="77777777" w:rsidR="0023390D" w:rsidRPr="0023390D" w:rsidRDefault="0023390D" w:rsidP="0023390D">
      <w:r w:rsidRPr="0023390D">
        <w:t xml:space="preserve">Patterson, D. A., &amp; Hennessy, J. L. (2019). </w:t>
      </w:r>
      <w:r w:rsidRPr="0023390D">
        <w:rPr>
          <w:i/>
          <w:iCs/>
        </w:rPr>
        <w:t>Computer Organization and Design: The Hardware/Software Interface</w:t>
      </w:r>
      <w:r w:rsidRPr="0023390D">
        <w:t xml:space="preserve"> (5th ed.). Morgan Kaufmann.</w:t>
      </w:r>
    </w:p>
    <w:p w14:paraId="041A9F1A" w14:textId="0AEC74AA" w:rsidR="00FF21B8" w:rsidRDefault="0023390D">
      <w:r w:rsidRPr="0023390D">
        <w:t xml:space="preserve">Mack, C. (2011). Fifty years of Moore's law. </w:t>
      </w:r>
      <w:r w:rsidRPr="0023390D">
        <w:rPr>
          <w:i/>
          <w:iCs/>
        </w:rPr>
        <w:t>IEEE Transactions on Semiconductor Manufacturing</w:t>
      </w:r>
      <w:r w:rsidRPr="0023390D">
        <w:t>, 24(2), 202-207.</w:t>
      </w:r>
    </w:p>
    <w:sectPr w:rsidR="00FF21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390D"/>
    <w:rsid w:val="0023390D"/>
    <w:rsid w:val="00695D8A"/>
    <w:rsid w:val="007C1050"/>
    <w:rsid w:val="00872DBB"/>
    <w:rsid w:val="009078FE"/>
    <w:rsid w:val="00C15143"/>
    <w:rsid w:val="00EC56C5"/>
    <w:rsid w:val="00FF21B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2EADAE"/>
  <w15:chartTrackingRefBased/>
  <w15:docId w15:val="{CB8BB319-E417-4EDB-BE2F-6C2ED9529A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3390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3390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3390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3390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3390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3390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3390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3390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3390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390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3390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3390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3390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3390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3390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3390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3390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3390D"/>
    <w:rPr>
      <w:rFonts w:eastAsiaTheme="majorEastAsia" w:cstheme="majorBidi"/>
      <w:color w:val="272727" w:themeColor="text1" w:themeTint="D8"/>
    </w:rPr>
  </w:style>
  <w:style w:type="paragraph" w:styleId="Title">
    <w:name w:val="Title"/>
    <w:basedOn w:val="Normal"/>
    <w:next w:val="Normal"/>
    <w:link w:val="TitleChar"/>
    <w:uiPriority w:val="10"/>
    <w:qFormat/>
    <w:rsid w:val="0023390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390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3390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3390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3390D"/>
    <w:pPr>
      <w:spacing w:before="160"/>
      <w:jc w:val="center"/>
    </w:pPr>
    <w:rPr>
      <w:i/>
      <w:iCs/>
      <w:color w:val="404040" w:themeColor="text1" w:themeTint="BF"/>
    </w:rPr>
  </w:style>
  <w:style w:type="character" w:customStyle="1" w:styleId="QuoteChar">
    <w:name w:val="Quote Char"/>
    <w:basedOn w:val="DefaultParagraphFont"/>
    <w:link w:val="Quote"/>
    <w:uiPriority w:val="29"/>
    <w:rsid w:val="0023390D"/>
    <w:rPr>
      <w:i/>
      <w:iCs/>
      <w:color w:val="404040" w:themeColor="text1" w:themeTint="BF"/>
    </w:rPr>
  </w:style>
  <w:style w:type="paragraph" w:styleId="ListParagraph">
    <w:name w:val="List Paragraph"/>
    <w:basedOn w:val="Normal"/>
    <w:uiPriority w:val="34"/>
    <w:qFormat/>
    <w:rsid w:val="0023390D"/>
    <w:pPr>
      <w:ind w:left="720"/>
      <w:contextualSpacing/>
    </w:pPr>
  </w:style>
  <w:style w:type="character" w:styleId="IntenseEmphasis">
    <w:name w:val="Intense Emphasis"/>
    <w:basedOn w:val="DefaultParagraphFont"/>
    <w:uiPriority w:val="21"/>
    <w:qFormat/>
    <w:rsid w:val="0023390D"/>
    <w:rPr>
      <w:i/>
      <w:iCs/>
      <w:color w:val="0F4761" w:themeColor="accent1" w:themeShade="BF"/>
    </w:rPr>
  </w:style>
  <w:style w:type="paragraph" w:styleId="IntenseQuote">
    <w:name w:val="Intense Quote"/>
    <w:basedOn w:val="Normal"/>
    <w:next w:val="Normal"/>
    <w:link w:val="IntenseQuoteChar"/>
    <w:uiPriority w:val="30"/>
    <w:qFormat/>
    <w:rsid w:val="0023390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3390D"/>
    <w:rPr>
      <w:i/>
      <w:iCs/>
      <w:color w:val="0F4761" w:themeColor="accent1" w:themeShade="BF"/>
    </w:rPr>
  </w:style>
  <w:style w:type="character" w:styleId="IntenseReference">
    <w:name w:val="Intense Reference"/>
    <w:basedOn w:val="DefaultParagraphFont"/>
    <w:uiPriority w:val="32"/>
    <w:qFormat/>
    <w:rsid w:val="0023390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1187</Words>
  <Characters>6769</Characters>
  <Application>Microsoft Office Word</Application>
  <DocSecurity>0</DocSecurity>
  <Lines>56</Lines>
  <Paragraphs>15</Paragraphs>
  <ScaleCrop>false</ScaleCrop>
  <Company/>
  <LinksUpToDate>false</LinksUpToDate>
  <CharactersWithSpaces>7941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Norbert Elemer Boros</dc:creator>
  <cp:keywords/>
  <dc:description/>
  <cp:lastModifiedBy>Norbert Elemer Boros</cp:lastModifiedBy>
  <cp:revision>1</cp:revision>
  <dcterms:created xsi:type="dcterms:W3CDTF">2025-07-31T08:54:00Z</dcterms:created>
  <dcterms:modified xsi:type="dcterms:W3CDTF">2025-07-31T08:55:00Z</dcterms:modified>
</cp:coreProperties>
</file>