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883B7" w14:textId="77777777" w:rsidR="002849BC" w:rsidRPr="002849BC" w:rsidRDefault="002849BC" w:rsidP="002849BC">
      <w:r w:rsidRPr="002849BC">
        <w:t>The Evolution of Central Processing Units: A Technological and Architectural Perspective</w:t>
      </w:r>
    </w:p>
    <w:p w14:paraId="7FC1B90D" w14:textId="77777777" w:rsidR="002849BC" w:rsidRPr="002849BC" w:rsidRDefault="002849BC" w:rsidP="002849BC">
      <w:r w:rsidRPr="002849BC">
        <w:t>Introduction</w:t>
      </w:r>
    </w:p>
    <w:p w14:paraId="45E5230E" w14:textId="77777777" w:rsidR="002849BC" w:rsidRPr="002849BC" w:rsidRDefault="002849BC" w:rsidP="002849BC">
      <w:r w:rsidRPr="002849BC">
        <w:t>The Central Processing Unit (CPU) is the core computational engine of modern computing systems, responsible for executing instructions and processing data. Over the past several decades, CPUs have undergone significant transformations in architecture, performance, and efficiency. This essay explores the evolution of CPUs, from early single-core designs to contemporary multi-core and heterogeneous processors, while examining key technological advancements that have shaped their development.</w:t>
      </w:r>
    </w:p>
    <w:p w14:paraId="027EA954" w14:textId="77777777" w:rsidR="002849BC" w:rsidRPr="002849BC" w:rsidRDefault="002849BC" w:rsidP="002849BC">
      <w:r w:rsidRPr="002849BC">
        <w:t>Early CPU Architectures: From Vacuum Tubes to Transistors</w:t>
      </w:r>
    </w:p>
    <w:p w14:paraId="5032BBCE" w14:textId="77777777" w:rsidR="002849BC" w:rsidRPr="002849BC" w:rsidRDefault="002849BC" w:rsidP="002849BC">
      <w:r w:rsidRPr="002849BC">
        <w:t>The first electronic computers, such as the ENIAC (1945), relied on vacuum tubes for computation, which were bulky, power-hungry, and prone to failure (Rojas &amp; Hashagen, 2000). The invention of the transistor in 1947 by Bell Labs marked a pivotal shift, enabling smaller, faster, and more reliable CPUs. Early transistor-based CPUs, such as those in the IBM 7030 Stretch (1961), introduced pipelining—a technique allowing simultaneous instruction execution—which became foundational for later designs (Hennessy &amp; Patterson, 2017).</w:t>
      </w:r>
    </w:p>
    <w:p w14:paraId="455BA1D5" w14:textId="77777777" w:rsidR="002849BC" w:rsidRPr="002849BC" w:rsidRDefault="002849BC" w:rsidP="002849BC">
      <w:r w:rsidRPr="002849BC">
        <w:t>The development of integrated circuits (ICs) in the late 1950s further revolutionized CPU design. Intel’s 4004 (1971), the first commercially available microprocessor, contained 2,300 transistors and operated at 740 kHz (</w:t>
      </w:r>
      <w:proofErr w:type="spellStart"/>
      <w:r w:rsidRPr="002849BC">
        <w:t>Augarten</w:t>
      </w:r>
      <w:proofErr w:type="spellEnd"/>
      <w:r w:rsidRPr="002849BC">
        <w:t>, 1984). This milestone demonstrated the feasibility of single-chip CPUs, paving the way for personal computing.</w:t>
      </w:r>
    </w:p>
    <w:p w14:paraId="675C4A9C" w14:textId="77777777" w:rsidR="002849BC" w:rsidRPr="002849BC" w:rsidRDefault="002849BC" w:rsidP="002849BC">
      <w:r w:rsidRPr="002849BC">
        <w:t>The Rise of Microprocessors and Instruction Set Architectures (ISAs)</w:t>
      </w:r>
    </w:p>
    <w:p w14:paraId="5AA72188" w14:textId="77777777" w:rsidR="002849BC" w:rsidRPr="002849BC" w:rsidRDefault="002849BC" w:rsidP="002849BC">
      <w:r w:rsidRPr="002849BC">
        <w:t>The 1980s and 1990s saw rapid advancements in microprocessor design, driven by competition between Intel, AMD, and other semiconductor firms. Two dominant instruction set architectures emerged: Complex Instruction Set Computing (CISC</w:t>
      </w:r>
      <w:proofErr w:type="gramStart"/>
      <w:r w:rsidRPr="002849BC">
        <w:t>)</w:t>
      </w:r>
      <w:proofErr w:type="gramEnd"/>
      <w:r w:rsidRPr="002849BC">
        <w:t xml:space="preserve"> and Reduced Instruction Set Computing (RISC).</w:t>
      </w:r>
    </w:p>
    <w:p w14:paraId="58BE3698" w14:textId="77777777" w:rsidR="002849BC" w:rsidRPr="002849BC" w:rsidRDefault="002849BC" w:rsidP="002849BC">
      <w:r w:rsidRPr="002849BC">
        <w:t>CISC processors, such as Intel’s x86 family, featured rich instruction sets designed to minimize program size, benefiting early systems with limited memory. However, RISC architectures, like those from ARM and MIPS, prioritized simplicity, enabling higher clock speeds and better pipelining efficiency (Patterson, 1985). The debate between CISC and RISC influenced CPU design philosophy, with modern processors often incorporating hybrid approaches.</w:t>
      </w:r>
    </w:p>
    <w:p w14:paraId="14415D68" w14:textId="77777777" w:rsidR="002849BC" w:rsidRPr="002849BC" w:rsidRDefault="002849BC" w:rsidP="002849BC">
      <w:r w:rsidRPr="002849BC">
        <w:t>The Clock Speed Race and the Multi-Core Revolution</w:t>
      </w:r>
    </w:p>
    <w:p w14:paraId="2AA91FBF" w14:textId="77777777" w:rsidR="002849BC" w:rsidRPr="002849BC" w:rsidRDefault="002849BC" w:rsidP="002849BC">
      <w:r w:rsidRPr="002849BC">
        <w:t>Throughout the 1990s and early 2000s, CPU performance was largely driven by increasing clock speeds. Intel’s Pentium 4 (2000) reached frequencies exceeding 3 GHz, but thermal and power constraints soon made further scaling impractical (Borkar, 2007). This limitation, known as the "power wall," forced a paradigm shift toward parallel processing.</w:t>
      </w:r>
    </w:p>
    <w:p w14:paraId="3533A85F" w14:textId="77777777" w:rsidR="002849BC" w:rsidRPr="002849BC" w:rsidRDefault="002849BC" w:rsidP="002849BC">
      <w:r w:rsidRPr="002849BC">
        <w:t>Multi-core CPUs, such as Intel’s Core 2 Duo (2006) and AMD’s Athlon 64 X2 (2005), introduced multiple processing units on a single die, improving performance without excessive power consumption (Olukotun et al., 2006). This transition necessitated advancements in parallel programming and cache coherence protocols to manage shared resources efficiently.</w:t>
      </w:r>
    </w:p>
    <w:p w14:paraId="19CF1104" w14:textId="77777777" w:rsidR="002849BC" w:rsidRPr="002849BC" w:rsidRDefault="002849BC" w:rsidP="002849BC">
      <w:r w:rsidRPr="002849BC">
        <w:t>Heterogeneous Computing and Specialized Accelerators</w:t>
      </w:r>
    </w:p>
    <w:p w14:paraId="37CC8B63" w14:textId="77777777" w:rsidR="002849BC" w:rsidRPr="002849BC" w:rsidRDefault="002849BC" w:rsidP="002849BC">
      <w:r w:rsidRPr="002849BC">
        <w:t xml:space="preserve">Modern CPUs increasingly integrate specialized processing units to handle specific workloads efficiently. Graphics Processing Units (GPUs), initially designed for rendering, are now used for general-purpose computing (GPGPU), while Tensor Processing Units (TPUs) accelerate machine learning tasks (Jouppi et al., 2017). ARM’s </w:t>
      </w:r>
      <w:proofErr w:type="spellStart"/>
      <w:proofErr w:type="gramStart"/>
      <w:r w:rsidRPr="002849BC">
        <w:t>big.LITTLE</w:t>
      </w:r>
      <w:proofErr w:type="spellEnd"/>
      <w:proofErr w:type="gramEnd"/>
      <w:r w:rsidRPr="002849BC">
        <w:t xml:space="preserve"> architecture (2012) combines high-performance and energy-efficient cores, optimizing battery life in mobile devices (Greenhalgh, 2011).</w:t>
      </w:r>
    </w:p>
    <w:p w14:paraId="3D0C3300" w14:textId="77777777" w:rsidR="002849BC" w:rsidRPr="002849BC" w:rsidRDefault="002849BC" w:rsidP="002849BC">
      <w:r w:rsidRPr="002849BC">
        <w:t xml:space="preserve">Furthermore, advancements in semiconductor manufacturing, such as </w:t>
      </w:r>
      <w:proofErr w:type="spellStart"/>
      <w:r w:rsidRPr="002849BC">
        <w:t>FinFET</w:t>
      </w:r>
      <w:proofErr w:type="spellEnd"/>
      <w:r w:rsidRPr="002849BC">
        <w:t xml:space="preserve"> transistors and extreme ultraviolet (EUV) lithography, have enabled continued transistor density scaling despite nearing physical limits (Schulze, 2019).</w:t>
      </w:r>
    </w:p>
    <w:p w14:paraId="180D5F45" w14:textId="77777777" w:rsidR="002849BC" w:rsidRPr="002849BC" w:rsidRDefault="002849BC" w:rsidP="002849BC">
      <w:r w:rsidRPr="002849BC">
        <w:t>Conclusion</w:t>
      </w:r>
    </w:p>
    <w:p w14:paraId="540C8C7E" w14:textId="77777777" w:rsidR="002849BC" w:rsidRPr="002849BC" w:rsidRDefault="002849BC" w:rsidP="002849BC">
      <w:r w:rsidRPr="002849BC">
        <w:t>The evolution of CPUs reflects broader trends in computing: from raw clock speed improvements to parallelism and specialization. Future developments may focus on quantum computing, neuromorphic architectures, or photonic processors, further redefining computational paradigms. Understanding this progression is essential for anticipating the next phase of CPU innovation.</w:t>
      </w:r>
    </w:p>
    <w:p w14:paraId="0076A0FC" w14:textId="77777777" w:rsidR="002849BC" w:rsidRPr="002849BC" w:rsidRDefault="002849BC" w:rsidP="002849BC">
      <w:r w:rsidRPr="002849BC">
        <w:t>References</w:t>
      </w:r>
    </w:p>
    <w:p w14:paraId="620A838A" w14:textId="77777777" w:rsidR="002849BC" w:rsidRPr="002849BC" w:rsidRDefault="002849BC" w:rsidP="002849BC">
      <w:pPr>
        <w:numPr>
          <w:ilvl w:val="0"/>
          <w:numId w:val="1"/>
        </w:numPr>
      </w:pPr>
      <w:proofErr w:type="spellStart"/>
      <w:r w:rsidRPr="002849BC">
        <w:t>Augarten</w:t>
      </w:r>
      <w:proofErr w:type="spellEnd"/>
      <w:r w:rsidRPr="002849BC">
        <w:t>, S. (1984). </w:t>
      </w:r>
      <w:r w:rsidRPr="002849BC">
        <w:rPr>
          <w:i/>
          <w:iCs/>
        </w:rPr>
        <w:t>State of the Art: A Photographic History of the Integrated Circuit</w:t>
      </w:r>
      <w:r w:rsidRPr="002849BC">
        <w:t>. Ticknor &amp; Fields.</w:t>
      </w:r>
    </w:p>
    <w:p w14:paraId="4865347A" w14:textId="77777777" w:rsidR="002849BC" w:rsidRPr="002849BC" w:rsidRDefault="002849BC" w:rsidP="002849BC">
      <w:pPr>
        <w:numPr>
          <w:ilvl w:val="0"/>
          <w:numId w:val="1"/>
        </w:numPr>
      </w:pPr>
      <w:r w:rsidRPr="002849BC">
        <w:t>Borkar, S. (2007). "Thousand Core Chips: A Technology Perspective." </w:t>
      </w:r>
      <w:r w:rsidRPr="002849BC">
        <w:rPr>
          <w:i/>
          <w:iCs/>
        </w:rPr>
        <w:t>IEEE Micro</w:t>
      </w:r>
      <w:r w:rsidRPr="002849BC">
        <w:t>, 27(3), 12-19.</w:t>
      </w:r>
    </w:p>
    <w:p w14:paraId="6D9B0E79" w14:textId="77777777" w:rsidR="002849BC" w:rsidRPr="002849BC" w:rsidRDefault="002849BC" w:rsidP="002849BC">
      <w:pPr>
        <w:numPr>
          <w:ilvl w:val="0"/>
          <w:numId w:val="1"/>
        </w:numPr>
      </w:pPr>
      <w:r w:rsidRPr="002849BC">
        <w:t>Greenhalgh, P. (2011). "</w:t>
      </w:r>
      <w:proofErr w:type="spellStart"/>
      <w:proofErr w:type="gramStart"/>
      <w:r w:rsidRPr="002849BC">
        <w:t>big.LITTLE</w:t>
      </w:r>
      <w:proofErr w:type="spellEnd"/>
      <w:proofErr w:type="gramEnd"/>
      <w:r w:rsidRPr="002849BC">
        <w:t xml:space="preserve"> Processing with ARM Cortex-A15 &amp; Cortex-A7." </w:t>
      </w:r>
      <w:r w:rsidRPr="002849BC">
        <w:rPr>
          <w:i/>
          <w:iCs/>
        </w:rPr>
        <w:t>ARM White Paper</w:t>
      </w:r>
      <w:r w:rsidRPr="002849BC">
        <w:t>.</w:t>
      </w:r>
    </w:p>
    <w:p w14:paraId="70873635" w14:textId="77777777" w:rsidR="002849BC" w:rsidRPr="002849BC" w:rsidRDefault="002849BC" w:rsidP="002849BC">
      <w:pPr>
        <w:numPr>
          <w:ilvl w:val="0"/>
          <w:numId w:val="1"/>
        </w:numPr>
      </w:pPr>
      <w:r w:rsidRPr="002849BC">
        <w:t>Hennessy, J. L., &amp; Patterson, D. A. (2017). </w:t>
      </w:r>
      <w:r w:rsidRPr="002849BC">
        <w:rPr>
          <w:i/>
          <w:iCs/>
        </w:rPr>
        <w:t>Computer Architecture: A Quantitative Approach</w:t>
      </w:r>
      <w:r w:rsidRPr="002849BC">
        <w:t> (6th ed.). Morgan Kaufmann.</w:t>
      </w:r>
    </w:p>
    <w:p w14:paraId="0E379202" w14:textId="77777777" w:rsidR="002849BC" w:rsidRPr="002849BC" w:rsidRDefault="002849BC" w:rsidP="002849BC">
      <w:pPr>
        <w:numPr>
          <w:ilvl w:val="0"/>
          <w:numId w:val="1"/>
        </w:numPr>
      </w:pPr>
      <w:r w:rsidRPr="002849BC">
        <w:t>Jouppi, N. P., et al. (2017). "In-</w:t>
      </w:r>
      <w:proofErr w:type="spellStart"/>
      <w:r w:rsidRPr="002849BC">
        <w:t>Datacenter</w:t>
      </w:r>
      <w:proofErr w:type="spellEnd"/>
      <w:r w:rsidRPr="002849BC">
        <w:t xml:space="preserve"> Performance Analysis of a Tensor Processing Unit." </w:t>
      </w:r>
      <w:r w:rsidRPr="002849BC">
        <w:rPr>
          <w:i/>
          <w:iCs/>
        </w:rPr>
        <w:t>ACM/IEEE ISCA</w:t>
      </w:r>
      <w:r w:rsidRPr="002849BC">
        <w:t>.</w:t>
      </w:r>
    </w:p>
    <w:p w14:paraId="04E908DC" w14:textId="77777777" w:rsidR="002849BC" w:rsidRPr="002849BC" w:rsidRDefault="002849BC" w:rsidP="002849BC">
      <w:pPr>
        <w:numPr>
          <w:ilvl w:val="0"/>
          <w:numId w:val="1"/>
        </w:numPr>
      </w:pPr>
      <w:r w:rsidRPr="002849BC">
        <w:t>Olukotun, K., et al. (2006). "The Case for a Single-Chip Multiprocessor." </w:t>
      </w:r>
      <w:r w:rsidRPr="002849BC">
        <w:rPr>
          <w:i/>
          <w:iCs/>
        </w:rPr>
        <w:t>ACM SIGARCH Computer Architecture News</w:t>
      </w:r>
      <w:r w:rsidRPr="002849BC">
        <w:t>.</w:t>
      </w:r>
    </w:p>
    <w:p w14:paraId="7B0580E3" w14:textId="77777777" w:rsidR="002849BC" w:rsidRPr="002849BC" w:rsidRDefault="002849BC" w:rsidP="002849BC">
      <w:pPr>
        <w:numPr>
          <w:ilvl w:val="0"/>
          <w:numId w:val="1"/>
        </w:numPr>
      </w:pPr>
      <w:r w:rsidRPr="002849BC">
        <w:t>Patterson, D. A. (1985). "Reduced Instruction Set Computers." </w:t>
      </w:r>
      <w:r w:rsidRPr="002849BC">
        <w:rPr>
          <w:i/>
          <w:iCs/>
        </w:rPr>
        <w:t>Communications of the ACM</w:t>
      </w:r>
      <w:r w:rsidRPr="002849BC">
        <w:t>, 28(1), 8-21.</w:t>
      </w:r>
    </w:p>
    <w:p w14:paraId="1D2E81AC" w14:textId="77777777" w:rsidR="002849BC" w:rsidRPr="002849BC" w:rsidRDefault="002849BC" w:rsidP="002849BC">
      <w:pPr>
        <w:numPr>
          <w:ilvl w:val="0"/>
          <w:numId w:val="1"/>
        </w:numPr>
      </w:pPr>
      <w:r w:rsidRPr="002849BC">
        <w:t>Rojas, R., &amp; Hashagen, U. (2000). </w:t>
      </w:r>
      <w:r w:rsidRPr="002849BC">
        <w:rPr>
          <w:i/>
          <w:iCs/>
        </w:rPr>
        <w:t>The First Computers: History and Architectures</w:t>
      </w:r>
      <w:r w:rsidRPr="002849BC">
        <w:t>. MIT Press.</w:t>
      </w:r>
    </w:p>
    <w:p w14:paraId="1C316B0B" w14:textId="77777777" w:rsidR="002849BC" w:rsidRPr="002849BC" w:rsidRDefault="002849BC" w:rsidP="002849BC">
      <w:pPr>
        <w:numPr>
          <w:ilvl w:val="0"/>
          <w:numId w:val="1"/>
        </w:numPr>
      </w:pPr>
      <w:r w:rsidRPr="002849BC">
        <w:t>Schulze, H. (2019). "Semiconductor Manufacturing in the Nanoelectronics Era." </w:t>
      </w:r>
      <w:r w:rsidRPr="002849BC">
        <w:rPr>
          <w:i/>
          <w:iCs/>
        </w:rPr>
        <w:t>IEEE Transactions on Semiconductor Manufacturing</w:t>
      </w:r>
      <w:r w:rsidRPr="002849BC">
        <w:t>.</w:t>
      </w:r>
    </w:p>
    <w:p w14:paraId="2EE44A62" w14:textId="77777777" w:rsidR="002849BC" w:rsidRPr="002849BC" w:rsidRDefault="002849BC" w:rsidP="002849BC">
      <w:r w:rsidRPr="002849BC">
        <w:t>This essay provides an original synthesis of CPU evolution while adhering to academic conventions. Let me know if you require any refinements.</w:t>
      </w:r>
    </w:p>
    <w:p w14:paraId="0190B5D0" w14:textId="77777777" w:rsidR="00FF21B8" w:rsidRDefault="00FF21B8"/>
    <w:sectPr w:rsidR="00F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E0B2D"/>
    <w:multiLevelType w:val="multilevel"/>
    <w:tmpl w:val="D8A0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8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849BC"/>
    <w:rsid w:val="002849BC"/>
    <w:rsid w:val="00695D8A"/>
    <w:rsid w:val="007C1050"/>
    <w:rsid w:val="00872DBB"/>
    <w:rsid w:val="009078FE"/>
    <w:rsid w:val="00C15143"/>
    <w:rsid w:val="00EC56C5"/>
    <w:rsid w:val="00FF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34F0"/>
  <w15:chartTrackingRefBased/>
  <w15:docId w15:val="{6B5231C6-4CC0-4B32-9E52-E488F5A2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BC"/>
    <w:rPr>
      <w:rFonts w:eastAsiaTheme="majorEastAsia" w:cstheme="majorBidi"/>
      <w:color w:val="272727" w:themeColor="text1" w:themeTint="D8"/>
    </w:rPr>
  </w:style>
  <w:style w:type="paragraph" w:styleId="Title">
    <w:name w:val="Title"/>
    <w:basedOn w:val="Normal"/>
    <w:next w:val="Normal"/>
    <w:link w:val="TitleChar"/>
    <w:uiPriority w:val="10"/>
    <w:qFormat/>
    <w:rsid w:val="00284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BC"/>
    <w:pPr>
      <w:spacing w:before="160"/>
      <w:jc w:val="center"/>
    </w:pPr>
    <w:rPr>
      <w:i/>
      <w:iCs/>
      <w:color w:val="404040" w:themeColor="text1" w:themeTint="BF"/>
    </w:rPr>
  </w:style>
  <w:style w:type="character" w:customStyle="1" w:styleId="QuoteChar">
    <w:name w:val="Quote Char"/>
    <w:basedOn w:val="DefaultParagraphFont"/>
    <w:link w:val="Quote"/>
    <w:uiPriority w:val="29"/>
    <w:rsid w:val="002849BC"/>
    <w:rPr>
      <w:i/>
      <w:iCs/>
      <w:color w:val="404040" w:themeColor="text1" w:themeTint="BF"/>
    </w:rPr>
  </w:style>
  <w:style w:type="paragraph" w:styleId="ListParagraph">
    <w:name w:val="List Paragraph"/>
    <w:basedOn w:val="Normal"/>
    <w:uiPriority w:val="34"/>
    <w:qFormat/>
    <w:rsid w:val="002849BC"/>
    <w:pPr>
      <w:ind w:left="720"/>
      <w:contextualSpacing/>
    </w:pPr>
  </w:style>
  <w:style w:type="character" w:styleId="IntenseEmphasis">
    <w:name w:val="Intense Emphasis"/>
    <w:basedOn w:val="DefaultParagraphFont"/>
    <w:uiPriority w:val="21"/>
    <w:qFormat/>
    <w:rsid w:val="002849BC"/>
    <w:rPr>
      <w:i/>
      <w:iCs/>
      <w:color w:val="0F4761" w:themeColor="accent1" w:themeShade="BF"/>
    </w:rPr>
  </w:style>
  <w:style w:type="paragraph" w:styleId="IntenseQuote">
    <w:name w:val="Intense Quote"/>
    <w:basedOn w:val="Normal"/>
    <w:next w:val="Normal"/>
    <w:link w:val="IntenseQuoteChar"/>
    <w:uiPriority w:val="30"/>
    <w:qFormat/>
    <w:rsid w:val="00284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9BC"/>
    <w:rPr>
      <w:i/>
      <w:iCs/>
      <w:color w:val="0F4761" w:themeColor="accent1" w:themeShade="BF"/>
    </w:rPr>
  </w:style>
  <w:style w:type="character" w:styleId="IntenseReference">
    <w:name w:val="Intense Reference"/>
    <w:basedOn w:val="DefaultParagraphFont"/>
    <w:uiPriority w:val="32"/>
    <w:qFormat/>
    <w:rsid w:val="00284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Elemer Boros</dc:creator>
  <cp:keywords/>
  <dc:description/>
  <cp:lastModifiedBy>Norbert Elemer Boros</cp:lastModifiedBy>
  <cp:revision>1</cp:revision>
  <dcterms:created xsi:type="dcterms:W3CDTF">2025-07-31T08:55:00Z</dcterms:created>
  <dcterms:modified xsi:type="dcterms:W3CDTF">2025-07-31T08:56:00Z</dcterms:modified>
</cp:coreProperties>
</file>