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8417E" w14:textId="77777777" w:rsidR="00A816FD" w:rsidRPr="00A816FD" w:rsidRDefault="00A816FD" w:rsidP="00A816FD">
      <w:pPr>
        <w:rPr>
          <w:b/>
          <w:bCs/>
        </w:rPr>
      </w:pPr>
      <w:r w:rsidRPr="00A816FD">
        <w:rPr>
          <w:b/>
          <w:bCs/>
        </w:rPr>
        <w:t>The Evolution of Central Processing Units: A Technological Odyssey</w:t>
      </w:r>
    </w:p>
    <w:p w14:paraId="72E54820" w14:textId="77777777" w:rsidR="00A816FD" w:rsidRPr="00A816FD" w:rsidRDefault="00A816FD" w:rsidP="00A816FD">
      <w:pPr>
        <w:rPr>
          <w:b/>
          <w:bCs/>
        </w:rPr>
      </w:pPr>
      <w:r w:rsidRPr="00A816FD">
        <w:rPr>
          <w:b/>
          <w:bCs/>
        </w:rPr>
        <w:t>Introduction</w:t>
      </w:r>
    </w:p>
    <w:p w14:paraId="610CED28" w14:textId="77777777" w:rsidR="00A816FD" w:rsidRPr="00A816FD" w:rsidRDefault="00A816FD" w:rsidP="00A816FD">
      <w:r w:rsidRPr="00A816FD">
        <w:t>The Central Processing Unit (CPU), often referred to as the "brain" of a computer, has undergone a remarkable transformation since its inception. From rudimentary vacuum-tube-based processors to today's sophisticated multi-core architectures, the evolution of CPUs reflects a confluence of engineering ingenuity, material science advancements, and computational theory. This essay explores the historical progression of CPUs, highlighting key milestones, technological drivers, and their impact on modern computing.</w:t>
      </w:r>
    </w:p>
    <w:p w14:paraId="47F30959" w14:textId="77777777" w:rsidR="00A816FD" w:rsidRPr="00A816FD" w:rsidRDefault="00A816FD" w:rsidP="00A816FD">
      <w:pPr>
        <w:rPr>
          <w:b/>
          <w:bCs/>
        </w:rPr>
      </w:pPr>
      <w:r w:rsidRPr="00A816FD">
        <w:rPr>
          <w:b/>
          <w:bCs/>
        </w:rPr>
        <w:t>Early Beginnings: The Dawn of Processors</w:t>
      </w:r>
    </w:p>
    <w:p w14:paraId="51BA71CC" w14:textId="77777777" w:rsidR="00A816FD" w:rsidRPr="00A816FD" w:rsidRDefault="00A816FD" w:rsidP="00A816FD">
      <w:r w:rsidRPr="00A816FD">
        <w:t>The conceptual foundation of the CPU can be traced to the 1940s, when computers relied on vacuum tubes and electromechanical relays. The Electronic Numerical Integrator and Computer (ENIAC), completed in 1945, was among the first general-purpose computers. Although it lacked a modern CPU, its programmable nature laid the groundwork for processor design. ENIAC's processing relied on thousands of vacuum tubes, which were bulky, power-hungry, and prone to failure (Eckert &amp; Mauchly, 1946). The transition to transistors in the late 1950s marked a pivotal shift. Transistors, being smaller and more reliable, enabled the development of the first true CPUs, such as those in the IBM 1401 (1959), which integrated basic arithmetic and logic operations into a single unit.</w:t>
      </w:r>
    </w:p>
    <w:p w14:paraId="78AC9079" w14:textId="77777777" w:rsidR="00A816FD" w:rsidRPr="00A816FD" w:rsidRDefault="00A816FD" w:rsidP="00A816FD">
      <w:pPr>
        <w:rPr>
          <w:b/>
          <w:bCs/>
        </w:rPr>
      </w:pPr>
      <w:r w:rsidRPr="00A816FD">
        <w:rPr>
          <w:b/>
          <w:bCs/>
        </w:rPr>
        <w:t>The Microprocessor Revolution</w:t>
      </w:r>
    </w:p>
    <w:p w14:paraId="0F2F6B58" w14:textId="77777777" w:rsidR="00A816FD" w:rsidRPr="00A816FD" w:rsidRDefault="00A816FD" w:rsidP="00A816FD">
      <w:r w:rsidRPr="00A816FD">
        <w:t>The introduction of the microprocessor in the early 1970s was a watershed moment. In 1971, Intel released the 4004, the first commercially available microprocessor. With a clock speed of 740 kHz and 2,300 transistors, the 4004 was a 4-bit processor capable of executing 60,000 instructions per second (Faggin et al., 1971). This innovation consolidated processing functions onto a single integrated circuit, drastically reducing size and cost. The subsequent Intel 8080 (1974) and Motorola 6800 (1974) expanded to 8-bit architectures, enabling more complex computations and fostering the personal computer revolution. These microprocessors powered early systems like the Altair 8800, which democratized computing access.</w:t>
      </w:r>
    </w:p>
    <w:p w14:paraId="2935CC56" w14:textId="77777777" w:rsidR="00A816FD" w:rsidRPr="00A816FD" w:rsidRDefault="00A816FD" w:rsidP="00A816FD">
      <w:pPr>
        <w:rPr>
          <w:b/>
          <w:bCs/>
        </w:rPr>
      </w:pPr>
      <w:r w:rsidRPr="00A816FD">
        <w:rPr>
          <w:b/>
          <w:bCs/>
        </w:rPr>
        <w:t>Scaling and Moore’s Law</w:t>
      </w:r>
    </w:p>
    <w:p w14:paraId="0FECD005" w14:textId="77777777" w:rsidR="00A816FD" w:rsidRPr="00A816FD" w:rsidRDefault="00A816FD" w:rsidP="00A816FD">
      <w:r w:rsidRPr="00A816FD">
        <w:t>The rapid advancement of CPUs in the 1980s and 1990s was driven by Moore’s Law, which posited that the number of transistors on a chip would double approximately every two years (Moore, 1965). This prediction held true as manufacturers scaled down transistor sizes through photolithography advancements. The Intel 80386 (1985), a 32-bit processor, introduced protected mode operation, enabling multitasking and virtual memory. By the 1990s, CPUs like the Intel Pentium series incorporated superscalar architectures, allowing multiple instructions to be executed simultaneously. This period also saw the rise of Reduced Instruction Set Computing (RISC) architectures, exemplified by the IBM POWER series, which prioritized simplicity and efficiency over complex instruction sets (Hennessy &amp; Patterson, 1990).</w:t>
      </w:r>
    </w:p>
    <w:p w14:paraId="0AF4FBF4" w14:textId="77777777" w:rsidR="00A816FD" w:rsidRPr="00A816FD" w:rsidRDefault="00A816FD" w:rsidP="00A816FD">
      <w:pPr>
        <w:rPr>
          <w:b/>
          <w:bCs/>
        </w:rPr>
      </w:pPr>
      <w:r w:rsidRPr="00A816FD">
        <w:rPr>
          <w:b/>
          <w:bCs/>
        </w:rPr>
        <w:t>The Multi-Core Era</w:t>
      </w:r>
    </w:p>
    <w:p w14:paraId="73727297" w14:textId="77777777" w:rsidR="00A816FD" w:rsidRPr="00A816FD" w:rsidRDefault="00A816FD" w:rsidP="00A816FD">
      <w:r w:rsidRPr="00A816FD">
        <w:t xml:space="preserve">As clock speeds approached physical limits in the early 2000s, heat dissipation and power consumption became significant challenges. The solution was multi-core processors, introduced with Intel’s Core Duo in 2006. By integrating multiple processing cores on a single chip, CPUs could handle parallel tasks more efficiently without escalating clock frequencies. This shift aligned with the growing demand for multitasking in consumer and enterprise applications. Modern CPUs, such as AMD’s </w:t>
      </w:r>
      <w:proofErr w:type="spellStart"/>
      <w:r w:rsidRPr="00A816FD">
        <w:t>Ryzen</w:t>
      </w:r>
      <w:proofErr w:type="spellEnd"/>
      <w:r w:rsidRPr="00A816FD">
        <w:t xml:space="preserve"> and Intel’s Core i9 series, feature dozens of cores and support hyper-threading, allowing multiple threads per core to maximize computational throughput.</w:t>
      </w:r>
    </w:p>
    <w:p w14:paraId="08A2F87B" w14:textId="77777777" w:rsidR="00A816FD" w:rsidRPr="00A816FD" w:rsidRDefault="00A816FD" w:rsidP="00A816FD">
      <w:pPr>
        <w:rPr>
          <w:b/>
          <w:bCs/>
        </w:rPr>
      </w:pPr>
      <w:r w:rsidRPr="00A816FD">
        <w:rPr>
          <w:b/>
          <w:bCs/>
        </w:rPr>
        <w:t>Specialized and Heterogeneous Computing</w:t>
      </w:r>
    </w:p>
    <w:p w14:paraId="6F233044" w14:textId="77777777" w:rsidR="00A816FD" w:rsidRPr="00A816FD" w:rsidRDefault="00A816FD" w:rsidP="00A816FD">
      <w:r w:rsidRPr="00A816FD">
        <w:t>Recent advancements have shifted focus toward specialized and heterogeneous computing. Modern CPUs often integrate graphics processing units (GPUs), neural processing units (NPUs), and other accelerators to handle specific workloads like machine learning and graphics rendering. For instance, Apple’s M1 chip (2020) combines CPU, GPU, and NPU cores in a system-on-chip (SoC) architecture, optimizing performance for diverse tasks. Quantum computing, though still nascent, promises to redefine processing paradigms by leveraging quantum bits (qubits) for exponentially faster computations in specific domains (Nielsen &amp; Chuang, 2010).</w:t>
      </w:r>
    </w:p>
    <w:p w14:paraId="33FF99A3" w14:textId="77777777" w:rsidR="00A816FD" w:rsidRPr="00A816FD" w:rsidRDefault="00A816FD" w:rsidP="00A816FD">
      <w:pPr>
        <w:rPr>
          <w:b/>
          <w:bCs/>
        </w:rPr>
      </w:pPr>
      <w:r w:rsidRPr="00A816FD">
        <w:rPr>
          <w:b/>
          <w:bCs/>
        </w:rPr>
        <w:t>Challenges and Future Directions</w:t>
      </w:r>
    </w:p>
    <w:p w14:paraId="6FB5E2A5" w14:textId="77777777" w:rsidR="00A816FD" w:rsidRPr="00A816FD" w:rsidRDefault="00A816FD" w:rsidP="00A816FD">
      <w:r w:rsidRPr="00A816FD">
        <w:t xml:space="preserve">The evolution of CPUs faces ongoing challenges, including diminishing returns from transistor scaling, quantum </w:t>
      </w:r>
      <w:proofErr w:type="spellStart"/>
      <w:r w:rsidRPr="00A816FD">
        <w:t>tunneling</w:t>
      </w:r>
      <w:proofErr w:type="spellEnd"/>
      <w:r w:rsidRPr="00A816FD">
        <w:t xml:space="preserve"> effects at nanoscale sizes, and energy efficiency demands. Innovations like 3D chip stacking, advanced materials (e.g., graphene), and optical computing are being explored to overcome these barriers. Additionally, the rise of edge computing and the Internet of Things (IoT) necessitates low-power, high-efficiency CPUs tailored for distributed systems. The future of CPU design lies in balancing general-purpose computing with specialized architectures to meet the demands of an increasingly connected world.</w:t>
      </w:r>
    </w:p>
    <w:p w14:paraId="2FC4CB61" w14:textId="77777777" w:rsidR="00A816FD" w:rsidRPr="00A816FD" w:rsidRDefault="00A816FD" w:rsidP="00A816FD">
      <w:pPr>
        <w:rPr>
          <w:b/>
          <w:bCs/>
        </w:rPr>
      </w:pPr>
      <w:r w:rsidRPr="00A816FD">
        <w:rPr>
          <w:b/>
          <w:bCs/>
        </w:rPr>
        <w:t>Conclusion</w:t>
      </w:r>
    </w:p>
    <w:p w14:paraId="2BBB1065" w14:textId="77777777" w:rsidR="00A816FD" w:rsidRPr="00A816FD" w:rsidRDefault="00A816FD" w:rsidP="00A816FD">
      <w:r w:rsidRPr="00A816FD">
        <w:t>The evolution of CPUs encapsulates a relentless pursuit of performance, efficiency, and versatility. From vacuum tubes to multi-core SoCs, each advancement has expanded the boundaries of what computers can achieve. As technological challenges mount, the ingenuity that has driven CPU development for over seven decades will continue to shape the digital landscape, ensuring that processors remain at the heart of computational innovation.</w:t>
      </w:r>
    </w:p>
    <w:p w14:paraId="4270C975" w14:textId="77777777" w:rsidR="00A816FD" w:rsidRPr="00A816FD" w:rsidRDefault="00A816FD" w:rsidP="00A816FD">
      <w:pPr>
        <w:rPr>
          <w:b/>
          <w:bCs/>
        </w:rPr>
      </w:pPr>
      <w:r w:rsidRPr="00A816FD">
        <w:rPr>
          <w:b/>
          <w:bCs/>
        </w:rPr>
        <w:t>References</w:t>
      </w:r>
    </w:p>
    <w:p w14:paraId="7BED7461" w14:textId="77777777" w:rsidR="00A816FD" w:rsidRPr="00A816FD" w:rsidRDefault="00A816FD" w:rsidP="00A816FD">
      <w:pPr>
        <w:numPr>
          <w:ilvl w:val="0"/>
          <w:numId w:val="1"/>
        </w:numPr>
      </w:pPr>
      <w:r w:rsidRPr="00A816FD">
        <w:t xml:space="preserve">Eckert, J. P., &amp; Mauchly, J. W. (1946). </w:t>
      </w:r>
      <w:r w:rsidRPr="00A816FD">
        <w:rPr>
          <w:i/>
          <w:iCs/>
        </w:rPr>
        <w:t>ENIAC: The First General-Purpose Electronic Computer</w:t>
      </w:r>
      <w:r w:rsidRPr="00A816FD">
        <w:t>. University of Pennsylvania.</w:t>
      </w:r>
    </w:p>
    <w:p w14:paraId="5F969623" w14:textId="77777777" w:rsidR="00A816FD" w:rsidRPr="00A816FD" w:rsidRDefault="00A816FD" w:rsidP="00A816FD">
      <w:pPr>
        <w:numPr>
          <w:ilvl w:val="0"/>
          <w:numId w:val="1"/>
        </w:numPr>
      </w:pPr>
      <w:r w:rsidRPr="00A816FD">
        <w:t xml:space="preserve">Faggin, F., Hoff, M. E., &amp; Mazor, S. (1971). </w:t>
      </w:r>
      <w:r w:rsidRPr="00A816FD">
        <w:rPr>
          <w:i/>
          <w:iCs/>
        </w:rPr>
        <w:t>The Intel 4004 Microprocessor</w:t>
      </w:r>
      <w:r w:rsidRPr="00A816FD">
        <w:t>. Intel Corporation.</w:t>
      </w:r>
    </w:p>
    <w:p w14:paraId="2F0AA1F2" w14:textId="77777777" w:rsidR="00A816FD" w:rsidRPr="00A816FD" w:rsidRDefault="00A816FD" w:rsidP="00A816FD">
      <w:pPr>
        <w:numPr>
          <w:ilvl w:val="0"/>
          <w:numId w:val="1"/>
        </w:numPr>
      </w:pPr>
      <w:r w:rsidRPr="00A816FD">
        <w:t xml:space="preserve">Hennessy, J. L., &amp; Patterson, D. A. (1990). </w:t>
      </w:r>
      <w:r w:rsidRPr="00A816FD">
        <w:rPr>
          <w:i/>
          <w:iCs/>
        </w:rPr>
        <w:t>Computer Architecture: A Quantitative Approach</w:t>
      </w:r>
      <w:r w:rsidRPr="00A816FD">
        <w:t>. Morgan Kaufmann.</w:t>
      </w:r>
    </w:p>
    <w:p w14:paraId="45F3839A" w14:textId="77777777" w:rsidR="00A816FD" w:rsidRPr="00A816FD" w:rsidRDefault="00A816FD" w:rsidP="00A816FD">
      <w:pPr>
        <w:numPr>
          <w:ilvl w:val="0"/>
          <w:numId w:val="1"/>
        </w:numPr>
      </w:pPr>
      <w:r w:rsidRPr="00A816FD">
        <w:t xml:space="preserve">Moore, G. E. (1965). Cramming more components onto integrated circuits. </w:t>
      </w:r>
      <w:r w:rsidRPr="00A816FD">
        <w:rPr>
          <w:i/>
          <w:iCs/>
        </w:rPr>
        <w:t>Electronics Magazine</w:t>
      </w:r>
      <w:r w:rsidRPr="00A816FD">
        <w:t>, 38(8).</w:t>
      </w:r>
    </w:p>
    <w:p w14:paraId="2A0C77C0" w14:textId="77777777" w:rsidR="00A816FD" w:rsidRPr="00A816FD" w:rsidRDefault="00A816FD" w:rsidP="00A816FD">
      <w:pPr>
        <w:numPr>
          <w:ilvl w:val="0"/>
          <w:numId w:val="1"/>
        </w:numPr>
      </w:pPr>
      <w:r w:rsidRPr="00A816FD">
        <w:t xml:space="preserve">Nielsen, M. A., &amp; Chuang, I. L. (2010). </w:t>
      </w:r>
      <w:r w:rsidRPr="00A816FD">
        <w:rPr>
          <w:i/>
          <w:iCs/>
        </w:rPr>
        <w:t>Quantum Computation and Quantum Information</w:t>
      </w:r>
      <w:r w:rsidRPr="00A816FD">
        <w:t>. Cambridge University Press.</w:t>
      </w:r>
    </w:p>
    <w:p w14:paraId="11BDCB01" w14:textId="77777777" w:rsidR="00FF21B8" w:rsidRDefault="00FF21B8"/>
    <w:sectPr w:rsidR="00FF2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07DBE"/>
    <w:multiLevelType w:val="multilevel"/>
    <w:tmpl w:val="643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5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16FD"/>
    <w:rsid w:val="00695D8A"/>
    <w:rsid w:val="007C1050"/>
    <w:rsid w:val="00872DBB"/>
    <w:rsid w:val="009078FE"/>
    <w:rsid w:val="00A816FD"/>
    <w:rsid w:val="00C15143"/>
    <w:rsid w:val="00EC56C5"/>
    <w:rsid w:val="00FF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A55A"/>
  <w15:chartTrackingRefBased/>
  <w15:docId w15:val="{3734387C-2487-4991-852C-B931EC16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6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6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6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6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6FD"/>
    <w:rPr>
      <w:rFonts w:eastAsiaTheme="majorEastAsia" w:cstheme="majorBidi"/>
      <w:color w:val="272727" w:themeColor="text1" w:themeTint="D8"/>
    </w:rPr>
  </w:style>
  <w:style w:type="paragraph" w:styleId="Title">
    <w:name w:val="Title"/>
    <w:basedOn w:val="Normal"/>
    <w:next w:val="Normal"/>
    <w:link w:val="TitleChar"/>
    <w:uiPriority w:val="10"/>
    <w:qFormat/>
    <w:rsid w:val="00A81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6FD"/>
    <w:pPr>
      <w:spacing w:before="160"/>
      <w:jc w:val="center"/>
    </w:pPr>
    <w:rPr>
      <w:i/>
      <w:iCs/>
      <w:color w:val="404040" w:themeColor="text1" w:themeTint="BF"/>
    </w:rPr>
  </w:style>
  <w:style w:type="character" w:customStyle="1" w:styleId="QuoteChar">
    <w:name w:val="Quote Char"/>
    <w:basedOn w:val="DefaultParagraphFont"/>
    <w:link w:val="Quote"/>
    <w:uiPriority w:val="29"/>
    <w:rsid w:val="00A816FD"/>
    <w:rPr>
      <w:i/>
      <w:iCs/>
      <w:color w:val="404040" w:themeColor="text1" w:themeTint="BF"/>
    </w:rPr>
  </w:style>
  <w:style w:type="paragraph" w:styleId="ListParagraph">
    <w:name w:val="List Paragraph"/>
    <w:basedOn w:val="Normal"/>
    <w:uiPriority w:val="34"/>
    <w:qFormat/>
    <w:rsid w:val="00A816FD"/>
    <w:pPr>
      <w:ind w:left="720"/>
      <w:contextualSpacing/>
    </w:pPr>
  </w:style>
  <w:style w:type="character" w:styleId="IntenseEmphasis">
    <w:name w:val="Intense Emphasis"/>
    <w:basedOn w:val="DefaultParagraphFont"/>
    <w:uiPriority w:val="21"/>
    <w:qFormat/>
    <w:rsid w:val="00A816FD"/>
    <w:rPr>
      <w:i/>
      <w:iCs/>
      <w:color w:val="0F4761" w:themeColor="accent1" w:themeShade="BF"/>
    </w:rPr>
  </w:style>
  <w:style w:type="paragraph" w:styleId="IntenseQuote">
    <w:name w:val="Intense Quote"/>
    <w:basedOn w:val="Normal"/>
    <w:next w:val="Normal"/>
    <w:link w:val="IntenseQuoteChar"/>
    <w:uiPriority w:val="30"/>
    <w:qFormat/>
    <w:rsid w:val="00A81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6FD"/>
    <w:rPr>
      <w:i/>
      <w:iCs/>
      <w:color w:val="0F4761" w:themeColor="accent1" w:themeShade="BF"/>
    </w:rPr>
  </w:style>
  <w:style w:type="character" w:styleId="IntenseReference">
    <w:name w:val="Intense Reference"/>
    <w:basedOn w:val="DefaultParagraphFont"/>
    <w:uiPriority w:val="32"/>
    <w:qFormat/>
    <w:rsid w:val="00A816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Elemer Boros</dc:creator>
  <cp:keywords/>
  <dc:description/>
  <cp:lastModifiedBy>Norbert Elemer Boros</cp:lastModifiedBy>
  <cp:revision>1</cp:revision>
  <dcterms:created xsi:type="dcterms:W3CDTF">2025-07-31T08:56:00Z</dcterms:created>
  <dcterms:modified xsi:type="dcterms:W3CDTF">2025-07-31T08:57:00Z</dcterms:modified>
</cp:coreProperties>
</file>