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F84D3" w14:textId="77777777" w:rsidR="00ED73C9" w:rsidRPr="00ED73C9" w:rsidRDefault="00ED73C9" w:rsidP="00ED73C9">
      <w:r w:rsidRPr="00ED73C9">
        <w:t>The evolution of the Central Processing Unit (CPU) is a narrative of relentless innovation, driven by the dual pursuits of computational power and efficiency. More than just a story of shrinking transistors, it represents a continuous adaptation to fundamental physical limits and shifting application demands. The trajectory of the CPU has transitioned from a straightforward race for higher clock speeds to a sophisticated, multi-pronged strategy embracing parallelism, heterogeneity, and architectural specialization, fundamentally altering the landscape of computing.</w:t>
      </w:r>
    </w:p>
    <w:p w14:paraId="682770C3" w14:textId="77777777" w:rsidR="00ED73C9" w:rsidRPr="00ED73C9" w:rsidRDefault="00ED73C9" w:rsidP="00ED73C9">
      <w:r w:rsidRPr="00ED73C9">
        <w:pict w14:anchorId="4DA1EC9D">
          <v:rect id="_x0000_i1049" style="width:0;height:1.5pt" o:hralign="center" o:hrstd="t" o:hr="t" fillcolor="#a0a0a0" stroked="f"/>
        </w:pict>
      </w:r>
    </w:p>
    <w:p w14:paraId="4C1DC813" w14:textId="77777777" w:rsidR="00ED73C9" w:rsidRPr="00ED73C9" w:rsidRDefault="00ED73C9" w:rsidP="00ED73C9">
      <w:pPr>
        <w:rPr>
          <w:b/>
          <w:bCs/>
        </w:rPr>
      </w:pPr>
      <w:r w:rsidRPr="00ED73C9">
        <w:rPr>
          <w:b/>
          <w:bCs/>
        </w:rPr>
        <w:t>The Era of Scaling and Speed</w:t>
      </w:r>
    </w:p>
    <w:p w14:paraId="2D915593" w14:textId="77777777" w:rsidR="00ED73C9" w:rsidRPr="00ED73C9" w:rsidRDefault="00ED73C9" w:rsidP="00ED73C9">
      <w:r w:rsidRPr="00ED73C9">
        <w:t xml:space="preserve">The initial decades of the microprocessor, following the introduction of the Intel 4004 in 1971, were characterized by a predictable and exponential increase in performance. This period was governed by two key principles: </w:t>
      </w:r>
      <w:r w:rsidRPr="00ED73C9">
        <w:rPr>
          <w:b/>
          <w:bCs/>
        </w:rPr>
        <w:t>Moore's Law</w:t>
      </w:r>
      <w:r w:rsidRPr="00ED73C9">
        <w:t xml:space="preserve"> and </w:t>
      </w:r>
      <w:r w:rsidRPr="00ED73C9">
        <w:rPr>
          <w:b/>
          <w:bCs/>
        </w:rPr>
        <w:t>Dennard scaling</w:t>
      </w:r>
      <w:r w:rsidRPr="00ED73C9">
        <w:t>. Moore’s Law famously postulated that the number of transistors on an integrated circuit would double approximately every two years, leading to increased complexity and capability [1]. Concurrently, Dennard scaling observed that as transistors shrank, their power density remained constant, allowing clock frequencies to increase without a corresponding rise in power consumption and heat generation [2].</w:t>
      </w:r>
    </w:p>
    <w:p w14:paraId="3B8CA59F" w14:textId="77777777" w:rsidR="00ED73C9" w:rsidRPr="00ED73C9" w:rsidRDefault="00ED73C9" w:rsidP="00ED73C9">
      <w:r w:rsidRPr="00ED73C9">
        <w:t xml:space="preserve">This synergy created what was often termed the "free lunch" era. With each new generation, software would run significantly faster with no modification, as single-thread performance soared. CPU architects focused on extracting more </w:t>
      </w:r>
      <w:r w:rsidRPr="00ED73C9">
        <w:rPr>
          <w:b/>
          <w:bCs/>
        </w:rPr>
        <w:t>Instruction-Level Parallelism (ILP)</w:t>
      </w:r>
      <w:r w:rsidRPr="00ED73C9">
        <w:t xml:space="preserve"> from a single instruction stream. Innovations like </w:t>
      </w:r>
      <w:r w:rsidRPr="00ED73C9">
        <w:rPr>
          <w:b/>
          <w:bCs/>
        </w:rPr>
        <w:t>pipelining</w:t>
      </w:r>
      <w:r w:rsidRPr="00ED73C9">
        <w:t xml:space="preserve">, which breaks down instruction execution into stages, and </w:t>
      </w:r>
      <w:r w:rsidRPr="00ED73C9">
        <w:rPr>
          <w:b/>
          <w:bCs/>
        </w:rPr>
        <w:t>superscalar execution</w:t>
      </w:r>
      <w:r w:rsidRPr="00ED73C9">
        <w:t>, which allows multiple instructions to be dispatched simultaneously, became standard. On-chip caches were introduced and expanded to bridge the growing speed gap between the CPU and main memory. For nearly three decades, the primary metric of progress was clock speed, measured in megahertz and later gigahertz.</w:t>
      </w:r>
    </w:p>
    <w:p w14:paraId="1DBA879A" w14:textId="77777777" w:rsidR="00ED73C9" w:rsidRPr="00ED73C9" w:rsidRDefault="00ED73C9" w:rsidP="00ED73C9">
      <w:r w:rsidRPr="00ED73C9">
        <w:t>However, this paradigm was unsustainable. By the mid-2000s, Dennard scaling collapsed. As transistors shrank to the nanometre scale, quantum effects like electron tunnelling caused current leakage, even when transistors were in an 'off' state. The dynamic power consumption of a chip is proportional to its frequency, as described by the relationship P</w:t>
      </w:r>
      <w:r w:rsidRPr="00ED73C9">
        <w:rPr>
          <w:rFonts w:ascii="Cambria Math" w:hAnsi="Cambria Math" w:cs="Cambria Math"/>
        </w:rPr>
        <w:t>∝</w:t>
      </w:r>
      <w:r w:rsidRPr="00ED73C9">
        <w:t xml:space="preserve">CV2f, where C is capacitance, V is voltage, and f is frequency. Pushing frequencies higher resulted in an exponential increase in power density and heat, a problem that became known as the </w:t>
      </w:r>
      <w:r w:rsidRPr="00ED73C9">
        <w:rPr>
          <w:b/>
          <w:bCs/>
        </w:rPr>
        <w:t>"power wall"</w:t>
      </w:r>
      <w:r w:rsidRPr="00ED73C9">
        <w:t>. The industry had reached a thermal limit where further increases in clock speed were no longer practical. The free lunch was over.</w:t>
      </w:r>
    </w:p>
    <w:p w14:paraId="17F0D353" w14:textId="77777777" w:rsidR="00ED73C9" w:rsidRPr="00ED73C9" w:rsidRDefault="00ED73C9" w:rsidP="00ED73C9">
      <w:r w:rsidRPr="00ED73C9">
        <w:pict w14:anchorId="57FF31DA">
          <v:rect id="_x0000_i1050" style="width:0;height:1.5pt" o:hralign="center" o:hrstd="t" o:hr="t" fillcolor="#a0a0a0" stroked="f"/>
        </w:pict>
      </w:r>
    </w:p>
    <w:p w14:paraId="0CE7C95C" w14:textId="77777777" w:rsidR="00ED73C9" w:rsidRPr="00ED73C9" w:rsidRDefault="00ED73C9" w:rsidP="00ED73C9">
      <w:pPr>
        <w:rPr>
          <w:b/>
          <w:bCs/>
        </w:rPr>
      </w:pPr>
      <w:r w:rsidRPr="00ED73C9">
        <w:rPr>
          <w:b/>
          <w:bCs/>
        </w:rPr>
        <w:t>The Pivot to Parallelism</w:t>
      </w:r>
    </w:p>
    <w:p w14:paraId="3324765C" w14:textId="77777777" w:rsidR="00ED73C9" w:rsidRPr="00ED73C9" w:rsidRDefault="00ED73C9" w:rsidP="00ED73C9">
      <w:r w:rsidRPr="00ED73C9">
        <w:t xml:space="preserve">Confronted by the power wall, the industry made a historic pivot away from increasing single-core clock speeds and towards </w:t>
      </w:r>
      <w:r w:rsidRPr="00ED73C9">
        <w:rPr>
          <w:b/>
          <w:bCs/>
        </w:rPr>
        <w:t>parallelism</w:t>
      </w:r>
      <w:r w:rsidRPr="00ED73C9">
        <w:t>. Instead of designing one incredibly fast, power-hungry core, manufacturers began placing multiple, more power-efficient cores onto a single die. The advent of dual-core processors, such as the AMD Athlon 64 X2 and the Intel Core Duo, marked the dawn of the multi-core era. The strategy was simple: if you cannot make one core twice as fast, use two cores at the original speed to achieve a theoretical doubling of performance.</w:t>
      </w:r>
    </w:p>
    <w:p w14:paraId="18DD7A25" w14:textId="77777777" w:rsidR="00ED73C9" w:rsidRPr="00ED73C9" w:rsidRDefault="00ED73C9" w:rsidP="00ED73C9">
      <w:r w:rsidRPr="00ED73C9">
        <w:t xml:space="preserve">This shift transferred the burden of performance improvement from hardware engineers to software developers. To exploit the potential of multi-core CPUs, software had to be explicitly written to run in parallel. This proved to be a formidable challenge, as not all tasks are easily divisible. The theoretical performance gain of parallelisation is limited by the sequential portion of a program, a constraint formalised by </w:t>
      </w:r>
      <w:r w:rsidRPr="00ED73C9">
        <w:rPr>
          <w:b/>
          <w:bCs/>
        </w:rPr>
        <w:t>Amdahl's Law</w:t>
      </w:r>
      <w:r w:rsidRPr="00ED73C9">
        <w:t xml:space="preserve"> [3]. This law illustrates that even with an infinite number of processors, the maximum speedup is capped by the fraction of the code that cannot be parallelised. The transition to multi-core architectures thus catalysed a major evolution in programming models, languages, and tools designed to manage concurrent execution effectively.</w:t>
      </w:r>
    </w:p>
    <w:p w14:paraId="03A3A54D" w14:textId="77777777" w:rsidR="00ED73C9" w:rsidRPr="00ED73C9" w:rsidRDefault="00ED73C9" w:rsidP="00ED73C9">
      <w:r w:rsidRPr="00ED73C9">
        <w:pict w14:anchorId="74286AD5">
          <v:rect id="_x0000_i1051" style="width:0;height:1.5pt" o:hralign="center" o:hrstd="t" o:hr="t" fillcolor="#a0a0a0" stroked="f"/>
        </w:pict>
      </w:r>
    </w:p>
    <w:p w14:paraId="380935DE" w14:textId="77777777" w:rsidR="00ED73C9" w:rsidRPr="00ED73C9" w:rsidRDefault="00ED73C9" w:rsidP="00ED73C9">
      <w:pPr>
        <w:rPr>
          <w:b/>
          <w:bCs/>
        </w:rPr>
      </w:pPr>
      <w:r w:rsidRPr="00ED73C9">
        <w:rPr>
          <w:b/>
          <w:bCs/>
        </w:rPr>
        <w:t>The Age of Heterogeneity and Specialisation</w:t>
      </w:r>
    </w:p>
    <w:p w14:paraId="546456A5" w14:textId="77777777" w:rsidR="00ED73C9" w:rsidRPr="00ED73C9" w:rsidRDefault="00ED73C9" w:rsidP="00ED73C9">
      <w:r w:rsidRPr="00ED73C9">
        <w:t xml:space="preserve">The most recent phase in CPU evolution is defined by a move beyond homogenous multi-core designs towards </w:t>
      </w:r>
      <w:r w:rsidRPr="00ED73C9">
        <w:rPr>
          <w:b/>
          <w:bCs/>
        </w:rPr>
        <w:t>heterogeneous computing</w:t>
      </w:r>
      <w:r w:rsidRPr="00ED73C9">
        <w:t xml:space="preserve"> and </w:t>
      </w:r>
      <w:r w:rsidRPr="00ED73C9">
        <w:rPr>
          <w:b/>
          <w:bCs/>
        </w:rPr>
        <w:t>domain-specific acceleration</w:t>
      </w:r>
      <w:r w:rsidRPr="00ED73C9">
        <w:t xml:space="preserve">. Recognising that general-purpose cores are not optimally efficient for every task, modern processors, particularly System-on-a-Chip (SoC) designs for mobile devices, integrate different types of cores. ARM's </w:t>
      </w:r>
      <w:proofErr w:type="spellStart"/>
      <w:proofErr w:type="gramStart"/>
      <w:r w:rsidRPr="00ED73C9">
        <w:t>big.LITTLE</w:t>
      </w:r>
      <w:proofErr w:type="spellEnd"/>
      <w:proofErr w:type="gramEnd"/>
      <w:r w:rsidRPr="00ED73C9">
        <w:t xml:space="preserve"> architecture exemplifies this, combining high-performance "big" cores for intensive tasks with </w:t>
      </w:r>
      <w:proofErr w:type="gramStart"/>
      <w:r w:rsidRPr="00ED73C9">
        <w:t>high-efficiency</w:t>
      </w:r>
      <w:proofErr w:type="gramEnd"/>
      <w:r w:rsidRPr="00ED73C9">
        <w:t xml:space="preserve"> "little" cores for background processes, optimising for both performance and battery life.</w:t>
      </w:r>
    </w:p>
    <w:p w14:paraId="285CDF58" w14:textId="77777777" w:rsidR="00ED73C9" w:rsidRPr="00ED73C9" w:rsidRDefault="00ED73C9" w:rsidP="00ED73C9">
      <w:r w:rsidRPr="00ED73C9">
        <w:t xml:space="preserve">Furthermore, the rise of computationally demanding workloads like artificial intelligence, machine learning, and scientific simulation has spurred the development of </w:t>
      </w:r>
      <w:r w:rsidRPr="00ED73C9">
        <w:rPr>
          <w:b/>
          <w:bCs/>
        </w:rPr>
        <w:t>Domain-Specific Accelerators (DSAs)</w:t>
      </w:r>
      <w:r w:rsidRPr="00ED73C9">
        <w:t>. These are specialised hardware units designed to execute a narrow range of tasks with far greater performance and energy efficiency than a general-purpose CPU.</w:t>
      </w:r>
    </w:p>
    <w:p w14:paraId="0DF0FFEC" w14:textId="77777777" w:rsidR="00ED73C9" w:rsidRPr="00ED73C9" w:rsidRDefault="00ED73C9" w:rsidP="00ED73C9">
      <w:pPr>
        <w:numPr>
          <w:ilvl w:val="0"/>
          <w:numId w:val="1"/>
        </w:numPr>
      </w:pPr>
      <w:r w:rsidRPr="00ED73C9">
        <w:rPr>
          <w:b/>
          <w:bCs/>
        </w:rPr>
        <w:t>Graphics Processing Units (GPUs)</w:t>
      </w:r>
      <w:r w:rsidRPr="00ED73C9">
        <w:t>, initially designed for rendering graphics, have been repurposed for massively parallel tasks (GPGPU computing) due to their thousands of simple cores.</w:t>
      </w:r>
    </w:p>
    <w:p w14:paraId="7196C91D" w14:textId="77777777" w:rsidR="00ED73C9" w:rsidRPr="00ED73C9" w:rsidRDefault="00ED73C9" w:rsidP="00ED73C9">
      <w:pPr>
        <w:numPr>
          <w:ilvl w:val="0"/>
          <w:numId w:val="1"/>
        </w:numPr>
      </w:pPr>
      <w:r w:rsidRPr="00ED73C9">
        <w:rPr>
          <w:b/>
          <w:bCs/>
        </w:rPr>
        <w:t>Tensor Processing Units (TPUs)</w:t>
      </w:r>
      <w:r w:rsidRPr="00ED73C9">
        <w:t xml:space="preserve"> and </w:t>
      </w:r>
      <w:r w:rsidRPr="00ED73C9">
        <w:rPr>
          <w:b/>
          <w:bCs/>
        </w:rPr>
        <w:t>Neural Processing Units (NPUs)</w:t>
      </w:r>
      <w:r w:rsidRPr="00ED73C9">
        <w:t xml:space="preserve"> are Application-Specific Integrated Circuits (ASICs) created by companies like Google and Apple to accelerate the matrix and tensor operations at the heart of neural networks [4].</w:t>
      </w:r>
    </w:p>
    <w:p w14:paraId="40AE4935" w14:textId="77777777" w:rsidR="00ED73C9" w:rsidRPr="00ED73C9" w:rsidRDefault="00ED73C9" w:rsidP="00ED73C9">
      <w:pPr>
        <w:numPr>
          <w:ilvl w:val="0"/>
          <w:numId w:val="1"/>
        </w:numPr>
      </w:pPr>
      <w:r w:rsidRPr="00ED73C9">
        <w:t>Other accelerators, like Digital Signal Processors (DSPs) for audio processing and FPGAs for reconfigurable logic, are now commonly integrated alongside the main CPU.</w:t>
      </w:r>
    </w:p>
    <w:p w14:paraId="793B50D7" w14:textId="77777777" w:rsidR="00ED73C9" w:rsidRPr="00ED73C9" w:rsidRDefault="00ED73C9" w:rsidP="00ED73C9">
      <w:r w:rsidRPr="00ED73C9">
        <w:t>This trend signals a fragmentation of the classical CPU's role. The modern processor is becoming less of a solitary brain and more of a committee of experts, where a general-purpose core acts as a controller, delegating specialised tasks to the most efficient hardware available. This approach, driven by the slowing of Moore's Law and the need for continued performance gains, defines the current frontier. Looking forward, innovations in 3D chip stacking, new materials beyond silicon, and entirely new paradigms like quantum and neuromorphic computing promise to continue this remarkable evolutionary journey, ensuring the CPU and its descendants remain at the heart of technological progress.</w:t>
      </w:r>
    </w:p>
    <w:p w14:paraId="73993918" w14:textId="77777777" w:rsidR="00ED73C9" w:rsidRPr="00ED73C9" w:rsidRDefault="00ED73C9" w:rsidP="00ED73C9">
      <w:r w:rsidRPr="00ED73C9">
        <w:pict w14:anchorId="4D976A22">
          <v:rect id="_x0000_i1052" style="width:0;height:1.5pt" o:hralign="center" o:hrstd="t" o:hr="t" fillcolor="#a0a0a0" stroked="f"/>
        </w:pict>
      </w:r>
    </w:p>
    <w:p w14:paraId="58304AA0" w14:textId="77777777" w:rsidR="00ED73C9" w:rsidRPr="00ED73C9" w:rsidRDefault="00ED73C9" w:rsidP="00ED73C9">
      <w:pPr>
        <w:rPr>
          <w:b/>
          <w:bCs/>
        </w:rPr>
      </w:pPr>
      <w:r w:rsidRPr="00ED73C9">
        <w:rPr>
          <w:b/>
          <w:bCs/>
        </w:rPr>
        <w:t>References</w:t>
      </w:r>
    </w:p>
    <w:p w14:paraId="4FABAE2C" w14:textId="77777777" w:rsidR="00ED73C9" w:rsidRPr="00ED73C9" w:rsidRDefault="00ED73C9" w:rsidP="00ED73C9">
      <w:r w:rsidRPr="00ED73C9">
        <w:t xml:space="preserve">[1] Moore, G. E. (1965). Cramming more components onto integrated circuits. </w:t>
      </w:r>
      <w:r w:rsidRPr="00ED73C9">
        <w:rPr>
          <w:i/>
          <w:iCs/>
        </w:rPr>
        <w:t>Electronics</w:t>
      </w:r>
      <w:r w:rsidRPr="00ED73C9">
        <w:t xml:space="preserve">, </w:t>
      </w:r>
      <w:r w:rsidRPr="00ED73C9">
        <w:rPr>
          <w:i/>
          <w:iCs/>
        </w:rPr>
        <w:t>38</w:t>
      </w:r>
      <w:r w:rsidRPr="00ED73C9">
        <w:t>(8), 114-117.</w:t>
      </w:r>
    </w:p>
    <w:p w14:paraId="0845A3DB" w14:textId="77777777" w:rsidR="00ED73C9" w:rsidRPr="00ED73C9" w:rsidRDefault="00ED73C9" w:rsidP="00ED73C9">
      <w:r w:rsidRPr="00ED73C9">
        <w:t xml:space="preserve">[2] Dennard, R. H., Gaensslen, F. H., Yu, H. N., Rideout, V. L., </w:t>
      </w:r>
      <w:proofErr w:type="spellStart"/>
      <w:r w:rsidRPr="00ED73C9">
        <w:t>Bassous</w:t>
      </w:r>
      <w:proofErr w:type="spellEnd"/>
      <w:r w:rsidRPr="00ED73C9">
        <w:t xml:space="preserve">, E., &amp; LeBlanc, A. R. (1974). Design of ion-implanted MOSFET's with very small physical dimensions. </w:t>
      </w:r>
      <w:r w:rsidRPr="00ED73C9">
        <w:rPr>
          <w:i/>
          <w:iCs/>
        </w:rPr>
        <w:t>IEEE Journal of Solid-State Circuits</w:t>
      </w:r>
      <w:r w:rsidRPr="00ED73C9">
        <w:t xml:space="preserve">, </w:t>
      </w:r>
      <w:r w:rsidRPr="00ED73C9">
        <w:rPr>
          <w:i/>
          <w:iCs/>
        </w:rPr>
        <w:t>9</w:t>
      </w:r>
      <w:r w:rsidRPr="00ED73C9">
        <w:t>(5), 256-268.</w:t>
      </w:r>
    </w:p>
    <w:p w14:paraId="72ABC22D" w14:textId="77777777" w:rsidR="00ED73C9" w:rsidRPr="00ED73C9" w:rsidRDefault="00ED73C9" w:rsidP="00ED73C9">
      <w:r w:rsidRPr="00ED73C9">
        <w:t xml:space="preserve">[3] Amdahl, G. M. (1967). Validity of the single processor approach to achieving large scale computing capabilities. In </w:t>
      </w:r>
      <w:r w:rsidRPr="00ED73C9">
        <w:rPr>
          <w:i/>
          <w:iCs/>
        </w:rPr>
        <w:t>AFIPS Conference Proceedings</w:t>
      </w:r>
      <w:r w:rsidRPr="00ED73C9">
        <w:t xml:space="preserve"> (Vol. 30, pp. 483-485).</w:t>
      </w:r>
    </w:p>
    <w:p w14:paraId="42452C56" w14:textId="77777777" w:rsidR="00ED73C9" w:rsidRPr="00ED73C9" w:rsidRDefault="00ED73C9" w:rsidP="00ED73C9">
      <w:r w:rsidRPr="00ED73C9">
        <w:t>[4] Jouppi, N. P., et al. (2017). In-</w:t>
      </w:r>
      <w:proofErr w:type="spellStart"/>
      <w:r w:rsidRPr="00ED73C9">
        <w:t>datacenter</w:t>
      </w:r>
      <w:proofErr w:type="spellEnd"/>
      <w:r w:rsidRPr="00ED73C9">
        <w:t xml:space="preserve"> performance analysis of a tensor processing unit. In </w:t>
      </w:r>
      <w:r w:rsidRPr="00ED73C9">
        <w:rPr>
          <w:i/>
          <w:iCs/>
        </w:rPr>
        <w:t>Proceedings of the 44th Annual International Symposium on Computer Architecture</w:t>
      </w:r>
      <w:r w:rsidRPr="00ED73C9">
        <w:t xml:space="preserve"> (pp. 1-12). ACM.</w:t>
      </w:r>
    </w:p>
    <w:p w14:paraId="31DBDEC3" w14:textId="77777777" w:rsidR="00FF21B8" w:rsidRDefault="00FF21B8"/>
    <w:sectPr w:rsidR="00FF2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94861"/>
    <w:multiLevelType w:val="multilevel"/>
    <w:tmpl w:val="FC0A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38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73C9"/>
    <w:rsid w:val="00695D8A"/>
    <w:rsid w:val="007C1050"/>
    <w:rsid w:val="00872DBB"/>
    <w:rsid w:val="009078FE"/>
    <w:rsid w:val="00C15143"/>
    <w:rsid w:val="00EC56C5"/>
    <w:rsid w:val="00ED73C9"/>
    <w:rsid w:val="00FF2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C957"/>
  <w15:chartTrackingRefBased/>
  <w15:docId w15:val="{74329293-706C-4536-9B99-9CA6084F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3C9"/>
    <w:rPr>
      <w:rFonts w:eastAsiaTheme="majorEastAsia" w:cstheme="majorBidi"/>
      <w:color w:val="272727" w:themeColor="text1" w:themeTint="D8"/>
    </w:rPr>
  </w:style>
  <w:style w:type="paragraph" w:styleId="Title">
    <w:name w:val="Title"/>
    <w:basedOn w:val="Normal"/>
    <w:next w:val="Normal"/>
    <w:link w:val="TitleChar"/>
    <w:uiPriority w:val="10"/>
    <w:qFormat/>
    <w:rsid w:val="00ED7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3C9"/>
    <w:pPr>
      <w:spacing w:before="160"/>
      <w:jc w:val="center"/>
    </w:pPr>
    <w:rPr>
      <w:i/>
      <w:iCs/>
      <w:color w:val="404040" w:themeColor="text1" w:themeTint="BF"/>
    </w:rPr>
  </w:style>
  <w:style w:type="character" w:customStyle="1" w:styleId="QuoteChar">
    <w:name w:val="Quote Char"/>
    <w:basedOn w:val="DefaultParagraphFont"/>
    <w:link w:val="Quote"/>
    <w:uiPriority w:val="29"/>
    <w:rsid w:val="00ED73C9"/>
    <w:rPr>
      <w:i/>
      <w:iCs/>
      <w:color w:val="404040" w:themeColor="text1" w:themeTint="BF"/>
    </w:rPr>
  </w:style>
  <w:style w:type="paragraph" w:styleId="ListParagraph">
    <w:name w:val="List Paragraph"/>
    <w:basedOn w:val="Normal"/>
    <w:uiPriority w:val="34"/>
    <w:qFormat/>
    <w:rsid w:val="00ED73C9"/>
    <w:pPr>
      <w:ind w:left="720"/>
      <w:contextualSpacing/>
    </w:pPr>
  </w:style>
  <w:style w:type="character" w:styleId="IntenseEmphasis">
    <w:name w:val="Intense Emphasis"/>
    <w:basedOn w:val="DefaultParagraphFont"/>
    <w:uiPriority w:val="21"/>
    <w:qFormat/>
    <w:rsid w:val="00ED73C9"/>
    <w:rPr>
      <w:i/>
      <w:iCs/>
      <w:color w:val="0F4761" w:themeColor="accent1" w:themeShade="BF"/>
    </w:rPr>
  </w:style>
  <w:style w:type="paragraph" w:styleId="IntenseQuote">
    <w:name w:val="Intense Quote"/>
    <w:basedOn w:val="Normal"/>
    <w:next w:val="Normal"/>
    <w:link w:val="IntenseQuoteChar"/>
    <w:uiPriority w:val="30"/>
    <w:qFormat/>
    <w:rsid w:val="00ED7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3C9"/>
    <w:rPr>
      <w:i/>
      <w:iCs/>
      <w:color w:val="0F4761" w:themeColor="accent1" w:themeShade="BF"/>
    </w:rPr>
  </w:style>
  <w:style w:type="character" w:styleId="IntenseReference">
    <w:name w:val="Intense Reference"/>
    <w:basedOn w:val="DefaultParagraphFont"/>
    <w:uiPriority w:val="32"/>
    <w:qFormat/>
    <w:rsid w:val="00ED73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Elemer Boros</dc:creator>
  <cp:keywords/>
  <dc:description/>
  <cp:lastModifiedBy>Norbert Elemer Boros</cp:lastModifiedBy>
  <cp:revision>1</cp:revision>
  <dcterms:created xsi:type="dcterms:W3CDTF">2025-07-31T08:56:00Z</dcterms:created>
  <dcterms:modified xsi:type="dcterms:W3CDTF">2025-07-31T08:56:00Z</dcterms:modified>
</cp:coreProperties>
</file>