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실제 Backend 기반 인프라 사용량 측정·환산 보고서</w:t>
      </w:r>
    </w:p>
    <w:p>
      <w:pPr>
        <w:jc w:val="center"/>
      </w:pPr>
      <w:r>
        <w:t>측정시각 2026-09-05T17:16:38.579523+00:00</w:t>
        <w:br/>
        <w:t>대상 https://ssd-be.onrender.com</w:t>
      </w:r>
    </w:p>
    <w:p>
      <w:pPr>
        <w:pStyle w:val="Heading1"/>
      </w:pPr>
      <w:r>
        <w:t>1. 실험 결론</w:t>
      </w:r>
    </w:p>
    <w:p>
      <w:pPr>
        <w:pStyle w:val="ListBullet"/>
      </w:pPr>
      <w:r>
        <w:t>실제 읽기 API 10종 × 20회(총 200회)는 모두 성공했다. 이번 측정에서 구매 생성 및 GPT 외부 호출은 0회다.</w:t>
      </w:r>
    </w:p>
    <w:p>
      <w:pPr>
        <w:pStyle w:val="ListBullet"/>
      </w:pPr>
      <w:r>
        <w:t>거래 1건이 전체 요청의 1%라는 가정이므로 거래 1건당 전체 요청 100건으로 환산했다.</w:t>
      </w:r>
    </w:p>
    <w:p>
      <w:pPr>
        <w:pStyle w:val="ListBullet"/>
      </w:pPr>
      <w:r>
        <w:t>보수적인 월간 거래건수 해석(B안) 3년차 피크도 6.16 RPS로, 과거 혼합 부하 실험 처리량 약 35 RPS보다 낮다.</w:t>
      </w:r>
    </w:p>
    <w:p>
      <w:pPr>
        <w:pStyle w:val="ListBullet"/>
      </w:pPr>
      <w:r>
        <w:t>현재 규모에서는 트래픽 종량비보다 서버·DB 고정요금과 무료 DB 제약이 더 중요한 비용 요인이다.</w:t>
      </w:r>
    </w:p>
    <w:p>
      <w:pPr>
        <w:pStyle w:val="Heading1"/>
      </w:pPr>
      <w:r>
        <w:t>2. 측정 신뢰도 구분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등급</w:t>
            </w:r>
          </w:p>
        </w:tc>
        <w:tc>
          <w:tcPr>
            <w:tcW w:type="dxa" w:w="4320"/>
          </w:tcPr>
          <w:p>
            <w:r>
              <w:t>의미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실제 배포 API 직접 측정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실측값 기반 환산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사업·시뮬레이션 가정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권한 부족으로 측정 불가</w:t>
            </w:r>
          </w:p>
        </w:tc>
      </w:tr>
    </w:tbl>
    <w:p>
      <w:pPr>
        <w:pStyle w:val="Heading1"/>
      </w:pPr>
      <w:r>
        <w:t>3. 연도별 통합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모델</w:t>
            </w:r>
          </w:p>
        </w:tc>
        <w:tc>
          <w:tcPr>
            <w:tcW w:type="dxa" w:w="1234"/>
          </w:tcPr>
          <w:p>
            <w:r>
              <w:t>연차</w:t>
            </w:r>
          </w:p>
        </w:tc>
        <w:tc>
          <w:tcPr>
            <w:tcW w:type="dxa" w:w="1234"/>
          </w:tcPr>
          <w:p>
            <w:r>
              <w:t>연 거래</w:t>
            </w:r>
          </w:p>
        </w:tc>
        <w:tc>
          <w:tcPr>
            <w:tcW w:type="dxa" w:w="1234"/>
          </w:tcPr>
          <w:p>
            <w:r>
              <w:t>Backend 요청</w:t>
            </w:r>
          </w:p>
        </w:tc>
        <w:tc>
          <w:tcPr>
            <w:tcW w:type="dxa" w:w="1234"/>
          </w:tcPr>
          <w:p>
            <w:r>
              <w:t>피크 RPS</w:t>
            </w:r>
          </w:p>
        </w:tc>
        <w:tc>
          <w:tcPr>
            <w:tcW w:type="dxa" w:w="1234"/>
          </w:tcPr>
          <w:p>
            <w:r>
              <w:t>DB query</w:t>
            </w:r>
          </w:p>
        </w:tc>
        <w:tc>
          <w:tcPr>
            <w:tcW w:type="dxa" w:w="1234"/>
          </w:tcPr>
          <w:p>
            <w:r>
              <w:t>GPT 카운트</w:t>
            </w:r>
          </w:p>
        </w:tc>
      </w:tr>
      <w:tr>
        <w:tc>
          <w:tcPr>
            <w:tcW w:type="dxa" w:w="1234"/>
          </w:tcPr>
          <w:p>
            <w:r>
              <w:t>연간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900</w:t>
            </w:r>
          </w:p>
        </w:tc>
        <w:tc>
          <w:tcPr>
            <w:tcW w:type="dxa" w:w="1234"/>
          </w:tcPr>
          <w:p>
            <w:r>
              <w:t>90,000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150,646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연간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3,600</w:t>
            </w:r>
          </w:p>
        </w:tc>
        <w:tc>
          <w:tcPr>
            <w:tcW w:type="dxa" w:w="1234"/>
          </w:tcPr>
          <w:p>
            <w:r>
              <w:t>360,000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  <w:tc>
          <w:tcPr>
            <w:tcW w:type="dxa" w:w="1234"/>
          </w:tcPr>
          <w:p>
            <w:r>
              <w:t>602,582</w:t>
            </w:r>
          </w:p>
        </w:tc>
        <w:tc>
          <w:tcPr>
            <w:tcW w:type="dxa" w:w="1234"/>
          </w:tcPr>
          <w:p>
            <w:r>
              <w:t>36</w:t>
            </w:r>
          </w:p>
        </w:tc>
      </w:tr>
      <w:tr>
        <w:tc>
          <w:tcPr>
            <w:tcW w:type="dxa" w:w="1234"/>
          </w:tcPr>
          <w:p>
            <w:r>
              <w:t>연간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10,800</w:t>
            </w:r>
          </w:p>
        </w:tc>
        <w:tc>
          <w:tcPr>
            <w:tcW w:type="dxa" w:w="1234"/>
          </w:tcPr>
          <w:p>
            <w:r>
              <w:t>1,080,000</w:t>
            </w:r>
          </w:p>
        </w:tc>
        <w:tc>
          <w:tcPr>
            <w:tcW w:type="dxa" w:w="1234"/>
          </w:tcPr>
          <w:p>
            <w:r>
              <w:t>0.51</w:t>
            </w:r>
          </w:p>
        </w:tc>
        <w:tc>
          <w:tcPr>
            <w:tcW w:type="dxa" w:w="1234"/>
          </w:tcPr>
          <w:p>
            <w:r>
              <w:t>1,807,747</w:t>
            </w:r>
          </w:p>
        </w:tc>
        <w:tc>
          <w:tcPr>
            <w:tcW w:type="dxa" w:w="1234"/>
          </w:tcPr>
          <w:p>
            <w:r>
              <w:t>108</w:t>
            </w:r>
          </w:p>
        </w:tc>
      </w:tr>
      <w:tr>
        <w:tc>
          <w:tcPr>
            <w:tcW w:type="dxa" w:w="1234"/>
          </w:tcPr>
          <w:p>
            <w:r>
              <w:t>월간→연환산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10,800</w:t>
            </w:r>
          </w:p>
        </w:tc>
        <w:tc>
          <w:tcPr>
            <w:tcW w:type="dxa" w:w="1234"/>
          </w:tcPr>
          <w:p>
            <w:r>
              <w:t>1,080,000</w:t>
            </w:r>
          </w:p>
        </w:tc>
        <w:tc>
          <w:tcPr>
            <w:tcW w:type="dxa" w:w="1234"/>
          </w:tcPr>
          <w:p>
            <w:r>
              <w:t>0.51</w:t>
            </w:r>
          </w:p>
        </w:tc>
        <w:tc>
          <w:tcPr>
            <w:tcW w:type="dxa" w:w="1234"/>
          </w:tcPr>
          <w:p>
            <w:r>
              <w:t>1,807,747</w:t>
            </w:r>
          </w:p>
        </w:tc>
        <w:tc>
          <w:tcPr>
            <w:tcW w:type="dxa" w:w="1234"/>
          </w:tcPr>
          <w:p>
            <w:r>
              <w:t>108</w:t>
            </w:r>
          </w:p>
        </w:tc>
      </w:tr>
      <w:tr>
        <w:tc>
          <w:tcPr>
            <w:tcW w:type="dxa" w:w="1234"/>
          </w:tcPr>
          <w:p>
            <w:r>
              <w:t>월간→연환산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43,200</w:t>
            </w:r>
          </w:p>
        </w:tc>
        <w:tc>
          <w:tcPr>
            <w:tcW w:type="dxa" w:w="1234"/>
          </w:tcPr>
          <w:p>
            <w:r>
              <w:t>4,320,000</w:t>
            </w:r>
          </w:p>
        </w:tc>
        <w:tc>
          <w:tcPr>
            <w:tcW w:type="dxa" w:w="1234"/>
          </w:tcPr>
          <w:p>
            <w:r>
              <w:t>2.05</w:t>
            </w:r>
          </w:p>
        </w:tc>
        <w:tc>
          <w:tcPr>
            <w:tcW w:type="dxa" w:w="1234"/>
          </w:tcPr>
          <w:p>
            <w:r>
              <w:t>7,230,989</w:t>
            </w:r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월간→연환산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129,600</w:t>
            </w:r>
          </w:p>
        </w:tc>
        <w:tc>
          <w:tcPr>
            <w:tcW w:type="dxa" w:w="1234"/>
          </w:tcPr>
          <w:p>
            <w:r>
              <w:t>12,960,000</w:t>
            </w:r>
          </w:p>
        </w:tc>
        <w:tc>
          <w:tcPr>
            <w:tcW w:type="dxa" w:w="1234"/>
          </w:tcPr>
          <w:p>
            <w:r>
              <w:t>6.16</w:t>
            </w:r>
          </w:p>
        </w:tc>
        <w:tc>
          <w:tcPr>
            <w:tcW w:type="dxa" w:w="1234"/>
          </w:tcPr>
          <w:p>
            <w:r>
              <w:t>21,692,966</w:t>
            </w:r>
          </w:p>
        </w:tc>
        <w:tc>
          <w:tcPr>
            <w:tcW w:type="dxa" w:w="1234"/>
          </w:tcPr>
          <w:p>
            <w:r>
              <w:t>1,296</w:t>
            </w:r>
          </w:p>
        </w:tc>
      </w:tr>
    </w:tbl>
    <w:p>
      <w:r>
        <w:br w:type="page"/>
      </w:r>
    </w:p>
    <w:p>
      <w:pPr>
        <w:pStyle w:val="Heading1"/>
      </w:pPr>
      <w:r>
        <w:t>그림 1</w:t>
      </w:r>
    </w:p>
    <w:p>
      <w:r>
        <w:drawing>
          <wp:inline xmlns:a="http://schemas.openxmlformats.org/drawingml/2006/main" xmlns:pic="http://schemas.openxmlformats.org/drawingml/2006/picture">
            <wp:extent cx="6492240" cy="3634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ckend_requests_16x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34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그림 2</w:t>
      </w:r>
    </w:p>
    <w:p>
      <w:r>
        <w:drawing>
          <wp:inline xmlns:a="http://schemas.openxmlformats.org/drawingml/2006/main" xmlns:pic="http://schemas.openxmlformats.org/drawingml/2006/picture">
            <wp:extent cx="6492240" cy="3633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b_s3_usage_16x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33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그림 3</w:t>
      </w:r>
    </w:p>
    <w:p>
      <w:r>
        <w:drawing>
          <wp:inline xmlns:a="http://schemas.openxmlformats.org/drawingml/2006/main" xmlns:pic="http://schemas.openxmlformats.org/drawingml/2006/picture">
            <wp:extent cx="6492240" cy="3635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d_api_p95_16x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35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그림 4</w:t>
      </w:r>
    </w:p>
    <w:p>
      <w:r>
        <w:drawing>
          <wp:inline xmlns:a="http://schemas.openxmlformats.org/drawingml/2006/main" xmlns:pic="http://schemas.openxmlformats.org/drawingml/2006/picture">
            <wp:extent cx="6492240" cy="36285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rical_load_16x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2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한계와 다음 조치</w:t>
      </w:r>
    </w:p>
    <w:p>
      <w:pPr>
        <w:pStyle w:val="ListBullet"/>
      </w:pPr>
      <w:r>
        <w:t>Render CPU/RAM, DB 크기·연결 수는 D(측정 불가)다. Render Metrics와 PostgreSQL 통계를 확보해야 한다.</w:t>
      </w:r>
    </w:p>
    <w:p>
      <w:pPr>
        <w:pStyle w:val="ListBullet"/>
      </w:pPr>
      <w:r>
        <w:t>S3 실측 표본이 없어 PUT·저장량은 C 가정이다. 실제 업로드 로그 또는 버킷 지표로 교체한다.</w:t>
      </w:r>
    </w:p>
    <w:p>
      <w:pPr>
        <w:pStyle w:val="ListBullet"/>
      </w:pPr>
      <w:r>
        <w:t>공급자·리전·플랜을 확정한 뒤 통합 CSV에 단가를 곱해 비용을 계산한다. 무료 티어도 비용 0이 아니라 한도와 만료 위험을 별도 표기한다.</w:t>
      </w:r>
    </w:p>
    <w:p>
      <w:pPr>
        <w:pStyle w:val="ListBullet"/>
      </w:pPr>
      <w:r>
        <w:t>동일 SELLER JWT로 구매자 GET도 허용됐다. 의도된 정책이 아니라면 인가 테스트가 필요하다.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