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합성 사용자 기반 가격 정책 비교 실험 보고서</w:t>
      </w:r>
    </w:p>
    <w:p>
      <w:pPr>
        <w:jc w:val="center"/>
      </w:pPr>
      <w:r>
        <w:rPr>
          <w:b w:val="0"/>
        </w:rPr>
        <w:t>대규모 에이전트 시뮬레이션 결과 및 구매확률 모델</w:t>
      </w:r>
    </w:p>
    <w:p>
      <w:r>
        <w:rPr>
          <w:b w:val="0"/>
        </w:rPr>
        <w:t>실험 범위: 2024-01-01~2026-08-29 · 무작위 180일 · 상품 1,800개 · 전략별 합성 사용자 후보 54,623명</w:t>
      </w:r>
    </w:p>
    <w:p>
      <w:pPr>
        <w:pStyle w:val="Heading1"/>
      </w:pPr>
      <w:r>
        <w:rPr>
          <w:b w:val="0"/>
        </w:rPr>
        <w:t>요약</w:t>
      </w:r>
    </w:p>
    <w:p>
      <w:r>
        <w:rPr>
          <w:b w:val="0"/>
        </w:rPr>
        <w:t>가격 결정 방식(기존 규칙/Bandit)과 운영 목표(수익 우선/균형/재고 처리 우선)를 분리한 2×3 실험을 수행했다. Bandit은 시간순 앞 60%에서 학습하고 뒤 40%에서는 탐색과 업데이트를 중단했다. 수익 우선 비교에서 Bandit이 기존 규칙보다 매출과 매출총이익을 모두 높였고, 최대 재고 소진율은 Bandit 재고 처리 우선에서 나타났다. 합성 결과는 정책 간 상대 비교이며 실제 고객 수요의 증거는 아니다.</w:t>
      </w:r>
    </w:p>
    <w:p>
      <w:pPr>
        <w:pStyle w:val="Heading1"/>
      </w:pPr>
      <w:r>
        <w:rPr>
          <w:b w:val="0"/>
        </w:rPr>
        <w:t>1. 실험 설계</w:t>
      </w:r>
    </w:p>
    <w:p>
      <w:pPr>
        <w:pStyle w:val="Heading2"/>
      </w:pPr>
      <w:r>
        <w:rPr>
          <w:b w:val="0"/>
        </w:rPr>
        <w:t>1.1 실험군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가격 결정 방식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수익 우선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균형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재고 처리 우선</w:t>
            </w:r>
          </w:p>
        </w:tc>
      </w:tr>
      <w:tr>
        <w:tc>
          <w:tcPr>
            <w:tcW w:type="dxa" w:w="2541"/>
            <w:vAlign w:val="center"/>
          </w:tcPr>
          <w:p>
            <w:r>
              <w:t>고정가 기준선</w:t>
            </w:r>
          </w:p>
        </w:tc>
        <w:tc>
          <w:tcPr>
            <w:tcW w:type="dxa" w:w="2541"/>
            <w:vAlign w:val="center"/>
          </w:tcPr>
          <w:p>
            <w:r>
              <w:t>fixed</w:t>
            </w:r>
          </w:p>
        </w:tc>
        <w:tc>
          <w:tcPr>
            <w:tcW w:type="dxa" w:w="2541"/>
            <w:vAlign w:val="center"/>
          </w:tcPr>
          <w:p>
            <w:r>
              <w:t>fixed</w:t>
            </w:r>
          </w:p>
        </w:tc>
        <w:tc>
          <w:tcPr>
            <w:tcW w:type="dxa" w:w="2541"/>
            <w:vAlign w:val="center"/>
          </w:tcPr>
          <w:p>
            <w:r>
              <w:t>fixed</w:t>
            </w:r>
          </w:p>
        </w:tc>
      </w:tr>
      <w:tr>
        <w:tc>
          <w:tcPr>
            <w:tcW w:type="dxa" w:w="2541"/>
            <w:vAlign w:val="center"/>
          </w:tcPr>
          <w:p>
            <w:r>
              <w:t>기존 규칙</w:t>
            </w:r>
          </w:p>
        </w:tc>
        <w:tc>
          <w:tcPr>
            <w:tcW w:type="dxa" w:w="2541"/>
            <w:vAlign w:val="center"/>
          </w:tcPr>
          <w:p>
            <w:r>
              <w:t>rule_profit</w:t>
            </w:r>
          </w:p>
        </w:tc>
        <w:tc>
          <w:tcPr>
            <w:tcW w:type="dxa" w:w="2541"/>
            <w:vAlign w:val="center"/>
          </w:tcPr>
          <w:p>
            <w:r>
              <w:t>rule_balanced</w:t>
            </w:r>
          </w:p>
        </w:tc>
        <w:tc>
          <w:tcPr>
            <w:tcW w:type="dxa" w:w="2541"/>
            <w:vAlign w:val="center"/>
          </w:tcPr>
          <w:p>
            <w:r>
              <w:t>rule_sell_through</w:t>
            </w:r>
          </w:p>
        </w:tc>
      </w:tr>
      <w:tr>
        <w:tc>
          <w:tcPr>
            <w:tcW w:type="dxa" w:w="2541"/>
            <w:vAlign w:val="center"/>
          </w:tcPr>
          <w:p>
            <w:r>
              <w:t>Contextual Bandit</w:t>
            </w:r>
          </w:p>
        </w:tc>
        <w:tc>
          <w:tcPr>
            <w:tcW w:type="dxa" w:w="2541"/>
            <w:vAlign w:val="center"/>
          </w:tcPr>
          <w:p>
            <w:r>
              <w:t>bandit_profit</w:t>
            </w:r>
          </w:p>
        </w:tc>
        <w:tc>
          <w:tcPr>
            <w:tcW w:type="dxa" w:w="2541"/>
            <w:vAlign w:val="center"/>
          </w:tcPr>
          <w:p>
            <w:r>
              <w:t>bandit_balanced</w:t>
            </w:r>
          </w:p>
        </w:tc>
        <w:tc>
          <w:tcPr>
            <w:tcW w:type="dxa" w:w="2541"/>
            <w:vAlign w:val="center"/>
          </w:tcPr>
          <w:p>
            <w:r>
              <w:t>bandit_sell_through</w:t>
            </w:r>
          </w:p>
        </w:tc>
      </w:tr>
    </w:tbl>
    <w:p>
      <w:pPr>
        <w:pStyle w:val="Heading2"/>
      </w:pPr>
      <w:r>
        <w:rPr>
          <w:b w:val="0"/>
        </w:rPr>
        <w:t>1.2 실행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5083"/>
            <w:vAlign w:val="center"/>
            <w:shd w:fill="2563EB"/>
          </w:tcPr>
          <w:p>
            <w:r>
              <w:rPr>
                <w:b/>
                <w:color w:val="FFFFFF"/>
              </w:rPr>
              <w:t>설정</w:t>
            </w:r>
          </w:p>
        </w:tc>
      </w:tr>
      <w:tr>
        <w:tc>
          <w:tcPr>
            <w:tcW w:type="dxa" w:w="5083"/>
            <w:vAlign w:val="center"/>
          </w:tcPr>
          <w:p>
            <w:r>
              <w:t>날짜 범위</w:t>
            </w:r>
          </w:p>
        </w:tc>
        <w:tc>
          <w:tcPr>
            <w:tcW w:type="dxa" w:w="5083"/>
            <w:vAlign w:val="center"/>
          </w:tcPr>
          <w:p>
            <w:r>
              <w:t>2024-01-01~2026-08-29</w:t>
            </w:r>
          </w:p>
        </w:tc>
      </w:tr>
      <w:tr>
        <w:tc>
          <w:tcPr>
            <w:tcW w:type="dxa" w:w="5083"/>
            <w:vAlign w:val="center"/>
          </w:tcPr>
          <w:p>
            <w:r>
              <w:t>무작위 추출 날짜</w:t>
            </w:r>
          </w:p>
        </w:tc>
        <w:tc>
          <w:tcPr>
            <w:tcW w:type="dxa" w:w="5083"/>
            <w:vAlign w:val="center"/>
          </w:tcPr>
          <w:p>
            <w:r>
              <w:t>180일</w:t>
            </w:r>
          </w:p>
        </w:tc>
      </w:tr>
      <w:tr>
        <w:tc>
          <w:tcPr>
            <w:tcW w:type="dxa" w:w="5083"/>
            <w:vAlign w:val="center"/>
          </w:tcPr>
          <w:p>
            <w:r>
              <w:t>상품 시나리오</w:t>
            </w:r>
          </w:p>
        </w:tc>
        <w:tc>
          <w:tcPr>
            <w:tcW w:type="dxa" w:w="5083"/>
            <w:vAlign w:val="center"/>
          </w:tcPr>
          <w:p>
            <w:r>
              <w:t>1,800개</w:t>
            </w:r>
          </w:p>
        </w:tc>
      </w:tr>
      <w:tr>
        <w:tc>
          <w:tcPr>
            <w:tcW w:type="dxa" w:w="5083"/>
            <w:vAlign w:val="center"/>
          </w:tcPr>
          <w:p>
            <w:r>
              <w:t>전체 합성 에이전트 후보</w:t>
            </w:r>
          </w:p>
        </w:tc>
        <w:tc>
          <w:tcPr>
            <w:tcW w:type="dxa" w:w="5083"/>
            <w:vAlign w:val="center"/>
          </w:tcPr>
          <w:p>
            <w:r>
              <w:t>전략별 54,623명</w:t>
            </w:r>
          </w:p>
        </w:tc>
      </w:tr>
      <w:tr>
        <w:tc>
          <w:tcPr>
            <w:tcW w:type="dxa" w:w="5083"/>
            <w:vAlign w:val="center"/>
          </w:tcPr>
          <w:p>
            <w:r>
              <w:t>Bandit 학습 사용자</w:t>
            </w:r>
          </w:p>
        </w:tc>
        <w:tc>
          <w:tcPr>
            <w:tcW w:type="dxa" w:w="5083"/>
            <w:vAlign w:val="center"/>
          </w:tcPr>
          <w:p>
            <w:r>
              <w:t>32,620명(시간순 앞 60%)</w:t>
            </w:r>
          </w:p>
        </w:tc>
      </w:tr>
      <w:tr>
        <w:tc>
          <w:tcPr>
            <w:tcW w:type="dxa" w:w="5083"/>
            <w:vAlign w:val="center"/>
          </w:tcPr>
          <w:p>
            <w:r>
              <w:t>공통 평가 사용자</w:t>
            </w:r>
          </w:p>
        </w:tc>
        <w:tc>
          <w:tcPr>
            <w:tcW w:type="dxa" w:w="5083"/>
            <w:vAlign w:val="center"/>
          </w:tcPr>
          <w:p>
            <w:r>
              <w:t>22,003명(시간순 뒤 40%)</w:t>
            </w:r>
          </w:p>
        </w:tc>
      </w:tr>
      <w:tr>
        <w:tc>
          <w:tcPr>
            <w:tcW w:type="dxa" w:w="5083"/>
            <w:vAlign w:val="center"/>
          </w:tcPr>
          <w:p>
            <w:r>
              <w:t>평가 가격 노출</w:t>
            </w:r>
          </w:p>
        </w:tc>
        <w:tc>
          <w:tcPr>
            <w:tcW w:type="dxa" w:w="5083"/>
            <w:vAlign w:val="center"/>
          </w:tcPr>
          <w:p>
            <w:r>
              <w:t>전략별 19,189~20,941건</w:t>
            </w:r>
          </w:p>
        </w:tc>
      </w:tr>
      <w:tr>
        <w:tc>
          <w:tcPr>
            <w:tcW w:type="dxa" w:w="5083"/>
            <w:vAlign w:val="center"/>
          </w:tcPr>
          <w:p>
            <w:r>
              <w:t>재현성</w:t>
            </w:r>
          </w:p>
        </w:tc>
        <w:tc>
          <w:tcPr>
            <w:tcW w:type="dxa" w:w="5083"/>
            <w:vAlign w:val="center"/>
          </w:tcPr>
          <w:p>
            <w:r>
              <w:t>seed 42</w:t>
            </w:r>
          </w:p>
        </w:tc>
      </w:tr>
      <w:tr>
        <w:tc>
          <w:tcPr>
            <w:tcW w:type="dxa" w:w="5083"/>
            <w:vAlign w:val="center"/>
          </w:tcPr>
          <w:p>
            <w:r>
              <w:t>저장 결과</w:t>
            </w:r>
          </w:p>
        </w:tc>
        <w:tc>
          <w:tcPr>
            <w:tcW w:type="dxa" w:w="5083"/>
            <w:vAlign w:val="center"/>
          </w:tcPr>
          <w:p>
            <w:r>
              <w:t>JSON, CSV, SQLite</w:t>
            </w:r>
          </w:p>
        </w:tc>
      </w:tr>
    </w:tbl>
    <w:p>
      <w:pPr>
        <w:pStyle w:val="Heading1"/>
      </w:pPr>
      <w:r>
        <w:rPr>
          <w:b w:val="0"/>
        </w:rPr>
        <w:t>2. 합성 사용자 구매 행동 모델</w:t>
      </w:r>
    </w:p>
    <w:p>
      <w:pPr>
        <w:pStyle w:val="Heading2"/>
      </w:pPr>
      <w:r>
        <w:rPr>
          <w:b w:val="0"/>
        </w:rPr>
        <w:t>2.1 사용자 도착과 시장 수요</w:t>
      </w:r>
    </w:p>
    <w:p>
      <w:r>
        <w:rPr>
          <w:b w:val="0"/>
        </w:rPr>
        <w:t>날짜 d의 수요 점수 D는 다음과 같이 생성하고 [0.05, 1.0] 범위로 제한한다.</w:t>
      </w:r>
    </w:p>
    <w:p>
      <w:r>
        <w:rPr>
          <w:b/>
        </w:rPr>
        <w:t>D = clip(0.48 + 0.18·sin((day_of_year−170)/365·2π) + 0.16·I(주말) + εD, 0.05, 1.0)</w:t>
      </w:r>
    </w:p>
    <w:p>
      <w:r>
        <w:rPr>
          <w:b w:val="0"/>
        </w:rPr>
        <w:t>여기서 εD ~ Normal(0, 0.14²)이다. 상품별 사용자 도착 수 N은 재고 Q에 따라 N ~ Poisson(Q·(0.55 + 1.15D))로 생성한다. 따라서 수요가 높거나 재고가 많을수록 더 많은 사용자 에이전트가 유입된다.</w:t>
      </w:r>
    </w:p>
    <w:p>
      <w:pPr>
        <w:pStyle w:val="Heading2"/>
      </w:pPr>
      <w:r>
        <w:rPr>
          <w:b w:val="0"/>
        </w:rPr>
        <w:t>2.2 페르소나 계수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페르소나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지불의사 배수 α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가격 민감도 β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541"/>
            <w:vAlign w:val="center"/>
          </w:tcPr>
          <w:p>
            <w:r>
              <w:t>출장형</w:t>
            </w:r>
          </w:p>
        </w:tc>
        <w:tc>
          <w:tcPr>
            <w:tcW w:type="dxa" w:w="2541"/>
            <w:vAlign w:val="center"/>
          </w:tcPr>
          <w:p>
            <w:r>
              <w:t>1.18</w:t>
            </w:r>
          </w:p>
        </w:tc>
        <w:tc>
          <w:tcPr>
            <w:tcW w:type="dxa" w:w="2541"/>
            <w:vAlign w:val="center"/>
          </w:tcPr>
          <w:p>
            <w:r>
              <w:t>0.65</w:t>
            </w:r>
          </w:p>
        </w:tc>
        <w:tc>
          <w:tcPr>
            <w:tcW w:type="dxa" w:w="2541"/>
            <w:vAlign w:val="center"/>
          </w:tcPr>
          <w:p>
            <w:r>
              <w:t>높은 지불의사, 낮은 가격 민감도</w:t>
            </w:r>
          </w:p>
        </w:tc>
      </w:tr>
      <w:tr>
        <w:tc>
          <w:tcPr>
            <w:tcW w:type="dxa" w:w="2541"/>
            <w:vAlign w:val="center"/>
          </w:tcPr>
          <w:p>
            <w:r>
              <w:t>가족형</w:t>
            </w:r>
          </w:p>
        </w:tc>
        <w:tc>
          <w:tcPr>
            <w:tcW w:type="dxa" w:w="2541"/>
            <w:vAlign w:val="center"/>
          </w:tcPr>
          <w:p>
            <w:r>
              <w:t>1.05</w:t>
            </w:r>
          </w:p>
        </w:tc>
        <w:tc>
          <w:tcPr>
            <w:tcW w:type="dxa" w:w="2541"/>
            <w:vAlign w:val="center"/>
          </w:tcPr>
          <w:p>
            <w:r>
              <w:t>0.85</w:t>
            </w:r>
          </w:p>
        </w:tc>
        <w:tc>
          <w:tcPr>
            <w:tcW w:type="dxa" w:w="2541"/>
            <w:vAlign w:val="center"/>
          </w:tcPr>
          <w:p>
            <w:r>
              <w:t>평균 이상 지불의사</w:t>
            </w:r>
          </w:p>
        </w:tc>
      </w:tr>
      <w:tr>
        <w:tc>
          <w:tcPr>
            <w:tcW w:type="dxa" w:w="2541"/>
            <w:vAlign w:val="center"/>
          </w:tcPr>
          <w:p>
            <w:r>
              <w:t>가성비형</w:t>
            </w:r>
          </w:p>
        </w:tc>
        <w:tc>
          <w:tcPr>
            <w:tcW w:type="dxa" w:w="2541"/>
            <w:vAlign w:val="center"/>
          </w:tcPr>
          <w:p>
            <w:r>
              <w:t>0.82</w:t>
            </w:r>
          </w:p>
        </w:tc>
        <w:tc>
          <w:tcPr>
            <w:tcW w:type="dxa" w:w="2541"/>
            <w:vAlign w:val="center"/>
          </w:tcPr>
          <w:p>
            <w:r>
              <w:t>1.45</w:t>
            </w:r>
          </w:p>
        </w:tc>
        <w:tc>
          <w:tcPr>
            <w:tcW w:type="dxa" w:w="2541"/>
            <w:vAlign w:val="center"/>
          </w:tcPr>
          <w:p>
            <w:r>
              <w:t>낮은 지불의사, 높은 민감도</w:t>
            </w:r>
          </w:p>
        </w:tc>
      </w:tr>
      <w:tr>
        <w:tc>
          <w:tcPr>
            <w:tcW w:type="dxa" w:w="2541"/>
            <w:vAlign w:val="center"/>
          </w:tcPr>
          <w:p>
            <w:r>
              <w:t>충동형</w:t>
            </w:r>
          </w:p>
        </w:tc>
        <w:tc>
          <w:tcPr>
            <w:tcW w:type="dxa" w:w="2541"/>
            <w:vAlign w:val="center"/>
          </w:tcPr>
          <w:p>
            <w:r>
              <w:t>0.95</w:t>
            </w:r>
          </w:p>
        </w:tc>
        <w:tc>
          <w:tcPr>
            <w:tcW w:type="dxa" w:w="2541"/>
            <w:vAlign w:val="center"/>
          </w:tcPr>
          <w:p>
            <w:r>
              <w:t>1.05</w:t>
            </w:r>
          </w:p>
        </w:tc>
        <w:tc>
          <w:tcPr>
            <w:tcW w:type="dxa" w:w="2541"/>
            <w:vAlign w:val="center"/>
          </w:tcPr>
          <w:p>
            <w:r>
              <w:t>중간 수준</w:t>
            </w:r>
          </w:p>
        </w:tc>
      </w:tr>
      <w:tr>
        <w:tc>
          <w:tcPr>
            <w:tcW w:type="dxa" w:w="2541"/>
            <w:vAlign w:val="center"/>
          </w:tcPr>
          <w:p>
            <w:r>
              <w:t>재방문형</w:t>
            </w:r>
          </w:p>
        </w:tc>
        <w:tc>
          <w:tcPr>
            <w:tcW w:type="dxa" w:w="2541"/>
            <w:vAlign w:val="center"/>
          </w:tcPr>
          <w:p>
            <w:r>
              <w:t>1.08</w:t>
            </w:r>
          </w:p>
        </w:tc>
        <w:tc>
          <w:tcPr>
            <w:tcW w:type="dxa" w:w="2541"/>
            <w:vAlign w:val="center"/>
          </w:tcPr>
          <w:p>
            <w:r>
              <w:t>0.75</w:t>
            </w:r>
          </w:p>
        </w:tc>
        <w:tc>
          <w:tcPr>
            <w:tcW w:type="dxa" w:w="2541"/>
            <w:vAlign w:val="center"/>
          </w:tcPr>
          <w:p>
            <w:r>
              <w:t>비교적 높은 지불의사</w:t>
            </w:r>
          </w:p>
        </w:tc>
      </w:tr>
    </w:tbl>
    <w:p>
      <w:r>
        <w:rPr>
          <w:b w:val="0"/>
        </w:rPr>
        <w:t>현재 페르소나는 동일 확률로 추출한다. 실제 사용자 비중이 확보되면 운영 데이터의 구성비로 교체해야 한다.</w:t>
      </w:r>
    </w:p>
    <w:p>
      <w:pPr>
        <w:pStyle w:val="Heading2"/>
      </w:pPr>
      <w:r>
        <w:rPr>
          <w:b w:val="0"/>
        </w:rPr>
        <w:t>2.3 지불의사와 구매확률</w:t>
      </w:r>
    </w:p>
    <w:p>
      <w:r>
        <w:rPr>
          <w:b w:val="0"/>
        </w:rPr>
        <w:t>사용자 i의 지불의사금액 WTP는 상품 정상가 P0, 수요 D, 페르소나 배수 αi 및 개인차 노이즈 εi로 계산한다.</w:t>
      </w:r>
    </w:p>
    <w:p>
      <w:r>
        <w:rPr>
          <w:b/>
        </w:rPr>
        <w:t>WTPᵢ = P₀·αᵢ·(0.72 + 0.48D + εᵢ),   εᵢ ~ Normal(0, 0.09²)</w:t>
      </w:r>
    </w:p>
    <w:p>
      <w:r>
        <w:rPr>
          <w:b w:val="0"/>
        </w:rPr>
        <w:t>제안가격 P에 대한 구매 logit과 구매확률은 다음과 같다. 야외 상품은 날씨 위험 W∈[0,1]에 따라 구매확률이 감소한다.</w:t>
      </w:r>
    </w:p>
    <w:p>
      <w:r>
        <w:rPr>
          <w:b/>
        </w:rPr>
        <w:t>zᵢ = 7·((WTPᵢ−P)/P₀)/βᵢ + 1.2·(D−0.5) − 1.1·W·I(야외상품)</w:t>
      </w:r>
    </w:p>
    <w:p>
      <w:r>
        <w:rPr>
          <w:b/>
        </w:rPr>
        <w:t>Pr(구매ᵢ=1) = σ(clip(zᵢ,−20,20)) = 1/(1+e^(−zᵢ))</w:t>
      </w:r>
    </w:p>
    <w:p>
      <w:r>
        <w:rPr>
          <w:b w:val="0"/>
        </w:rPr>
        <w:t>마지막으로 uᵢ ~ Uniform(0,1)을 추출하고 uᵢ &lt; Pr(구매)일 때 구매로 기록한다. 즉 같은 페르소나와 가격이라도 개인차 Gaussian 노이즈와 Bernoulli 추출 때문에 결과가 달라진다. 현재 모델에는 취소·재구매·경쟁 상품 이동은 포함하지 않았다.</w:t>
      </w:r>
    </w:p>
    <w:p>
      <w:pPr>
        <w:pStyle w:val="Heading1"/>
      </w:pPr>
      <w:r>
        <w:rPr>
          <w:b w:val="0"/>
        </w:rPr>
        <w:t>3. 가격 정책 및 Bandit 학습</w:t>
      </w:r>
    </w:p>
    <w:p>
      <w:pPr>
        <w:pStyle w:val="Heading2"/>
      </w:pPr>
      <w:r>
        <w:rPr>
          <w:b w:val="0"/>
        </w:rPr>
        <w:t>3.1 기존 규칙</w:t>
      </w:r>
    </w:p>
    <w:p>
      <w:r>
        <w:rPr>
          <w:b w:val="0"/>
        </w:rPr>
        <w:t>기존 방식은 수요, 잔여 재고, 판매 속도, 경과 시간, 날씨, 주말 및 피크 시간에 사람이 정한 가중치를 적용한다. 동일 조건에서는 동일 가격이 나오며 구매 결과가 다음 가격 결정식을 변경하지 않는다. 엔진이 반환하는 PROFIT, BALANCED, SELL_THROUGH 가격안을 각 실험군에서 선택했다.</w:t>
      </w:r>
    </w:p>
    <w:p>
      <w:pPr>
        <w:pStyle w:val="Heading2"/>
      </w:pPr>
      <w:r>
        <w:rPr>
          <w:b w:val="0"/>
        </w:rPr>
        <w:t>3.2 Contextual Bandit</w:t>
      </w:r>
    </w:p>
    <w:p>
      <w:r>
        <w:rPr>
          <w:b w:val="0"/>
        </w:rPr>
        <w:t>Bandit은 연속형 문맥을 일반화하는 LinUCB 방식이다. 입력에는 수요, 재고율, 경과시간, 원가율, 정상가~최저가 허용폭, 날씨 위험, 주말, 야외 상품 여부, 최근 판매 속도, 학습 구간에서 관찰한 페르소나 구성비, arm별 누적 구매율, 후보 할인율과 후보 마진을 사용한다. 개인별 가격 차등은 수행하지 않는다. 행동은 각 상품의 정상가~최저가 구간 내 상대 위치 {0%, 10%, 20%, 35%, 50%, 70%, 100%}이며 실제 가격은 상품마다 동적으로 달라진다. LinUCB의 불확실성 보너스로 학습 구간을 탐색하고 평가 구간에서는 보너스와 업데이트를 모두 중단한다.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563EB"/>
          </w:tcPr>
          <w:p>
            <w:r>
              <w:rPr>
                <w:b/>
                <w:color w:val="FFFFFF"/>
              </w:rPr>
              <w:t>목표</w:t>
            </w:r>
          </w:p>
        </w:tc>
        <w:tc>
          <w:tcPr>
            <w:tcW w:type="dxa" w:w="3389"/>
            <w:vAlign w:val="center"/>
            <w:shd w:fill="2563EB"/>
          </w:tcPr>
          <w:p>
            <w:r>
              <w:rPr>
                <w:b/>
                <w:color w:val="FFFFFF"/>
              </w:rPr>
              <w:t>Bandit 보상</w:t>
            </w:r>
          </w:p>
        </w:tc>
        <w:tc>
          <w:tcPr>
            <w:tcW w:type="dxa" w:w="3389"/>
            <w:vAlign w:val="center"/>
            <w:shd w:fill="2563EB"/>
          </w:tcPr>
          <w:p>
            <w:r>
              <w:rPr>
                <w:b/>
                <w:color w:val="FFFFFF"/>
              </w:rPr>
              <w:t>최소 공헌마진</w:t>
            </w:r>
          </w:p>
        </w:tc>
      </w:tr>
      <w:tr>
        <w:tc>
          <w:tcPr>
            <w:tcW w:type="dxa" w:w="3389"/>
            <w:vAlign w:val="center"/>
          </w:tcPr>
          <w:p>
            <w:r>
              <w:t>수익 우선</w:t>
            </w:r>
          </w:p>
        </w:tc>
        <w:tc>
          <w:tcPr>
            <w:tcW w:type="dxa" w:w="3389"/>
            <w:vAlign w:val="center"/>
          </w:tcPr>
          <w:p>
            <w:r>
              <w:t>구매×공헌이익 100%</w:t>
            </w:r>
          </w:p>
        </w:tc>
        <w:tc>
          <w:tcPr>
            <w:tcW w:type="dxa" w:w="3389"/>
            <w:vAlign w:val="center"/>
          </w:tcPr>
          <w:p>
            <w:r>
              <w:t>정상가의 20%</w:t>
            </w:r>
          </w:p>
        </w:tc>
      </w:tr>
      <w:tr>
        <w:tc>
          <w:tcPr>
            <w:tcW w:type="dxa" w:w="3389"/>
            <w:vAlign w:val="center"/>
          </w:tcPr>
          <w:p>
            <w:r>
              <w:t>균형</w:t>
            </w:r>
          </w:p>
        </w:tc>
        <w:tc>
          <w:tcPr>
            <w:tcW w:type="dxa" w:w="3389"/>
            <w:vAlign w:val="center"/>
          </w:tcPr>
          <w:p>
            <w:r>
              <w:t>구매×(공헌이익 55% + 매출 35% + 판매 성공 10%)</w:t>
            </w:r>
          </w:p>
        </w:tc>
        <w:tc>
          <w:tcPr>
            <w:tcW w:type="dxa" w:w="3389"/>
            <w:vAlign w:val="center"/>
          </w:tcPr>
          <w:p>
            <w:r>
              <w:t>정상가의 15%</w:t>
            </w:r>
          </w:p>
        </w:tc>
      </w:tr>
      <w:tr>
        <w:tc>
          <w:tcPr>
            <w:tcW w:type="dxa" w:w="3389"/>
            <w:vAlign w:val="center"/>
          </w:tcPr>
          <w:p>
            <w:r>
              <w:t>재고 처리 우선</w:t>
            </w:r>
          </w:p>
        </w:tc>
        <w:tc>
          <w:tcPr>
            <w:tcW w:type="dxa" w:w="3389"/>
            <w:vAlign w:val="center"/>
          </w:tcPr>
          <w:p>
            <w:r>
              <w:t>구매×(공헌이익 40% + 매출 35% + 판매 성공 25%)</w:t>
            </w:r>
          </w:p>
        </w:tc>
        <w:tc>
          <w:tcPr>
            <w:tcW w:type="dxa" w:w="3389"/>
            <w:vAlign w:val="center"/>
          </w:tcPr>
          <w:p>
            <w:r>
              <w:t>정상가의 12%</w:t>
            </w:r>
          </w:p>
        </w:tc>
      </w:tr>
    </w:tbl>
    <w:p>
      <w:r>
        <w:rPr>
          <w:b w:val="0"/>
        </w:rPr>
        <w:t>합성 원가는 최저 판매가×Uniform(0.30,0.50)로 생성했다. Bandit은 시간순 앞 60%의 합성 구매 결과로 학습한 후 정책을 동결하고, 나머지 40%에서 기존 규칙과 비교했다. 실사용자 데이터로 사전 학습한 모델은 아니다.</w:t>
      </w:r>
    </w:p>
    <w:p>
      <w:pPr>
        <w:pStyle w:val="Heading1"/>
      </w:pPr>
      <w:r>
        <w:rPr>
          <w:b w:val="0"/>
        </w:rPr>
        <w:t>4. 실험 결과</w:t>
      </w:r>
    </w:p>
    <w:p>
      <w:pPr>
        <w:pStyle w:val="Heading2"/>
      </w:pPr>
      <w:r>
        <w:rPr>
          <w:b w:val="0"/>
        </w:rPr>
        <w:t>4.1 전체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실험군</w:t>
            </w:r>
          </w:p>
        </w:tc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매출</w:t>
            </w:r>
          </w:p>
        </w:tc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매출총이익</w:t>
            </w:r>
          </w:p>
        </w:tc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전환율</w:t>
            </w:r>
          </w:p>
        </w:tc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소진율</w:t>
            </w:r>
          </w:p>
        </w:tc>
        <w:tc>
          <w:tcPr>
            <w:tcW w:type="dxa" w:w="1694"/>
            <w:vAlign w:val="center"/>
            <w:shd w:fill="2563EB"/>
          </w:tcPr>
          <w:p>
            <w:r>
              <w:rPr>
                <w:b/>
                <w:color w:val="FFFFFF"/>
              </w:rPr>
              <w:t>평균 판매가</w:t>
            </w:r>
          </w:p>
        </w:tc>
      </w:tr>
      <w:tr>
        <w:tc>
          <w:tcPr>
            <w:tcW w:type="dxa" w:w="1694"/>
            <w:vAlign w:val="center"/>
          </w:tcPr>
          <w:p>
            <w:r>
              <w:t>고정가 기준선</w:t>
            </w:r>
          </w:p>
        </w:tc>
        <w:tc>
          <w:tcPr>
            <w:tcW w:type="dxa" w:w="1694"/>
            <w:vAlign w:val="center"/>
          </w:tcPr>
          <w:p>
            <w:r>
              <w:t>7.57억</w:t>
            </w:r>
          </w:p>
        </w:tc>
        <w:tc>
          <w:tcPr>
            <w:tcW w:type="dxa" w:w="1694"/>
            <w:vAlign w:val="center"/>
          </w:tcPr>
          <w:p>
            <w:r>
              <w:t>5.74억</w:t>
            </w:r>
          </w:p>
        </w:tc>
        <w:tc>
          <w:tcPr>
            <w:tcW w:type="dxa" w:w="1694"/>
            <w:vAlign w:val="center"/>
          </w:tcPr>
          <w:p>
            <w:r>
              <w:t>50.9%</w:t>
            </w:r>
          </w:p>
        </w:tc>
        <w:tc>
          <w:tcPr>
            <w:tcW w:type="dxa" w:w="1694"/>
            <w:vAlign w:val="center"/>
          </w:tcPr>
          <w:p>
            <w:r>
              <w:t>56.6%</w:t>
            </w:r>
          </w:p>
        </w:tc>
        <w:tc>
          <w:tcPr>
            <w:tcW w:type="dxa" w:w="1694"/>
            <w:vAlign w:val="center"/>
          </w:tcPr>
          <w:p>
            <w:r>
              <w:t>70,236원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기존 규칙·수익</w:t>
            </w:r>
          </w:p>
        </w:tc>
        <w:tc>
          <w:tcPr>
            <w:tcW w:type="dxa" w:w="1694"/>
            <w:vAlign w:val="center"/>
          </w:tcPr>
          <w:p>
            <w:r>
              <w:t>8.05억</w:t>
            </w:r>
          </w:p>
        </w:tc>
        <w:tc>
          <w:tcPr>
            <w:tcW w:type="dxa" w:w="1694"/>
            <w:vAlign w:val="center"/>
          </w:tcPr>
          <w:p>
            <w:r>
              <w:t>6.01억</w:t>
            </w:r>
          </w:p>
        </w:tc>
        <w:tc>
          <w:tcPr>
            <w:tcW w:type="dxa" w:w="1694"/>
            <w:vAlign w:val="center"/>
          </w:tcPr>
          <w:p>
            <w:r>
              <w:t>57.6%</w:t>
            </w:r>
          </w:p>
        </w:tc>
        <w:tc>
          <w:tcPr>
            <w:tcW w:type="dxa" w:w="1694"/>
            <w:vAlign w:val="center"/>
          </w:tcPr>
          <w:p>
            <w:r>
              <w:t>63.3%</w:t>
            </w:r>
          </w:p>
        </w:tc>
        <w:tc>
          <w:tcPr>
            <w:tcW w:type="dxa" w:w="1694"/>
            <w:vAlign w:val="center"/>
          </w:tcPr>
          <w:p>
            <w:r>
              <w:t>66,750원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기존 규칙·균형</w:t>
            </w:r>
          </w:p>
        </w:tc>
        <w:tc>
          <w:tcPr>
            <w:tcW w:type="dxa" w:w="1694"/>
            <w:vAlign w:val="center"/>
          </w:tcPr>
          <w:p>
            <w:r>
              <w:t>8.27억</w:t>
            </w:r>
          </w:p>
        </w:tc>
        <w:tc>
          <w:tcPr>
            <w:tcW w:type="dxa" w:w="1694"/>
            <w:vAlign w:val="center"/>
          </w:tcPr>
          <w:p>
            <w:r>
              <w:t>6.09억</w:t>
            </w:r>
          </w:p>
        </w:tc>
        <w:tc>
          <w:tcPr>
            <w:tcW w:type="dxa" w:w="1694"/>
            <w:vAlign w:val="center"/>
          </w:tcPr>
          <w:p>
            <w:r>
              <w:t>62.2%</w:t>
            </w:r>
          </w:p>
        </w:tc>
        <w:tc>
          <w:tcPr>
            <w:tcW w:type="dxa" w:w="1694"/>
            <w:vAlign w:val="center"/>
          </w:tcPr>
          <w:p>
            <w:r>
              <w:t>67.9%</w:t>
            </w:r>
          </w:p>
        </w:tc>
        <w:tc>
          <w:tcPr>
            <w:tcW w:type="dxa" w:w="1694"/>
            <w:vAlign w:val="center"/>
          </w:tcPr>
          <w:p>
            <w:r>
              <w:t>63,928원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기존 규칙·재고</w:t>
            </w:r>
          </w:p>
        </w:tc>
        <w:tc>
          <w:tcPr>
            <w:tcW w:type="dxa" w:w="1694"/>
            <w:vAlign w:val="center"/>
          </w:tcPr>
          <w:p>
            <w:r>
              <w:t>8.19억</w:t>
            </w:r>
          </w:p>
        </w:tc>
        <w:tc>
          <w:tcPr>
            <w:tcW w:type="dxa" w:w="1694"/>
            <w:vAlign w:val="center"/>
          </w:tcPr>
          <w:p>
            <w:r>
              <w:t>5.65억</w:t>
            </w:r>
          </w:p>
        </w:tc>
        <w:tc>
          <w:tcPr>
            <w:tcW w:type="dxa" w:w="1694"/>
            <w:vAlign w:val="center"/>
          </w:tcPr>
          <w:p>
            <w:r>
              <w:t>75.7%</w:t>
            </w:r>
          </w:p>
        </w:tc>
        <w:tc>
          <w:tcPr>
            <w:tcW w:type="dxa" w:w="1694"/>
            <w:vAlign w:val="center"/>
          </w:tcPr>
          <w:p>
            <w:r>
              <w:t>79.1%</w:t>
            </w:r>
          </w:p>
        </w:tc>
        <w:tc>
          <w:tcPr>
            <w:tcW w:type="dxa" w:w="1694"/>
            <w:vAlign w:val="center"/>
          </w:tcPr>
          <w:p>
            <w:r>
              <w:t>54,328원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Bandit·수익</w:t>
            </w:r>
          </w:p>
        </w:tc>
        <w:tc>
          <w:tcPr>
            <w:tcW w:type="dxa" w:w="1694"/>
            <w:vAlign w:val="center"/>
          </w:tcPr>
          <w:p>
            <w:r>
              <w:t>8.56억</w:t>
            </w:r>
          </w:p>
        </w:tc>
        <w:tc>
          <w:tcPr>
            <w:tcW w:type="dxa" w:w="1694"/>
            <w:vAlign w:val="center"/>
          </w:tcPr>
          <w:p>
            <w:r>
              <w:t>6.17억</w:t>
            </w:r>
          </w:p>
        </w:tc>
        <w:tc>
          <w:tcPr>
            <w:tcW w:type="dxa" w:w="1694"/>
            <w:vAlign w:val="center"/>
          </w:tcPr>
          <w:p>
            <w:r>
              <w:t>68.7%</w:t>
            </w:r>
          </w:p>
        </w:tc>
        <w:tc>
          <w:tcPr>
            <w:tcW w:type="dxa" w:w="1694"/>
            <w:vAlign w:val="center"/>
          </w:tcPr>
          <w:p>
            <w:r>
              <w:t>74.3%</w:t>
            </w:r>
          </w:p>
        </w:tc>
        <w:tc>
          <w:tcPr>
            <w:tcW w:type="dxa" w:w="1694"/>
            <w:vAlign w:val="center"/>
          </w:tcPr>
          <w:p>
            <w:r>
              <w:t>60,435원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Bandit·균형</w:t>
            </w:r>
          </w:p>
        </w:tc>
        <w:tc>
          <w:tcPr>
            <w:tcW w:type="dxa" w:w="1694"/>
            <w:vAlign w:val="center"/>
          </w:tcPr>
          <w:p>
            <w:r>
              <w:t>8.46억</w:t>
            </w:r>
          </w:p>
        </w:tc>
        <w:tc>
          <w:tcPr>
            <w:tcW w:type="dxa" w:w="1694"/>
            <w:vAlign w:val="center"/>
          </w:tcPr>
          <w:p>
            <w:r>
              <w:t>5.88억</w:t>
            </w:r>
          </w:p>
        </w:tc>
        <w:tc>
          <w:tcPr>
            <w:tcW w:type="dxa" w:w="1694"/>
            <w:vAlign w:val="center"/>
          </w:tcPr>
          <w:p>
            <w:r>
              <w:t>75.6%</w:t>
            </w:r>
          </w:p>
        </w:tc>
        <w:tc>
          <w:tcPr>
            <w:tcW w:type="dxa" w:w="1694"/>
            <w:vAlign w:val="center"/>
          </w:tcPr>
          <w:p>
            <w:r>
              <w:t>80.2%</w:t>
            </w:r>
          </w:p>
        </w:tc>
        <w:tc>
          <w:tcPr>
            <w:tcW w:type="dxa" w:w="1694"/>
            <w:vAlign w:val="center"/>
          </w:tcPr>
          <w:p>
            <w:r>
              <w:t>55,422원</w:t>
            </w:r>
          </w:p>
        </w:tc>
      </w:tr>
      <w:tr>
        <w:tc>
          <w:tcPr>
            <w:tcW w:type="dxa" w:w="1694"/>
            <w:vAlign w:val="center"/>
          </w:tcPr>
          <w:p>
            <w:r>
              <w:t>Bandit·재고</w:t>
            </w:r>
          </w:p>
        </w:tc>
        <w:tc>
          <w:tcPr>
            <w:tcW w:type="dxa" w:w="1694"/>
            <w:vAlign w:val="center"/>
          </w:tcPr>
          <w:p>
            <w:r>
              <w:t>8.25억</w:t>
            </w:r>
          </w:p>
        </w:tc>
        <w:tc>
          <w:tcPr>
            <w:tcW w:type="dxa" w:w="1694"/>
            <w:vAlign w:val="center"/>
          </w:tcPr>
          <w:p>
            <w:r>
              <w:t>5.57억</w:t>
            </w:r>
          </w:p>
        </w:tc>
        <w:tc>
          <w:tcPr>
            <w:tcW w:type="dxa" w:w="1694"/>
            <w:vAlign w:val="center"/>
          </w:tcPr>
          <w:p>
            <w:r>
              <w:t>79.6%</w:t>
            </w:r>
          </w:p>
        </w:tc>
        <w:tc>
          <w:tcPr>
            <w:tcW w:type="dxa" w:w="1694"/>
            <w:vAlign w:val="center"/>
          </w:tcPr>
          <w:p>
            <w:r>
              <w:t>83.4%</w:t>
            </w:r>
          </w:p>
        </w:tc>
        <w:tc>
          <w:tcPr>
            <w:tcW w:type="dxa" w:w="1694"/>
            <w:vAlign w:val="center"/>
          </w:tcPr>
          <w:p>
            <w:r>
              <w:t>51,968원</w:t>
            </w:r>
          </w:p>
        </w:tc>
      </w:tr>
    </w:tbl>
    <w:p>
      <w:pPr>
        <w:pStyle w:val="Heading2"/>
      </w:pPr>
      <w:r>
        <w:rPr>
          <w:b w:val="0"/>
        </w:rPr>
        <w:t>4.2 당일 미판매 손실 반영</w:t>
      </w:r>
    </w:p>
    <w:p>
      <w:r>
        <w:rPr>
          <w:b w:val="0"/>
        </w:rPr>
        <w:t>당일 판매되지 않은 재고는 마감 시 가치가 0이 되는 소멸성 상품으로 가정한다. 미판매 손실은 잔여 수량×단위원가이며, 폐기 반영 순이익은 매출총이익−미판매 손실로 계산한다. 회수 또는 이월 가능한 상품에는 잔존가치를 별도로 반영해야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실험군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미판매 수량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미판매 손실</w:t>
            </w:r>
          </w:p>
        </w:tc>
        <w:tc>
          <w:tcPr>
            <w:tcW w:type="dxa" w:w="2541"/>
            <w:vAlign w:val="center"/>
            <w:shd w:fill="2563EB"/>
          </w:tcPr>
          <w:p>
            <w:r>
              <w:rPr>
                <w:b/>
                <w:color w:val="FFFFFF"/>
              </w:rPr>
              <w:t>폐기 반영 순이익</w:t>
            </w:r>
          </w:p>
        </w:tc>
      </w:tr>
      <w:tr>
        <w:tc>
          <w:tcPr>
            <w:tcW w:type="dxa" w:w="2541"/>
            <w:vAlign w:val="center"/>
          </w:tcPr>
          <w:p>
            <w:r>
              <w:t>고정가 기준선</w:t>
            </w:r>
          </w:p>
        </w:tc>
        <w:tc>
          <w:tcPr>
            <w:tcW w:type="dxa" w:w="2541"/>
            <w:vAlign w:val="center"/>
          </w:tcPr>
          <w:p>
            <w:r>
              <w:t>8,273개</w:t>
            </w:r>
          </w:p>
        </w:tc>
        <w:tc>
          <w:tcPr>
            <w:tcW w:type="dxa" w:w="2541"/>
            <w:vAlign w:val="center"/>
          </w:tcPr>
          <w:p>
            <w:r>
              <w:t>1.38억</w:t>
            </w:r>
          </w:p>
        </w:tc>
        <w:tc>
          <w:tcPr>
            <w:tcW w:type="dxa" w:w="2541"/>
            <w:vAlign w:val="center"/>
          </w:tcPr>
          <w:p>
            <w:r>
              <w:t>4.36억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기존 규칙·수익</w:t>
            </w:r>
          </w:p>
        </w:tc>
        <w:tc>
          <w:tcPr>
            <w:tcW w:type="dxa" w:w="2541"/>
            <w:vAlign w:val="center"/>
          </w:tcPr>
          <w:p>
            <w:r>
              <w:t>6,988개</w:t>
            </w:r>
          </w:p>
        </w:tc>
        <w:tc>
          <w:tcPr>
            <w:tcW w:type="dxa" w:w="2541"/>
            <w:vAlign w:val="center"/>
          </w:tcPr>
          <w:p>
            <w:r>
              <w:t>1.17억</w:t>
            </w:r>
          </w:p>
        </w:tc>
        <w:tc>
          <w:tcPr>
            <w:tcW w:type="dxa" w:w="2541"/>
            <w:vAlign w:val="center"/>
          </w:tcPr>
          <w:p>
            <w:r>
              <w:t>4.84억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기존 규칙·균형</w:t>
            </w:r>
          </w:p>
        </w:tc>
        <w:tc>
          <w:tcPr>
            <w:tcW w:type="dxa" w:w="2541"/>
            <w:vAlign w:val="center"/>
          </w:tcPr>
          <w:p>
            <w:r>
              <w:t>6,114개</w:t>
            </w:r>
          </w:p>
        </w:tc>
        <w:tc>
          <w:tcPr>
            <w:tcW w:type="dxa" w:w="2541"/>
            <w:vAlign w:val="center"/>
          </w:tcPr>
          <w:p>
            <w:r>
              <w:t>1.03억</w:t>
            </w:r>
          </w:p>
        </w:tc>
        <w:tc>
          <w:tcPr>
            <w:tcW w:type="dxa" w:w="2541"/>
            <w:vAlign w:val="center"/>
          </w:tcPr>
          <w:p>
            <w:r>
              <w:t>5.06억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기존 규칙·재고</w:t>
            </w:r>
          </w:p>
        </w:tc>
        <w:tc>
          <w:tcPr>
            <w:tcW w:type="dxa" w:w="2541"/>
            <w:vAlign w:val="center"/>
          </w:tcPr>
          <w:p>
            <w:r>
              <w:t>3,975개</w:t>
            </w:r>
          </w:p>
        </w:tc>
        <w:tc>
          <w:tcPr>
            <w:tcW w:type="dxa" w:w="2541"/>
            <w:vAlign w:val="center"/>
          </w:tcPr>
          <w:p>
            <w:r>
              <w:t>0.68억</w:t>
            </w:r>
          </w:p>
        </w:tc>
        <w:tc>
          <w:tcPr>
            <w:tcW w:type="dxa" w:w="2541"/>
            <w:vAlign w:val="center"/>
          </w:tcPr>
          <w:p>
            <w:r>
              <w:t>4.98억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Bandit·수익</w:t>
            </w:r>
          </w:p>
        </w:tc>
        <w:tc>
          <w:tcPr>
            <w:tcW w:type="dxa" w:w="2541"/>
            <w:vAlign w:val="center"/>
          </w:tcPr>
          <w:p>
            <w:r>
              <w:t>4,887개</w:t>
            </w:r>
          </w:p>
        </w:tc>
        <w:tc>
          <w:tcPr>
            <w:tcW w:type="dxa" w:w="2541"/>
            <w:vAlign w:val="center"/>
          </w:tcPr>
          <w:p>
            <w:r>
              <w:t>0.83억</w:t>
            </w:r>
          </w:p>
        </w:tc>
        <w:tc>
          <w:tcPr>
            <w:tcW w:type="dxa" w:w="2541"/>
            <w:vAlign w:val="center"/>
          </w:tcPr>
          <w:p>
            <w:r>
              <w:t>5.35억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Bandit·균형</w:t>
            </w:r>
          </w:p>
        </w:tc>
        <w:tc>
          <w:tcPr>
            <w:tcW w:type="dxa" w:w="2541"/>
            <w:vAlign w:val="center"/>
          </w:tcPr>
          <w:p>
            <w:r>
              <w:t>3,779개</w:t>
            </w:r>
          </w:p>
        </w:tc>
        <w:tc>
          <w:tcPr>
            <w:tcW w:type="dxa" w:w="2541"/>
            <w:vAlign w:val="center"/>
          </w:tcPr>
          <w:p>
            <w:r>
              <w:t>0.62억</w:t>
            </w:r>
          </w:p>
        </w:tc>
        <w:tc>
          <w:tcPr>
            <w:tcW w:type="dxa" w:w="2541"/>
            <w:vAlign w:val="center"/>
          </w:tcPr>
          <w:p>
            <w:r>
              <w:t>5.25억</w:t>
            </w:r>
          </w:p>
        </w:tc>
      </w:tr>
      <w:tr>
        <w:tc>
          <w:tcPr>
            <w:tcW w:type="dxa" w:w="2541"/>
            <w:vAlign w:val="center"/>
          </w:tcPr>
          <w:p>
            <w:r>
              <w:t>Bandit·재고</w:t>
            </w:r>
          </w:p>
        </w:tc>
        <w:tc>
          <w:tcPr>
            <w:tcW w:type="dxa" w:w="2541"/>
            <w:vAlign w:val="center"/>
          </w:tcPr>
          <w:p>
            <w:r>
              <w:t>3,170개</w:t>
            </w:r>
          </w:p>
        </w:tc>
        <w:tc>
          <w:tcPr>
            <w:tcW w:type="dxa" w:w="2541"/>
            <w:vAlign w:val="center"/>
          </w:tcPr>
          <w:p>
            <w:r>
              <w:t>0.53억</w:t>
            </w:r>
          </w:p>
        </w:tc>
        <w:tc>
          <w:tcPr>
            <w:tcW w:type="dxa" w:w="2541"/>
            <w:vAlign w:val="center"/>
          </w:tcPr>
          <w:p>
            <w:r>
              <w:t>5.04억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baselin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그림 1. 고정가 기준선 대비 대표 정책의 매출총이익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t_profit_after_wa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그림 2. 당일 미판매 손실을 반영한 순이익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oss_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그림 3. 목표별 매출총이익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그림 4. 목표별 매출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ll_throu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</w:rPr>
        <w:t>그림 5. 목표별 재고 소진율 비교</w:t>
      </w:r>
    </w:p>
    <w:p>
      <w:pPr>
        <w:pStyle w:val="Heading2"/>
      </w:pPr>
      <w:r>
        <w:rPr>
          <w:b w:val="0"/>
        </w:rPr>
        <w:t>4.3 결과 해석</w:t>
      </w:r>
    </w:p>
    <w:p>
      <w:pPr>
        <w:pStyle w:val="ListBullet"/>
      </w:pPr>
      <w:r>
        <w:rPr>
          <w:b w:val="0"/>
        </w:rPr>
        <w:t>고정가 기준선은 매출 7.57억 원, 매출총이익 5.74억 원, 재고 소진율 56.6%다.</w:t>
      </w:r>
    </w:p>
    <w:p>
      <w:pPr>
        <w:pStyle w:val="ListBullet"/>
      </w:pPr>
      <w:r>
        <w:rPr>
          <w:b w:val="0"/>
        </w:rPr>
        <w:t>수익 우선 Bandit은 매출 8.56억 원, 매출총이익 6.17억 원으로 전체 실험군 중 두 지표가 모두 최고다.</w:t>
      </w:r>
    </w:p>
    <w:p>
      <w:pPr>
        <w:pStyle w:val="ListBullet"/>
      </w:pPr>
      <w:r>
        <w:rPr>
          <w:b w:val="0"/>
        </w:rPr>
        <w:t>수익 우선 Bandit은 기존 수익 규칙보다 이익 약 2.7%, 고정가보다 약 7.6% 높고 소진율도 74.3%를 기록했다.</w:t>
      </w:r>
    </w:p>
    <w:p>
      <w:pPr>
        <w:pStyle w:val="ListBullet"/>
      </w:pPr>
      <w:r>
        <w:rPr>
          <w:b w:val="0"/>
        </w:rPr>
        <w:t>균형 Bandit은 기존 균형 규칙보다 매출 2.3%, 소진율 12.3%p 높지만 이익은 약 3.4% 낮다.</w:t>
      </w:r>
    </w:p>
    <w:p>
      <w:pPr>
        <w:pStyle w:val="ListBullet"/>
      </w:pPr>
      <w:r>
        <w:rPr>
          <w:b w:val="0"/>
        </w:rPr>
        <w:t>재고 처리 Bandit은 기존 재고 규칙보다 매출 0.8%, 소진율 4.2%p 높으며 이익 차이는 약 −1.4%로 축소됐다.</w:t>
      </w:r>
    </w:p>
    <w:p>
      <w:pPr>
        <w:pStyle w:val="ListBullet"/>
      </w:pPr>
      <w:r>
        <w:rPr>
          <w:b w:val="0"/>
        </w:rPr>
        <w:t>폐기 반영 순이익은 Bandit 수익 우선이 5.35억 원으로 가장 높다. 고정가 4.36억 원 대비 약 22.7%, 기존 수익 규칙 4.84억 원 대비 약 10.5% 높은 결과다.</w:t>
      </w:r>
    </w:p>
    <w:p>
      <w:pPr>
        <w:pStyle w:val="Heading1"/>
      </w:pPr>
      <w:r>
        <w:rPr>
          <w:b w:val="0"/>
        </w:rPr>
        <w:t>5. 한계 및 다음 실험</w:t>
      </w:r>
    </w:p>
    <w:p>
      <w:pPr>
        <w:pStyle w:val="ListBullet"/>
      </w:pPr>
      <w:r>
        <w:rPr>
          <w:b w:val="0"/>
        </w:rPr>
        <w:t>구매확률과 페르소나 계수는 합성 가정이며 실제 전환 데이터로 calibration해야 한다.</w:t>
      </w:r>
    </w:p>
    <w:p>
      <w:pPr>
        <w:pStyle w:val="ListBullet"/>
      </w:pPr>
      <w:r>
        <w:rPr>
          <w:b w:val="0"/>
        </w:rPr>
        <w:t>현재 시간순 60/40 분리는 적용했으며, 다음에는 seed 10개 이상으로 평균·표준편차·신뢰구간을 보고해야 한다.</w:t>
      </w:r>
    </w:p>
    <w:p>
      <w:pPr>
        <w:pStyle w:val="ListBullet"/>
      </w:pPr>
      <w:r>
        <w:rPr>
          <w:b w:val="0"/>
        </w:rPr>
        <w:t>기존 규칙과 Bandit에 동일한 수요 신호를 제공해 정보 비대칭을 제거해야 한다.</w:t>
      </w:r>
    </w:p>
    <w:p>
      <w:pPr>
        <w:pStyle w:val="ListBullet"/>
      </w:pPr>
      <w:r>
        <w:rPr>
          <w:b w:val="0"/>
        </w:rPr>
        <w:t>취소, 경쟁상품 이동, 반복 방문, 채널 수수료 및 실제 공헌원가를 추가해야 한다.</w:t>
      </w:r>
    </w:p>
    <w:p>
      <w:pPr>
        <w:pStyle w:val="ListBullet"/>
      </w:pPr>
      <w:r>
        <w:rPr>
          <w:b w:val="0"/>
        </w:rPr>
        <w:t>서버 부하 테스트는 배포 서버 URL과 허가 범위 확정 후 별도로 수행한다.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